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SimSun"/>
                <w:lang w:val="en-US" w:eastAsia="zh-CN"/>
              </w:rPr>
            </w:pPr>
            <w:r>
              <w:rPr>
                <w:rFonts w:eastAsia="SimSun"/>
                <w:lang w:val="en-US" w:eastAsia="zh-CN"/>
              </w:rPr>
              <w:t>Huawei, HiSilicon</w:t>
            </w:r>
          </w:p>
        </w:tc>
        <w:tc>
          <w:tcPr>
            <w:tcW w:w="5742" w:type="dxa"/>
          </w:tcPr>
          <w:p w14:paraId="23F8387A" w14:textId="72A28EFD" w:rsidR="008129F3" w:rsidRDefault="005E1717" w:rsidP="005B6332">
            <w:pPr>
              <w:pStyle w:val="TAC"/>
              <w:rPr>
                <w:rFonts w:eastAsia="SimSun"/>
                <w:lang w:val="en-US" w:eastAsia="zh-CN"/>
              </w:rPr>
            </w:pPr>
            <w:r>
              <w:rPr>
                <w:rFonts w:eastAsia="SimSun"/>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5B6332">
            <w:pPr>
              <w:pStyle w:val="TAC"/>
              <w:rPr>
                <w:rFonts w:eastAsia="SimSun"/>
                <w:lang w:val="fr-FR" w:eastAsia="zh-CN"/>
              </w:rPr>
            </w:pPr>
            <w:r>
              <w:rPr>
                <w:rFonts w:eastAsia="SimSun"/>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SimSun"/>
                <w:lang w:val="en-US" w:eastAsia="zh-CN"/>
              </w:rPr>
            </w:pPr>
            <w:r>
              <w:rPr>
                <w:rFonts w:eastAsia="SimSun"/>
                <w:lang w:val="en-US" w:eastAsia="zh-CN"/>
              </w:rPr>
              <w:t>Inmarsat</w:t>
            </w:r>
          </w:p>
        </w:tc>
        <w:tc>
          <w:tcPr>
            <w:tcW w:w="5742" w:type="dxa"/>
          </w:tcPr>
          <w:p w14:paraId="43E451C5" w14:textId="068A0638" w:rsidR="008129F3" w:rsidRDefault="00D145C1" w:rsidP="005B6332">
            <w:pPr>
              <w:pStyle w:val="TAC"/>
              <w:rPr>
                <w:rFonts w:eastAsia="SimSun"/>
                <w:lang w:val="de-DE" w:eastAsia="zh-CN"/>
              </w:rPr>
            </w:pPr>
            <w:r>
              <w:rPr>
                <w:rFonts w:eastAsia="SimSun"/>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DengXian"/>
                <w:lang w:eastAsia="zh-CN"/>
              </w:rPr>
            </w:pPr>
            <w:r>
              <w:rPr>
                <w:rFonts w:eastAsia="DengXian" w:hint="eastAsia"/>
                <w:lang w:eastAsia="zh-CN"/>
              </w:rPr>
              <w:t>CATT</w:t>
            </w:r>
          </w:p>
        </w:tc>
        <w:tc>
          <w:tcPr>
            <w:tcW w:w="5742" w:type="dxa"/>
          </w:tcPr>
          <w:p w14:paraId="44AACEF1" w14:textId="7845C40D" w:rsidR="008129F3" w:rsidRPr="00463646" w:rsidRDefault="00463646" w:rsidP="00463646">
            <w:pPr>
              <w:pStyle w:val="TAC"/>
              <w:rPr>
                <w:rFonts w:eastAsia="DengXian"/>
                <w:lang w:val="de-DE" w:eastAsia="zh-CN"/>
              </w:rPr>
            </w:pPr>
            <w:r>
              <w:rPr>
                <w:rFonts w:eastAsia="DengXian"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ED57A1" w14:paraId="3CDB41B9" w14:textId="77777777" w:rsidTr="005B6332">
        <w:tc>
          <w:tcPr>
            <w:tcW w:w="3778" w:type="dxa"/>
          </w:tcPr>
          <w:p w14:paraId="13C26301" w14:textId="4F600911" w:rsidR="00ED57A1" w:rsidRDefault="00ED57A1" w:rsidP="00ED57A1">
            <w:pPr>
              <w:pStyle w:val="TAC"/>
              <w:rPr>
                <w:lang w:eastAsia="ko-KR"/>
              </w:rPr>
            </w:pPr>
            <w:r>
              <w:rPr>
                <w:lang w:val="es-ES" w:eastAsia="ko-KR"/>
              </w:rPr>
              <w:t>Sateliot</w:t>
            </w:r>
          </w:p>
        </w:tc>
        <w:tc>
          <w:tcPr>
            <w:tcW w:w="5742" w:type="dxa"/>
          </w:tcPr>
          <w:p w14:paraId="235CDEC7" w14:textId="3248AF36" w:rsidR="00ED57A1" w:rsidRDefault="00ED57A1" w:rsidP="00ED57A1">
            <w:pPr>
              <w:pStyle w:val="TAC"/>
              <w:rPr>
                <w:lang w:val="de-DE" w:eastAsia="ko-KR"/>
              </w:rPr>
            </w:pPr>
            <w:r>
              <w:rPr>
                <w:lang w:val="de-DE" w:eastAsia="ko-KR"/>
              </w:rPr>
              <w:t>ramon.ferrus@sateliot.space</w:t>
            </w:r>
          </w:p>
        </w:tc>
      </w:tr>
      <w:tr w:rsidR="009704D1" w14:paraId="4A58B9F8" w14:textId="77777777" w:rsidTr="005B6332">
        <w:tc>
          <w:tcPr>
            <w:tcW w:w="3778" w:type="dxa"/>
          </w:tcPr>
          <w:p w14:paraId="565DC9DB" w14:textId="674FEE91" w:rsidR="009704D1" w:rsidRDefault="009704D1" w:rsidP="009704D1">
            <w:pPr>
              <w:pStyle w:val="TAC"/>
              <w:rPr>
                <w:lang w:eastAsia="ko-KR"/>
              </w:rPr>
            </w:pPr>
            <w:r w:rsidRPr="00CC57C3">
              <w:rPr>
                <w:lang w:val="en-US" w:eastAsia="ko-KR"/>
              </w:rPr>
              <w:t>ZTE</w:t>
            </w:r>
          </w:p>
        </w:tc>
        <w:tc>
          <w:tcPr>
            <w:tcW w:w="5742" w:type="dxa"/>
          </w:tcPr>
          <w:p w14:paraId="6715CCA5" w14:textId="00802BDD" w:rsidR="009704D1" w:rsidRDefault="009704D1" w:rsidP="009704D1">
            <w:pPr>
              <w:pStyle w:val="TAC"/>
              <w:rPr>
                <w:lang w:val="de-DE" w:eastAsia="ko-KR"/>
              </w:rPr>
            </w:pPr>
            <w:r w:rsidRPr="00CC57C3">
              <w:rPr>
                <w:rFonts w:hint="eastAsia"/>
                <w:lang w:val="de-DE" w:eastAsia="ko-KR"/>
              </w:rPr>
              <w:t>lu</w:t>
            </w:r>
            <w:r w:rsidRPr="00CC57C3">
              <w:rPr>
                <w:lang w:val="de-DE" w:eastAsia="ko-KR"/>
              </w:rPr>
              <w:t>.ting@zte.com.cn</w:t>
            </w:r>
          </w:p>
        </w:tc>
      </w:tr>
      <w:tr w:rsidR="00ED57A1" w14:paraId="0AD11C71" w14:textId="77777777" w:rsidTr="005B6332">
        <w:tc>
          <w:tcPr>
            <w:tcW w:w="3778" w:type="dxa"/>
          </w:tcPr>
          <w:p w14:paraId="159F8616" w14:textId="09611F46" w:rsidR="00ED57A1" w:rsidRPr="00FA0BC9" w:rsidRDefault="00FA0BC9" w:rsidP="00ED57A1">
            <w:pPr>
              <w:pStyle w:val="TAC"/>
              <w:rPr>
                <w:lang w:val="sv-SE" w:eastAsia="ko-KR"/>
              </w:rPr>
            </w:pPr>
            <w:r>
              <w:rPr>
                <w:lang w:val="sv-SE" w:eastAsia="ko-KR"/>
              </w:rPr>
              <w:t>Ericsson</w:t>
            </w:r>
          </w:p>
        </w:tc>
        <w:tc>
          <w:tcPr>
            <w:tcW w:w="5742" w:type="dxa"/>
          </w:tcPr>
          <w:p w14:paraId="23E7B32A" w14:textId="73A1A83F" w:rsidR="00ED57A1" w:rsidRDefault="00FA0BC9" w:rsidP="00FA0BC9">
            <w:pPr>
              <w:pStyle w:val="TAC"/>
              <w:rPr>
                <w:lang w:val="de-DE" w:eastAsia="ko-KR"/>
              </w:rPr>
            </w:pPr>
            <w:r>
              <w:rPr>
                <w:lang w:val="de-DE" w:eastAsia="ko-KR"/>
              </w:rPr>
              <w:t>emre.yavuz@ericsson.com</w:t>
            </w: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Generally, we agree not support HARQ feedback disabling in Rel 17 IoT NTN SI since the prioritized IoT traffic model of intermittent sparse data. However, we suggest to further study for different scenario with target data rate requirements for NB-IoT and eMTC in normative phase, to check whether HARQ feedback disabling is not needed for all scenario/use cases.</w:t>
            </w:r>
          </w:p>
        </w:tc>
      </w:tr>
      <w:tr w:rsidR="00ED57A1" w14:paraId="6660AE51" w14:textId="77777777" w:rsidTr="008129F3">
        <w:tc>
          <w:tcPr>
            <w:tcW w:w="1435" w:type="dxa"/>
          </w:tcPr>
          <w:p w14:paraId="2025A5A1" w14:textId="49BDAB10"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5F4FDA8B" w14:textId="40044279"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7FE429" w14:textId="77777777" w:rsidR="00ED57A1" w:rsidRPr="0084243B" w:rsidRDefault="00ED57A1" w:rsidP="0084243B">
            <w:pPr>
              <w:spacing w:before="120"/>
              <w:rPr>
                <w:rFonts w:ascii="Arial" w:eastAsia="Arial Unicode MS" w:hAnsi="Arial"/>
                <w:lang w:eastAsia="zh-CN"/>
              </w:rPr>
            </w:pPr>
          </w:p>
        </w:tc>
      </w:tr>
      <w:tr w:rsidR="009704D1" w14:paraId="4188D579" w14:textId="77777777" w:rsidTr="008129F3">
        <w:tc>
          <w:tcPr>
            <w:tcW w:w="1435" w:type="dxa"/>
          </w:tcPr>
          <w:p w14:paraId="7C00FB70" w14:textId="256AFD37"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CBB0274" w14:textId="1480E613"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3D5A0544" w14:textId="77777777" w:rsidR="009704D1" w:rsidRPr="0084243B" w:rsidRDefault="009704D1" w:rsidP="009704D1">
            <w:pPr>
              <w:spacing w:before="120"/>
              <w:rPr>
                <w:rFonts w:ascii="Arial" w:eastAsia="Arial Unicode MS" w:hAnsi="Arial"/>
                <w:lang w:eastAsia="zh-CN"/>
              </w:rPr>
            </w:pPr>
          </w:p>
        </w:tc>
      </w:tr>
      <w:tr w:rsidR="00FA0BC9" w14:paraId="5E209CB7" w14:textId="77777777" w:rsidTr="008129F3">
        <w:tc>
          <w:tcPr>
            <w:tcW w:w="1435" w:type="dxa"/>
          </w:tcPr>
          <w:p w14:paraId="01938E34" w14:textId="76A92C5F"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14C321B5" w14:textId="47758F5F"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CF0D4CE" w14:textId="77777777" w:rsidR="00FA0BC9" w:rsidRPr="0084243B" w:rsidRDefault="00FA0BC9" w:rsidP="009704D1">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w:t>
      </w:r>
      <w:commentRangeStart w:id="5"/>
      <w:r w:rsidRPr="001A590F">
        <w:rPr>
          <w:highlight w:val="yellow"/>
        </w:rPr>
        <w:t>NR</w:t>
      </w:r>
      <w:r>
        <w:t xml:space="preserve"> NTN</w:t>
      </w:r>
      <w:commentRangeEnd w:id="5"/>
      <w:r w:rsidR="00A07F58">
        <w:rPr>
          <w:rStyle w:val="CommentReference"/>
        </w:rPr>
        <w:commentReference w:id="5"/>
      </w:r>
      <w:r>
        <w:t xml:space="preserve">.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r w:rsidR="00ED57A1" w14:paraId="1A2A3AD1" w14:textId="77777777" w:rsidTr="005B6332">
        <w:tc>
          <w:tcPr>
            <w:tcW w:w="1435" w:type="dxa"/>
          </w:tcPr>
          <w:p w14:paraId="79A64234" w14:textId="24711343"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lastRenderedPageBreak/>
              <w:t>Sateliot</w:t>
            </w:r>
          </w:p>
        </w:tc>
        <w:tc>
          <w:tcPr>
            <w:tcW w:w="1710" w:type="dxa"/>
          </w:tcPr>
          <w:p w14:paraId="7A46B8A7" w14:textId="166F0867"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626D0F0" w14:textId="77777777" w:rsidR="00ED57A1" w:rsidRPr="001115D4" w:rsidRDefault="00ED57A1" w:rsidP="00F805B5">
            <w:pPr>
              <w:spacing w:before="120"/>
              <w:rPr>
                <w:rFonts w:ascii="Arial" w:eastAsia="Arial Unicode MS" w:hAnsi="Arial"/>
                <w:lang w:eastAsia="zh-CN"/>
              </w:rPr>
            </w:pPr>
          </w:p>
        </w:tc>
      </w:tr>
      <w:tr w:rsidR="009704D1" w14:paraId="3998D05B" w14:textId="77777777" w:rsidTr="005B6332">
        <w:tc>
          <w:tcPr>
            <w:tcW w:w="1435" w:type="dxa"/>
          </w:tcPr>
          <w:p w14:paraId="6FF162D0" w14:textId="667AE654"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A68C804" w14:textId="13E31F8D"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0CDFE12" w14:textId="77777777" w:rsidR="009704D1" w:rsidRPr="001115D4" w:rsidRDefault="009704D1" w:rsidP="009704D1">
            <w:pPr>
              <w:spacing w:before="120"/>
              <w:rPr>
                <w:rFonts w:ascii="Arial" w:eastAsia="Arial Unicode MS" w:hAnsi="Arial"/>
                <w:lang w:eastAsia="zh-CN"/>
              </w:rPr>
            </w:pPr>
          </w:p>
        </w:tc>
      </w:tr>
      <w:tr w:rsidR="00FA0BC9" w14:paraId="15683BB7" w14:textId="77777777" w:rsidTr="005B6332">
        <w:tc>
          <w:tcPr>
            <w:tcW w:w="1435" w:type="dxa"/>
          </w:tcPr>
          <w:p w14:paraId="50A24CF5" w14:textId="0699880E"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7D6F2AAB" w14:textId="4207F009" w:rsidR="00FA0BC9" w:rsidRDefault="00FA0BC9" w:rsidP="009704D1">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321386B8" w14:textId="77777777" w:rsidR="00FA0BC9" w:rsidRDefault="00FA0BC9" w:rsidP="00FA0BC9">
            <w:pPr>
              <w:spacing w:before="120"/>
              <w:rPr>
                <w:rFonts w:ascii="Arial" w:eastAsia="Arial Unicode MS" w:hAnsi="Arial"/>
                <w:lang w:eastAsia="zh-CN"/>
              </w:rPr>
            </w:pPr>
            <w:r>
              <w:rPr>
                <w:rFonts w:ascii="Arial" w:eastAsia="Arial Unicode MS" w:hAnsi="Arial"/>
                <w:lang w:eastAsia="zh-CN"/>
              </w:rPr>
              <w:t xml:space="preserve">The </w:t>
            </w:r>
            <w:r>
              <w:rPr>
                <w:rFonts w:ascii="Arial" w:eastAsia="Arial Unicode MS" w:hAnsi="Arial"/>
                <w:highlight w:val="yellow"/>
                <w:lang w:eastAsia="zh-CN"/>
              </w:rPr>
              <w:t>highlighted</w:t>
            </w:r>
            <w:r>
              <w:rPr>
                <w:rFonts w:ascii="Arial" w:eastAsia="Arial Unicode MS" w:hAnsi="Arial"/>
                <w:lang w:eastAsia="zh-CN"/>
              </w:rPr>
              <w:t xml:space="preserve"> part in the text below is not clear to us:</w:t>
            </w:r>
          </w:p>
          <w:p w14:paraId="3224137E" w14:textId="77777777" w:rsidR="00FA0BC9" w:rsidRDefault="00FA0BC9" w:rsidP="00FA0BC9">
            <w:pPr>
              <w:spacing w:before="120"/>
              <w:rPr>
                <w:rFonts w:ascii="Arial" w:eastAsia="Arial Unicode MS" w:hAnsi="Arial"/>
                <w:lang w:eastAsia="zh-CN"/>
              </w:rPr>
            </w:pPr>
            <w:r>
              <w:rPr>
                <w:rFonts w:ascii="Arial" w:eastAsia="Arial Unicode MS" w:hAnsi="Arial"/>
                <w:lang w:eastAsia="zh-CN"/>
              </w:rPr>
              <w:t>“</w:t>
            </w:r>
            <w:r>
              <w:t xml:space="preserve">No need has been identified in RAN2 for further R17 IoT NTN enhancement regarding eMTC and NB-IoT Coverage Enhancement features. </w:t>
            </w:r>
            <w:r>
              <w:rPr>
                <w:highlight w:val="yellow"/>
              </w:rPr>
              <w:t>They are assumed applicable to NR NTN</w:t>
            </w:r>
            <w:r>
              <w:t>. L1 issues if any are assumed addressed by RAN1.</w:t>
            </w:r>
            <w:r>
              <w:rPr>
                <w:rFonts w:ascii="Arial" w:eastAsia="Arial Unicode MS" w:hAnsi="Arial"/>
                <w:lang w:eastAsia="zh-CN"/>
              </w:rPr>
              <w:t>”</w:t>
            </w:r>
          </w:p>
          <w:p w14:paraId="2CC4CFE4" w14:textId="2D0C89AA" w:rsidR="00FA0BC9" w:rsidRPr="001115D4" w:rsidRDefault="00FA0BC9" w:rsidP="00FA0BC9">
            <w:pPr>
              <w:spacing w:before="120"/>
              <w:rPr>
                <w:rFonts w:ascii="Arial" w:eastAsia="Arial Unicode MS" w:hAnsi="Arial"/>
                <w:lang w:eastAsia="zh-CN"/>
              </w:rPr>
            </w:pPr>
            <w:r>
              <w:rPr>
                <w:rFonts w:ascii="Arial" w:eastAsia="Arial Unicode MS" w:hAnsi="Arial"/>
                <w:lang w:eastAsia="zh-CN"/>
              </w:rPr>
              <w:t>Maybe the intention is to say that “</w:t>
            </w:r>
            <w:r>
              <w:t>They are assumed applicable to NTN</w:t>
            </w:r>
            <w:r>
              <w:rPr>
                <w:rFonts w:ascii="Arial" w:eastAsia="Arial Unicode MS" w:hAnsi="Arial"/>
                <w:lang w:eastAsia="zh-CN"/>
              </w:rPr>
              <w:t>”</w:t>
            </w: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lastRenderedPageBreak/>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Agree as baseline. Further IoT specific enhancements to be considered in WI phase.</w:t>
            </w:r>
          </w:p>
        </w:tc>
      </w:tr>
      <w:tr w:rsidR="009704D1" w14:paraId="58F51F0D" w14:textId="77777777" w:rsidTr="005B6332">
        <w:tc>
          <w:tcPr>
            <w:tcW w:w="1435" w:type="dxa"/>
          </w:tcPr>
          <w:p w14:paraId="11CE2C19" w14:textId="2EB3AB36"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D7E65B8" w14:textId="3DBC085D"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651104E1" w14:textId="77777777" w:rsidR="009704D1" w:rsidRDefault="009704D1" w:rsidP="009704D1">
            <w:pPr>
              <w:spacing w:before="120"/>
              <w:rPr>
                <w:rFonts w:ascii="Arial" w:eastAsia="Arial Unicode MS" w:hAnsi="Arial"/>
                <w:lang w:eastAsia="zh-CN"/>
              </w:rPr>
            </w:pPr>
          </w:p>
        </w:tc>
      </w:tr>
      <w:tr w:rsidR="00FA0BC9" w14:paraId="68151F46" w14:textId="77777777" w:rsidTr="005B6332">
        <w:tc>
          <w:tcPr>
            <w:tcW w:w="1435" w:type="dxa"/>
          </w:tcPr>
          <w:p w14:paraId="1AAEFD58" w14:textId="5D21F511"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4639D151" w14:textId="69FE7862" w:rsidR="00FA0BC9" w:rsidRDefault="00FA0BC9" w:rsidP="009704D1">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331FDAAE" w14:textId="41432139" w:rsidR="00FA0BC9" w:rsidRDefault="00FA0BC9" w:rsidP="009704D1">
            <w:pPr>
              <w:spacing w:before="120"/>
              <w:rPr>
                <w:rFonts w:ascii="Arial" w:eastAsia="Arial Unicode MS" w:hAnsi="Arial"/>
                <w:lang w:eastAsia="zh-CN"/>
              </w:rPr>
            </w:pPr>
            <w:r>
              <w:rPr>
                <w:rFonts w:ascii="Arial" w:eastAsia="Arial Unicode MS" w:hAnsi="Arial"/>
                <w:lang w:eastAsia="zh-CN"/>
              </w:rPr>
              <w:t>The wording needs to be improved though, e.g. in P6 it is not clear what is intended with “</w:t>
            </w:r>
            <w:r>
              <w:t>as a part of using the earth-fixed TA concept.</w:t>
            </w:r>
            <w:r>
              <w:rPr>
                <w:rFonts w:ascii="Arial" w:eastAsia="Arial Unicode MS" w:hAnsi="Arial"/>
                <w:lang w:eastAsia="zh-CN"/>
              </w:rPr>
              <w:t>”. Shouldn’t it be easier/clear if P4, P5 and P6 are merged in a single proposal which may be formulated as follows assuming that the intention is captured properly? e.g., “The Tracking Area concept of NR NTN is the baseline and enhancements which may be needed for applicability to IoT can be considered during the WI phase.”</w:t>
            </w: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eMTC in CE mode do not use frequency priority for cell reselection. So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r w:rsidR="009704D1" w14:paraId="6DAC7EEA" w14:textId="77777777" w:rsidTr="005B6332">
        <w:tc>
          <w:tcPr>
            <w:tcW w:w="1435" w:type="dxa"/>
          </w:tcPr>
          <w:p w14:paraId="5C433A15" w14:textId="4FAD1C28"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A182AF2" w14:textId="7F18DC72" w:rsidR="009704D1" w:rsidRDefault="009704D1" w:rsidP="009704D1">
            <w:pPr>
              <w:spacing w:before="120"/>
              <w:rPr>
                <w:rFonts w:ascii="Arial" w:eastAsia="Arial Unicode MS" w:hAnsi="Arial"/>
                <w:lang w:eastAsia="zh-CN"/>
              </w:rPr>
            </w:pPr>
            <w:r>
              <w:rPr>
                <w:rFonts w:ascii="Arial" w:eastAsia="Arial Unicode MS" w:hAnsi="Arial"/>
                <w:lang w:eastAsia="zh-CN"/>
              </w:rPr>
              <w:t>Seems not acceptable</w:t>
            </w:r>
          </w:p>
        </w:tc>
        <w:tc>
          <w:tcPr>
            <w:tcW w:w="6484" w:type="dxa"/>
          </w:tcPr>
          <w:p w14:paraId="77CDEE22" w14:textId="77777777" w:rsidR="009704D1" w:rsidRDefault="009704D1" w:rsidP="009704D1">
            <w:pPr>
              <w:spacing w:before="120"/>
              <w:rPr>
                <w:rFonts w:ascii="Arial" w:eastAsia="Arial Unicode MS" w:hAnsi="Arial"/>
                <w:lang w:val="en-US" w:eastAsia="zh-CN"/>
              </w:rPr>
            </w:pPr>
            <w:r>
              <w:rPr>
                <w:rFonts w:ascii="Arial" w:eastAsia="Arial Unicode MS" w:hAnsi="Arial"/>
                <w:lang w:val="en-US" w:eastAsia="zh-CN"/>
              </w:rPr>
              <w:t>Considering</w:t>
            </w:r>
            <w:r>
              <w:rPr>
                <w:rFonts w:ascii="Arial" w:eastAsia="Arial Unicode MS" w:hAnsi="Arial" w:hint="eastAsia"/>
                <w:lang w:val="en-US" w:eastAsia="zh-CN"/>
              </w:rPr>
              <w:t xml:space="preserve"> that priority based cell reselection is not supported in NB-IoT, </w:t>
            </w:r>
            <w:r>
              <w:rPr>
                <w:rFonts w:ascii="Arial" w:eastAsia="Arial Unicode MS" w:hAnsi="Arial"/>
                <w:lang w:val="en-US" w:eastAsia="zh-CN"/>
              </w:rPr>
              <w:t>we think there is issue on how to steer</w:t>
            </w:r>
            <w:r>
              <w:rPr>
                <w:rFonts w:ascii="Arial" w:eastAsia="Arial Unicode MS" w:hAnsi="Arial" w:hint="eastAsia"/>
                <w:lang w:val="en-US" w:eastAsia="zh-CN"/>
              </w:rPr>
              <w:t xml:space="preserve"> NB-IoT UE to the TN cell </w:t>
            </w:r>
            <w:r>
              <w:rPr>
                <w:rFonts w:ascii="Arial" w:eastAsia="Arial Unicode MS" w:hAnsi="Arial"/>
                <w:lang w:val="en-US" w:eastAsia="zh-CN"/>
              </w:rPr>
              <w:t>with priority in TN-NTN deployment</w:t>
            </w:r>
            <w:r>
              <w:rPr>
                <w:rFonts w:ascii="Arial" w:eastAsia="Arial Unicode MS" w:hAnsi="Arial" w:hint="eastAsia"/>
                <w:lang w:val="en-US" w:eastAsia="zh-CN"/>
              </w:rPr>
              <w:t>.</w:t>
            </w:r>
            <w:r>
              <w:rPr>
                <w:rFonts w:ascii="Arial" w:eastAsia="Arial Unicode MS" w:hAnsi="Arial"/>
                <w:lang w:val="en-US" w:eastAsia="zh-CN"/>
              </w:rPr>
              <w:t xml:space="preserve"> We assume new simple parameter may be needed.</w:t>
            </w:r>
          </w:p>
          <w:p w14:paraId="2C344E4C" w14:textId="32357DC5" w:rsidR="009704D1" w:rsidRDefault="009704D1" w:rsidP="009704D1">
            <w:pPr>
              <w:rPr>
                <w:rFonts w:ascii="Arial" w:eastAsia="Arial Unicode MS" w:hAnsi="Arial"/>
                <w:lang w:eastAsia="zh-CN"/>
              </w:rPr>
            </w:pPr>
            <w:r>
              <w:rPr>
                <w:rFonts w:ascii="Arial" w:eastAsia="Arial Unicode MS" w:hAnsi="Arial"/>
                <w:lang w:val="en-US" w:eastAsia="zh-CN"/>
              </w:rPr>
              <w:lastRenderedPageBreak/>
              <w:t xml:space="preserve">We are a bit confused with Qualcomm’s comment, does it imply we need to consider </w:t>
            </w:r>
            <w:r>
              <w:rPr>
                <w:rFonts w:ascii="Arial" w:eastAsia="Arial Unicode MS" w:hAnsi="Arial" w:hint="eastAsia"/>
                <w:lang w:val="en-US" w:eastAsia="zh-CN"/>
              </w:rPr>
              <w:t>priority based cell reselection</w:t>
            </w:r>
            <w:r>
              <w:rPr>
                <w:rFonts w:ascii="Arial" w:eastAsia="Arial Unicode MS" w:hAnsi="Arial"/>
                <w:lang w:val="en-US" w:eastAsia="zh-CN"/>
              </w:rPr>
              <w:t xml:space="preserve"> for NB-IoT over NTN?</w:t>
            </w:r>
            <w:r>
              <w:rPr>
                <w:rFonts w:ascii="Arial" w:eastAsia="Arial Unicode MS" w:hAnsi="Arial" w:hint="eastAsia"/>
                <w:lang w:val="en-US" w:eastAsia="zh-CN"/>
              </w:rPr>
              <w:t xml:space="preserve"> </w:t>
            </w:r>
          </w:p>
        </w:tc>
      </w:tr>
      <w:tr w:rsidR="00FA0BC9" w14:paraId="359F531F" w14:textId="77777777" w:rsidTr="005B6332">
        <w:tc>
          <w:tcPr>
            <w:tcW w:w="1435" w:type="dxa"/>
          </w:tcPr>
          <w:p w14:paraId="563D3CE3" w14:textId="73946F5E"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lastRenderedPageBreak/>
              <w:t>Ericsson</w:t>
            </w:r>
          </w:p>
        </w:tc>
        <w:tc>
          <w:tcPr>
            <w:tcW w:w="1710" w:type="dxa"/>
          </w:tcPr>
          <w:p w14:paraId="0655AF1A" w14:textId="1AE9B6F9"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02B3BBC" w14:textId="77777777" w:rsidR="00FA0BC9" w:rsidRDefault="00FA0BC9" w:rsidP="009704D1">
            <w:pPr>
              <w:spacing w:before="120"/>
              <w:rPr>
                <w:rFonts w:ascii="Arial" w:eastAsia="Arial Unicode MS" w:hAnsi="Arial"/>
                <w:lang w:val="en-US"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lastRenderedPageBreak/>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GWUS is more relevant for IoT-NTN considering the paging load on single GEO cell. Please consider updating it with (G)WUS.</w:t>
            </w:r>
          </w:p>
        </w:tc>
      </w:tr>
      <w:tr w:rsidR="00ED57A1" w14:paraId="20B72ECA" w14:textId="77777777" w:rsidTr="005B6332">
        <w:tc>
          <w:tcPr>
            <w:tcW w:w="1435" w:type="dxa"/>
          </w:tcPr>
          <w:p w14:paraId="5885E22F" w14:textId="7C05E28F" w:rsidR="00ED57A1" w:rsidRDefault="00ED57A1" w:rsidP="00A91DE5">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342FD6B" w14:textId="235D4C8A" w:rsidR="00ED57A1" w:rsidRDefault="00ED57A1" w:rsidP="00A91DE5">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5C00AB44" w14:textId="449C949E" w:rsidR="00ED57A1" w:rsidRDefault="00ED57A1" w:rsidP="00A91DE5">
            <w:pPr>
              <w:spacing w:before="120"/>
              <w:rPr>
                <w:rFonts w:ascii="Arial" w:eastAsia="Arial Unicode MS" w:hAnsi="Arial"/>
                <w:lang w:eastAsia="zh-CN"/>
              </w:rPr>
            </w:pPr>
            <w:r>
              <w:rPr>
                <w:rFonts w:ascii="Arial" w:eastAsia="Arial Unicode MS" w:hAnsi="Arial"/>
                <w:lang w:eastAsia="zh-CN"/>
              </w:rPr>
              <w:t>Not clear which is the consequence/follow-up of Proposal 9 if the outcome of the “discussion to what extent the above is applicable also to LEO” is that some of the features are not applicable as such and/or any enhancement may be needed for LEO. Please, clarify. as Inmarsat pointed above, i</w:t>
            </w:r>
            <w:r w:rsidRPr="00C151CB">
              <w:rPr>
                <w:rFonts w:ascii="Arial" w:eastAsia="Arial Unicode MS" w:hAnsi="Arial"/>
                <w:lang w:eastAsia="zh-CN"/>
              </w:rPr>
              <w:t>t should be clear that discontinuous/intermittent coverage scenario shall be addressed for both LEO/NGSO and GEO/GSO</w:t>
            </w:r>
            <w:r>
              <w:rPr>
                <w:rFonts w:ascii="Arial" w:eastAsia="Arial Unicode MS" w:hAnsi="Arial"/>
                <w:lang w:eastAsia="zh-CN"/>
              </w:rPr>
              <w:t>.</w:t>
            </w:r>
          </w:p>
        </w:tc>
      </w:tr>
      <w:tr w:rsidR="009704D1" w14:paraId="4503F6BC" w14:textId="77777777" w:rsidTr="005B6332">
        <w:tc>
          <w:tcPr>
            <w:tcW w:w="1435" w:type="dxa"/>
          </w:tcPr>
          <w:p w14:paraId="73C6AD4E" w14:textId="611D0C56"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7F37E3A" w14:textId="326F28BE"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33E3855" w14:textId="1BBB3283" w:rsidR="009704D1" w:rsidRDefault="009704D1" w:rsidP="009704D1">
            <w:pPr>
              <w:spacing w:before="120"/>
              <w:rPr>
                <w:rFonts w:ascii="Arial" w:eastAsia="Arial Unicode MS" w:hAnsi="Arial"/>
                <w:lang w:eastAsia="zh-CN"/>
              </w:rPr>
            </w:pPr>
          </w:p>
        </w:tc>
      </w:tr>
      <w:tr w:rsidR="00FA0BC9" w14:paraId="556DB49A" w14:textId="77777777" w:rsidTr="005B6332">
        <w:tc>
          <w:tcPr>
            <w:tcW w:w="1435" w:type="dxa"/>
          </w:tcPr>
          <w:p w14:paraId="4CE796DA" w14:textId="5713048A"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6B93189D" w14:textId="13EAA505"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241CB3" w14:textId="2EAE879A" w:rsidR="00FA0BC9" w:rsidRDefault="00FA0BC9" w:rsidP="009704D1">
            <w:pPr>
              <w:spacing w:before="120"/>
              <w:rPr>
                <w:rFonts w:ascii="Arial" w:eastAsia="Arial Unicode MS" w:hAnsi="Arial"/>
                <w:lang w:eastAsia="zh-CN"/>
              </w:rPr>
            </w:pPr>
            <w:r>
              <w:rPr>
                <w:rFonts w:ascii="Arial" w:eastAsia="Arial Unicode MS" w:hAnsi="Arial"/>
                <w:lang w:eastAsia="zh-CN"/>
              </w:rPr>
              <w:t>There seems to be a typo in P9: “…</w:t>
            </w:r>
            <w:r>
              <w:t xml:space="preserve">when a UE is in coverage </w:t>
            </w:r>
            <w:r>
              <w:rPr>
                <w:color w:val="FF0000"/>
              </w:rPr>
              <w:t>or</w:t>
            </w:r>
            <w:r>
              <w:t xml:space="preserve"> in a discontinuous coverage deployment</w:t>
            </w:r>
            <w:r>
              <w:rPr>
                <w:rFonts w:ascii="Arial" w:eastAsia="Arial Unicode MS" w:hAnsi="Arial"/>
                <w:lang w:eastAsia="zh-CN"/>
              </w:rPr>
              <w:t>”</w:t>
            </w: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r w:rsidR="00ED57A1" w14:paraId="5C2D9105" w14:textId="77777777" w:rsidTr="005B6332">
        <w:tc>
          <w:tcPr>
            <w:tcW w:w="1435" w:type="dxa"/>
          </w:tcPr>
          <w:p w14:paraId="659BE58F" w14:textId="768747E7" w:rsidR="00ED57A1" w:rsidRDefault="00ED57A1" w:rsidP="00D67478">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8C29483" w14:textId="505708DF" w:rsidR="00ED57A1" w:rsidRDefault="00ED57A1" w:rsidP="00D67478">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BC83F34" w14:textId="77777777" w:rsidR="00ED57A1" w:rsidRDefault="00ED57A1" w:rsidP="00D67478">
            <w:pPr>
              <w:spacing w:before="120"/>
              <w:rPr>
                <w:rFonts w:ascii="Arial" w:eastAsia="Arial Unicode MS" w:hAnsi="Arial"/>
                <w:lang w:eastAsia="zh-CN"/>
              </w:rPr>
            </w:pPr>
          </w:p>
        </w:tc>
      </w:tr>
      <w:tr w:rsidR="009704D1" w14:paraId="257CF60D" w14:textId="77777777" w:rsidTr="005B6332">
        <w:tc>
          <w:tcPr>
            <w:tcW w:w="1435" w:type="dxa"/>
          </w:tcPr>
          <w:p w14:paraId="16EBADCD" w14:textId="606F562B"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A775056" w14:textId="2A499D2B"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7E51DC4A" w14:textId="77777777" w:rsidR="009704D1" w:rsidRDefault="009704D1" w:rsidP="009704D1">
            <w:pPr>
              <w:spacing w:before="120"/>
              <w:rPr>
                <w:rFonts w:ascii="Arial" w:eastAsia="Arial Unicode MS" w:hAnsi="Arial"/>
                <w:lang w:eastAsia="zh-CN"/>
              </w:rPr>
            </w:pPr>
          </w:p>
        </w:tc>
      </w:tr>
      <w:tr w:rsidR="00FA0BC9" w14:paraId="53CC2B4E" w14:textId="77777777" w:rsidTr="005B6332">
        <w:tc>
          <w:tcPr>
            <w:tcW w:w="1435" w:type="dxa"/>
          </w:tcPr>
          <w:p w14:paraId="3D131A88" w14:textId="54D3F460"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20EDA71A" w14:textId="5C82065C"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30662A" w14:textId="77777777" w:rsidR="00FA0BC9" w:rsidRDefault="00FA0BC9" w:rsidP="009704D1">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lastRenderedPageBreak/>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lastRenderedPageBreak/>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lastRenderedPageBreak/>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CHO is not legacy handover for eMTC. It is a new feature for eMTC and we already have agreements.</w:t>
            </w:r>
          </w:p>
          <w:p w14:paraId="2627309C"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So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 xml:space="preserve">(incl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eMTC. As handover enhancements are not critical for IoT-NTN, this can be considered as non-essential. </w:t>
            </w:r>
          </w:p>
        </w:tc>
      </w:tr>
      <w:tr w:rsidR="00ED57A1" w14:paraId="3A0BDC46" w14:textId="77777777" w:rsidTr="005B6332">
        <w:tc>
          <w:tcPr>
            <w:tcW w:w="1435" w:type="dxa"/>
          </w:tcPr>
          <w:p w14:paraId="3E88BD2E" w14:textId="0860C9C8" w:rsidR="00ED57A1" w:rsidRDefault="00ED57A1" w:rsidP="002E7F9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1ECE720B" w14:textId="197407AD" w:rsidR="00ED57A1" w:rsidRDefault="00ED57A1" w:rsidP="002E7F9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F9CBC9" w14:textId="77777777" w:rsidR="00ED57A1" w:rsidRDefault="00ED57A1" w:rsidP="002E7F90">
            <w:pPr>
              <w:spacing w:before="120"/>
              <w:rPr>
                <w:rFonts w:ascii="Arial" w:eastAsia="Arial Unicode MS" w:hAnsi="Arial"/>
                <w:lang w:eastAsia="zh-CN"/>
              </w:rPr>
            </w:pPr>
          </w:p>
        </w:tc>
      </w:tr>
      <w:tr w:rsidR="009704D1" w14:paraId="5BDC3BA8" w14:textId="77777777" w:rsidTr="005B6332">
        <w:tc>
          <w:tcPr>
            <w:tcW w:w="1435" w:type="dxa"/>
          </w:tcPr>
          <w:p w14:paraId="3B2CDF01" w14:textId="3AA0B60E"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3740AC5" w14:textId="42751173"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Not acceptable </w:t>
            </w:r>
          </w:p>
        </w:tc>
        <w:tc>
          <w:tcPr>
            <w:tcW w:w="6484" w:type="dxa"/>
          </w:tcPr>
          <w:p w14:paraId="202B44DE" w14:textId="77777777" w:rsidR="009704D1" w:rsidRDefault="009704D1" w:rsidP="009704D1">
            <w:pPr>
              <w:spacing w:before="120"/>
              <w:rPr>
                <w:rFonts w:ascii="Arial" w:eastAsia="Arial Unicode MS" w:hAnsi="Arial"/>
                <w:lang w:eastAsia="zh-CN"/>
              </w:rPr>
            </w:pPr>
            <w:r w:rsidRPr="008E453E">
              <w:rPr>
                <w:rFonts w:ascii="Arial" w:eastAsia="Arial Unicode MS" w:hAnsi="Arial"/>
                <w:lang w:eastAsia="zh-CN"/>
              </w:rPr>
              <w:t>We have same view as Qualcomm that CHO is not legacy handover for eMTC. It is a new feature and we already have agreements to support it.</w:t>
            </w:r>
            <w:r>
              <w:rPr>
                <w:rFonts w:ascii="Arial" w:eastAsia="Arial Unicode MS" w:hAnsi="Arial"/>
                <w:lang w:eastAsia="zh-CN"/>
              </w:rPr>
              <w:t xml:space="preserve"> We feel the proposal (even with QC’s change) doesn’t reflect this point.</w:t>
            </w:r>
          </w:p>
          <w:p w14:paraId="55CE0680" w14:textId="36FDB531"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We assume </w:t>
            </w:r>
            <w:r w:rsidRPr="008E453E">
              <w:rPr>
                <w:rFonts w:ascii="Arial" w:eastAsia="Arial Unicode MS" w:hAnsi="Arial"/>
                <w:lang w:eastAsia="zh-CN"/>
              </w:rPr>
              <w:t>time or timer based and location based CHO triggering event</w:t>
            </w:r>
            <w:r w:rsidRPr="008E453E">
              <w:rPr>
                <w:rFonts w:ascii="Arial" w:eastAsia="Arial Unicode MS" w:hAnsi="Arial" w:hint="eastAsia"/>
                <w:lang w:eastAsia="zh-CN"/>
              </w:rPr>
              <w:t xml:space="preserve">s </w:t>
            </w:r>
            <w:r w:rsidRPr="008E453E">
              <w:rPr>
                <w:rFonts w:ascii="Arial" w:eastAsia="Arial Unicode MS" w:hAnsi="Arial"/>
                <w:lang w:eastAsia="zh-CN"/>
              </w:rPr>
              <w:t>would be introduced</w:t>
            </w:r>
            <w:r>
              <w:rPr>
                <w:rFonts w:ascii="Arial" w:eastAsia="Arial Unicode MS" w:hAnsi="Arial"/>
                <w:lang w:eastAsia="zh-CN"/>
              </w:rPr>
              <w:t xml:space="preserve"> </w:t>
            </w: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eMTC</w:t>
            </w:r>
            <w:r>
              <w:rPr>
                <w:rFonts w:ascii="Arial" w:eastAsia="Arial Unicode MS" w:hAnsi="Arial"/>
                <w:lang w:eastAsia="zh-CN"/>
              </w:rPr>
              <w:t xml:space="preserve"> </w:t>
            </w:r>
            <w:r>
              <w:rPr>
                <w:rFonts w:ascii="Arial" w:eastAsia="Arial Unicode MS" w:hAnsi="Arial" w:hint="eastAsia"/>
                <w:lang w:eastAsia="zh-CN"/>
              </w:rPr>
              <w:t>over</w:t>
            </w:r>
            <w:r>
              <w:rPr>
                <w:rFonts w:ascii="Arial" w:eastAsia="Arial Unicode MS" w:hAnsi="Arial"/>
                <w:lang w:eastAsia="zh-CN"/>
              </w:rPr>
              <w:t xml:space="preserve"> </w:t>
            </w:r>
            <w:r>
              <w:rPr>
                <w:rFonts w:ascii="Arial" w:eastAsia="Arial Unicode MS" w:hAnsi="Arial" w:hint="eastAsia"/>
                <w:lang w:eastAsia="zh-CN"/>
              </w:rPr>
              <w:t>NTN</w:t>
            </w:r>
            <w:r>
              <w:rPr>
                <w:rFonts w:ascii="Arial" w:eastAsia="Arial Unicode MS" w:hAnsi="Arial"/>
                <w:lang w:eastAsia="zh-CN"/>
              </w:rPr>
              <w:t>. I</w:t>
            </w:r>
            <w:r w:rsidRPr="008E453E">
              <w:rPr>
                <w:rFonts w:ascii="Arial" w:eastAsia="Arial Unicode MS" w:hAnsi="Arial"/>
                <w:lang w:eastAsia="zh-CN"/>
              </w:rPr>
              <w:t>s there any intention in P11 to revise such agreements?</w:t>
            </w:r>
          </w:p>
        </w:tc>
      </w:tr>
      <w:tr w:rsidR="00FA0BC9" w14:paraId="50171977" w14:textId="77777777" w:rsidTr="005B6332">
        <w:tc>
          <w:tcPr>
            <w:tcW w:w="1435" w:type="dxa"/>
          </w:tcPr>
          <w:p w14:paraId="28E13C0B" w14:textId="5BABCAB9"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63C934D5" w14:textId="1547C31F"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FCAA1E" w14:textId="77777777" w:rsidR="00FA0BC9" w:rsidRPr="008E453E" w:rsidRDefault="00FA0BC9" w:rsidP="009704D1">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r w:rsidR="00ED57A1" w14:paraId="25D9A661" w14:textId="77777777" w:rsidTr="005B6332">
        <w:tc>
          <w:tcPr>
            <w:tcW w:w="1435" w:type="dxa"/>
          </w:tcPr>
          <w:p w14:paraId="55189B30" w14:textId="44B1383E" w:rsidR="00ED57A1" w:rsidRDefault="00ED57A1" w:rsidP="00D23521">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C066777" w14:textId="6D9776B4" w:rsidR="00ED57A1" w:rsidRDefault="00ED57A1"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CBC10B5" w14:textId="77777777" w:rsidR="00ED57A1" w:rsidRDefault="00ED57A1" w:rsidP="00D23521">
            <w:pPr>
              <w:spacing w:before="120"/>
              <w:rPr>
                <w:rFonts w:ascii="Arial" w:eastAsia="Arial Unicode MS" w:hAnsi="Arial"/>
                <w:lang w:eastAsia="zh-CN"/>
              </w:rPr>
            </w:pPr>
          </w:p>
        </w:tc>
      </w:tr>
      <w:tr w:rsidR="009704D1" w14:paraId="0932705E" w14:textId="77777777" w:rsidTr="005B6332">
        <w:tc>
          <w:tcPr>
            <w:tcW w:w="1435" w:type="dxa"/>
          </w:tcPr>
          <w:p w14:paraId="4E787974" w14:textId="52625449"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7ED848BA" w14:textId="21486271" w:rsidR="009704D1" w:rsidRDefault="009704D1"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6B15DC" w14:textId="77777777" w:rsidR="009704D1" w:rsidRDefault="009704D1" w:rsidP="009704D1">
            <w:pPr>
              <w:spacing w:before="120"/>
              <w:rPr>
                <w:rFonts w:ascii="Arial" w:eastAsia="Arial Unicode MS" w:hAnsi="Arial"/>
                <w:lang w:eastAsia="zh-CN"/>
              </w:rPr>
            </w:pPr>
          </w:p>
        </w:tc>
      </w:tr>
      <w:tr w:rsidR="00FA0BC9" w14:paraId="2175E8F0" w14:textId="77777777" w:rsidTr="005B6332">
        <w:tc>
          <w:tcPr>
            <w:tcW w:w="1435" w:type="dxa"/>
          </w:tcPr>
          <w:p w14:paraId="4F6165CB" w14:textId="10569006"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668B02B9" w14:textId="03F5B5B0" w:rsidR="00FA0BC9" w:rsidRDefault="00FA0BC9"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DF45536" w14:textId="77777777" w:rsidR="00FA0BC9" w:rsidRDefault="00FA0BC9" w:rsidP="009704D1">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lastRenderedPageBreak/>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lastRenderedPageBreak/>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lastRenderedPageBreak/>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r w:rsidR="00ED57A1" w14:paraId="0AFF19B1" w14:textId="77777777" w:rsidTr="005B6332">
        <w:tc>
          <w:tcPr>
            <w:tcW w:w="1435" w:type="dxa"/>
          </w:tcPr>
          <w:p w14:paraId="6552D276" w14:textId="7E9DBA2C" w:rsidR="00ED57A1" w:rsidRDefault="00ED57A1" w:rsidP="00A94B8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3560ED29" w14:textId="33CB4932" w:rsidR="00ED57A1" w:rsidRDefault="00ED57A1" w:rsidP="00A94B8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7704C6" w14:textId="77777777" w:rsidR="00ED57A1" w:rsidRDefault="00ED57A1" w:rsidP="00A94B80">
            <w:pPr>
              <w:spacing w:before="120"/>
              <w:rPr>
                <w:rFonts w:ascii="Arial" w:eastAsia="Arial Unicode MS" w:hAnsi="Arial"/>
                <w:lang w:eastAsia="zh-CN"/>
              </w:rPr>
            </w:pPr>
          </w:p>
        </w:tc>
      </w:tr>
      <w:tr w:rsidR="009704D1" w14:paraId="47F4054C" w14:textId="77777777" w:rsidTr="005B6332">
        <w:tc>
          <w:tcPr>
            <w:tcW w:w="1435" w:type="dxa"/>
          </w:tcPr>
          <w:p w14:paraId="644B5F51" w14:textId="2692A849"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34EBBF4" w14:textId="77777777" w:rsidR="009704D1" w:rsidRDefault="009704D1" w:rsidP="009704D1">
            <w:pPr>
              <w:spacing w:before="120"/>
              <w:rPr>
                <w:rFonts w:ascii="Arial" w:eastAsia="Arial Unicode MS" w:hAnsi="Arial"/>
                <w:lang w:val="en-US" w:eastAsia="zh-CN"/>
              </w:rPr>
            </w:pPr>
            <w:r>
              <w:rPr>
                <w:rFonts w:ascii="Arial" w:eastAsia="Arial Unicode MS" w:hAnsi="Arial" w:hint="eastAsia"/>
                <w:lang w:val="en-US" w:eastAsia="zh-CN"/>
              </w:rPr>
              <w:t>P13</w:t>
            </w:r>
            <w:r>
              <w:rPr>
                <w:rFonts w:ascii="Arial" w:eastAsia="Arial Unicode MS" w:hAnsi="Arial"/>
                <w:lang w:val="en-US" w:eastAsia="zh-CN"/>
              </w:rPr>
              <w:t xml:space="preserve">: </w:t>
            </w:r>
            <w:r>
              <w:rPr>
                <w:rFonts w:ascii="Arial" w:eastAsia="Arial Unicode MS" w:hAnsi="Arial"/>
                <w:lang w:eastAsia="zh-CN"/>
              </w:rPr>
              <w:t>Acceptable</w:t>
            </w:r>
          </w:p>
          <w:p w14:paraId="5E8D6BC3" w14:textId="77777777" w:rsidR="009704D1" w:rsidRDefault="009704D1" w:rsidP="009704D1">
            <w:pPr>
              <w:spacing w:before="120"/>
              <w:rPr>
                <w:rFonts w:ascii="Arial" w:eastAsia="Arial Unicode MS" w:hAnsi="Arial"/>
                <w:lang w:val="en-US" w:eastAsia="zh-CN"/>
              </w:rPr>
            </w:pPr>
            <w:r>
              <w:rPr>
                <w:rFonts w:ascii="Arial" w:eastAsia="Arial Unicode MS" w:hAnsi="Arial" w:hint="eastAsia"/>
                <w:lang w:val="en-US" w:eastAsia="zh-CN"/>
              </w:rPr>
              <w:t>P14</w:t>
            </w:r>
            <w:r>
              <w:rPr>
                <w:rFonts w:ascii="Arial" w:eastAsia="Arial Unicode MS" w:hAnsi="Arial"/>
                <w:lang w:val="en-US" w:eastAsia="zh-CN"/>
              </w:rPr>
              <w:t xml:space="preserve">: </w:t>
            </w:r>
            <w:r>
              <w:rPr>
                <w:rFonts w:ascii="Arial" w:eastAsia="Arial Unicode MS" w:hAnsi="Arial"/>
                <w:lang w:eastAsia="zh-CN"/>
              </w:rPr>
              <w:t>Acceptable but</w:t>
            </w:r>
          </w:p>
          <w:p w14:paraId="3A949DB6" w14:textId="77777777" w:rsidR="009704D1" w:rsidRDefault="009704D1" w:rsidP="009704D1">
            <w:pPr>
              <w:spacing w:before="120"/>
              <w:rPr>
                <w:rFonts w:ascii="Arial" w:eastAsia="Arial Unicode MS" w:hAnsi="Arial"/>
                <w:lang w:eastAsia="zh-CN"/>
              </w:rPr>
            </w:pPr>
          </w:p>
        </w:tc>
        <w:tc>
          <w:tcPr>
            <w:tcW w:w="6484" w:type="dxa"/>
          </w:tcPr>
          <w:p w14:paraId="726BF5CC" w14:textId="44F81B18" w:rsidR="009704D1" w:rsidRDefault="007B78C0" w:rsidP="009704D1">
            <w:pPr>
              <w:spacing w:before="120"/>
              <w:rPr>
                <w:rFonts w:ascii="Arial" w:eastAsia="Arial Unicode MS" w:hAnsi="Arial"/>
                <w:lang w:eastAsia="zh-CN"/>
              </w:rPr>
            </w:pP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P14,</w:t>
            </w:r>
            <w:r>
              <w:rPr>
                <w:rFonts w:ascii="Arial" w:eastAsia="Arial Unicode MS" w:hAnsi="Arial"/>
                <w:lang w:eastAsia="zh-CN"/>
              </w:rPr>
              <w:t xml:space="preserve"> i</w:t>
            </w:r>
            <w:r w:rsidR="009704D1" w:rsidRPr="008E453E">
              <w:rPr>
                <w:rFonts w:ascii="Arial" w:eastAsia="Arial Unicode MS" w:hAnsi="Arial" w:hint="eastAsia"/>
                <w:lang w:eastAsia="zh-CN"/>
              </w:rPr>
              <w:t>f cell beam</w:t>
            </w:r>
            <w:r w:rsidR="009704D1">
              <w:rPr>
                <w:rFonts w:ascii="Arial" w:eastAsia="Arial Unicode MS" w:hAnsi="Arial"/>
                <w:lang w:eastAsia="zh-CN"/>
              </w:rPr>
              <w:t xml:space="preserve"> cannot be supported</w:t>
            </w:r>
            <w:r w:rsidR="009704D1" w:rsidRPr="008E453E">
              <w:rPr>
                <w:rFonts w:ascii="Arial" w:eastAsia="Arial Unicode MS" w:hAnsi="Arial" w:hint="eastAsia"/>
                <w:lang w:eastAsia="zh-CN"/>
              </w:rPr>
              <w:t xml:space="preserve"> in IoT over LEO,</w:t>
            </w:r>
            <w:r w:rsidR="009704D1">
              <w:rPr>
                <w:rFonts w:ascii="Arial" w:eastAsia="Arial Unicode MS" w:hAnsi="Arial"/>
                <w:lang w:eastAsia="zh-CN"/>
              </w:rPr>
              <w:t xml:space="preserve"> </w:t>
            </w:r>
            <w:r w:rsidR="009704D1" w:rsidRPr="008E453E">
              <w:rPr>
                <w:rFonts w:ascii="Arial" w:eastAsia="Arial Unicode MS" w:hAnsi="Arial" w:hint="eastAsia"/>
                <w:lang w:eastAsia="zh-CN"/>
              </w:rPr>
              <w:t>the UE density</w:t>
            </w:r>
            <w:r w:rsidR="009704D1">
              <w:rPr>
                <w:rFonts w:ascii="Arial" w:eastAsia="Arial Unicode MS" w:hAnsi="Arial"/>
                <w:lang w:eastAsia="zh-CN"/>
              </w:rPr>
              <w:t xml:space="preserve"> of 400UE/km2 may not be able to be supported in the cell with large radius (e.g.,</w:t>
            </w:r>
            <w:r w:rsidR="009704D1" w:rsidRPr="008E453E">
              <w:rPr>
                <w:rFonts w:ascii="Arial" w:eastAsia="Arial Unicode MS" w:hAnsi="Arial"/>
                <w:lang w:eastAsia="zh-CN"/>
              </w:rPr>
              <w:t xml:space="preserve"> 250km</w:t>
            </w:r>
            <w:r w:rsidR="009704D1">
              <w:rPr>
                <w:rFonts w:ascii="Arial" w:eastAsia="Arial Unicode MS" w:hAnsi="Arial"/>
                <w:lang w:eastAsia="zh-CN"/>
              </w:rPr>
              <w:t xml:space="preserve">). </w:t>
            </w:r>
          </w:p>
          <w:p w14:paraId="72732F8C" w14:textId="32C18AC5" w:rsidR="009704D1" w:rsidRDefault="009704D1" w:rsidP="009704D1">
            <w:pPr>
              <w:spacing w:before="120"/>
              <w:rPr>
                <w:rFonts w:ascii="Arial" w:eastAsia="Arial Unicode MS" w:hAnsi="Arial"/>
                <w:lang w:eastAsia="zh-CN"/>
              </w:rPr>
            </w:pPr>
            <w:r>
              <w:rPr>
                <w:rFonts w:ascii="Arial" w:eastAsia="Arial Unicode MS" w:hAnsi="Arial"/>
                <w:lang w:eastAsia="zh-CN"/>
              </w:rPr>
              <w:t>We are fine to further discuss whether we need different</w:t>
            </w:r>
            <w:r w:rsidRPr="008E453E">
              <w:rPr>
                <w:rFonts w:ascii="Arial" w:eastAsia="Arial Unicode MS" w:hAnsi="Arial" w:hint="eastAsia"/>
                <w:lang w:eastAsia="zh-CN"/>
              </w:rPr>
              <w:t xml:space="preserve"> UE density</w:t>
            </w:r>
            <w:r>
              <w:rPr>
                <w:rFonts w:ascii="Arial" w:eastAsia="Arial Unicode MS" w:hAnsi="Arial"/>
                <w:lang w:eastAsia="zh-CN"/>
              </w:rPr>
              <w:t xml:space="preserve"> assumption for different cell size. </w:t>
            </w:r>
          </w:p>
        </w:tc>
      </w:tr>
      <w:tr w:rsidR="00FA0BC9" w14:paraId="061E988C" w14:textId="77777777" w:rsidTr="005B6332">
        <w:tc>
          <w:tcPr>
            <w:tcW w:w="1435" w:type="dxa"/>
          </w:tcPr>
          <w:p w14:paraId="68C4AF37" w14:textId="355B4512"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Ericsson</w:t>
            </w:r>
          </w:p>
        </w:tc>
        <w:tc>
          <w:tcPr>
            <w:tcW w:w="1710" w:type="dxa"/>
          </w:tcPr>
          <w:p w14:paraId="5C82D0A8" w14:textId="5ACB11E9" w:rsidR="00FA0BC9" w:rsidRDefault="00FA0BC9" w:rsidP="009704D1">
            <w:pPr>
              <w:spacing w:before="120"/>
              <w:rPr>
                <w:rFonts w:ascii="Arial" w:eastAsia="Arial Unicode MS" w:hAnsi="Arial" w:hint="eastAsia"/>
                <w:lang w:val="en-US" w:eastAsia="zh-CN"/>
              </w:rPr>
            </w:pPr>
            <w:r>
              <w:rPr>
                <w:rFonts w:ascii="Arial" w:eastAsia="Arial Unicode MS" w:hAnsi="Arial"/>
                <w:lang w:val="en-US" w:eastAsia="zh-CN"/>
              </w:rPr>
              <w:t>Acceptable but</w:t>
            </w:r>
          </w:p>
        </w:tc>
        <w:tc>
          <w:tcPr>
            <w:tcW w:w="6484" w:type="dxa"/>
          </w:tcPr>
          <w:p w14:paraId="218BAAA7" w14:textId="08BAC2DC" w:rsidR="00FA0BC9" w:rsidRDefault="00FA0BC9" w:rsidP="009704D1">
            <w:pPr>
              <w:spacing w:before="120"/>
              <w:rPr>
                <w:rFonts w:ascii="Arial" w:eastAsia="Arial Unicode MS" w:hAnsi="Arial" w:hint="eastAsia"/>
                <w:lang w:eastAsia="zh-CN"/>
              </w:rPr>
            </w:pPr>
            <w:r>
              <w:rPr>
                <w:rFonts w:ascii="Arial" w:eastAsia="Arial Unicode MS" w:hAnsi="Arial"/>
                <w:lang w:eastAsia="zh-CN"/>
              </w:rPr>
              <w:t>Agree with QC that P14 is up to RAN1 to decide, but if companies think that there is a need to capture something in RAN2, one option would be to say that “</w:t>
            </w:r>
            <w:r>
              <w:t>Cell beam is not applicable to NB-IoT or eMTC from RAN2 standpoint</w:t>
            </w:r>
            <w:r>
              <w:rPr>
                <w:rFonts w:ascii="Arial" w:eastAsia="Arial Unicode MS" w:hAnsi="Arial"/>
                <w:lang w:eastAsia="zh-CN"/>
              </w:rPr>
              <w:t>” or “</w:t>
            </w:r>
            <w:r>
              <w:t>RAN2 assumes that cell beam is not applicable to NB-IoT or eMTC</w:t>
            </w:r>
            <w:r>
              <w:rPr>
                <w:rFonts w:ascii="Arial" w:eastAsia="Arial Unicode MS" w:hAnsi="Arial"/>
                <w:lang w:eastAsia="zh-CN"/>
              </w:rPr>
              <w:t>”</w:t>
            </w: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lastRenderedPageBreak/>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Eventhough the RAN2 impacts are minimum considering the changes required in other groups (RAN3) related to the duplication efforts. We suggest to de-prioritise if needed. </w:t>
            </w:r>
          </w:p>
        </w:tc>
      </w:tr>
      <w:tr w:rsidR="00ED57A1" w14:paraId="266ADED3" w14:textId="77777777" w:rsidTr="005B6332">
        <w:tc>
          <w:tcPr>
            <w:tcW w:w="1435" w:type="dxa"/>
          </w:tcPr>
          <w:p w14:paraId="5476E18F" w14:textId="385C05EE" w:rsidR="00ED57A1" w:rsidRDefault="00ED57A1" w:rsidP="009B1026">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6FB80ED3" w14:textId="6B8B2B03" w:rsidR="00ED57A1" w:rsidRDefault="00ED57A1"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31DB9BB" w14:textId="77777777" w:rsidR="00ED57A1" w:rsidRDefault="00ED57A1" w:rsidP="009B1026">
            <w:pPr>
              <w:spacing w:before="120"/>
              <w:rPr>
                <w:rFonts w:ascii="Arial" w:eastAsia="Arial Unicode MS" w:hAnsi="Arial"/>
                <w:lang w:eastAsia="zh-CN"/>
              </w:rPr>
            </w:pPr>
          </w:p>
        </w:tc>
      </w:tr>
      <w:tr w:rsidR="009704D1" w14:paraId="7F675DBF" w14:textId="77777777" w:rsidTr="005B6332">
        <w:tc>
          <w:tcPr>
            <w:tcW w:w="1435" w:type="dxa"/>
          </w:tcPr>
          <w:p w14:paraId="0D361914" w14:textId="4B7951D4" w:rsidR="009704D1" w:rsidRDefault="009704D1" w:rsidP="009704D1">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6F6CDD3E" w14:textId="0845130D" w:rsidR="009704D1" w:rsidRDefault="009704D1" w:rsidP="009704D1">
            <w:pPr>
              <w:spacing w:before="120"/>
              <w:rPr>
                <w:rFonts w:ascii="Arial" w:eastAsia="Arial Unicode MS" w:hAnsi="Arial"/>
                <w:lang w:eastAsia="zh-CN"/>
              </w:rPr>
            </w:pPr>
            <w:r>
              <w:rPr>
                <w:rFonts w:ascii="Arial" w:eastAsia="Arial Unicode MS" w:hAnsi="Arial"/>
                <w:lang w:eastAsia="zh-CN"/>
              </w:rPr>
              <w:t>Yes</w:t>
            </w:r>
          </w:p>
        </w:tc>
        <w:tc>
          <w:tcPr>
            <w:tcW w:w="6484" w:type="dxa"/>
          </w:tcPr>
          <w:p w14:paraId="3E709094" w14:textId="77777777" w:rsidR="009704D1" w:rsidRDefault="009704D1" w:rsidP="009704D1">
            <w:pPr>
              <w:spacing w:before="120"/>
              <w:rPr>
                <w:rFonts w:ascii="Arial" w:eastAsia="Arial Unicode MS" w:hAnsi="Arial"/>
                <w:lang w:eastAsia="zh-CN"/>
              </w:rPr>
            </w:pPr>
          </w:p>
        </w:tc>
      </w:tr>
      <w:tr w:rsidR="008F2B0F" w14:paraId="30E5B682" w14:textId="77777777" w:rsidTr="005B6332">
        <w:tc>
          <w:tcPr>
            <w:tcW w:w="1435" w:type="dxa"/>
          </w:tcPr>
          <w:p w14:paraId="43E77E48" w14:textId="2EDC5173" w:rsidR="008F2B0F" w:rsidRDefault="008F2B0F" w:rsidP="009704D1">
            <w:pPr>
              <w:spacing w:before="120"/>
              <w:rPr>
                <w:rFonts w:ascii="Arial" w:eastAsia="Arial Unicode MS" w:hAnsi="Arial" w:hint="eastAsia"/>
                <w:lang w:eastAsia="zh-CN"/>
              </w:rPr>
            </w:pPr>
            <w:r>
              <w:rPr>
                <w:rFonts w:ascii="Arial" w:eastAsia="Arial Unicode MS" w:hAnsi="Arial"/>
                <w:lang w:eastAsia="zh-CN"/>
              </w:rPr>
              <w:t>Ericsson</w:t>
            </w:r>
          </w:p>
        </w:tc>
        <w:tc>
          <w:tcPr>
            <w:tcW w:w="1710" w:type="dxa"/>
          </w:tcPr>
          <w:p w14:paraId="22E45F6F" w14:textId="44CAF529" w:rsidR="008F2B0F" w:rsidRDefault="008F2B0F" w:rsidP="009704D1">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2E2DDF8B" w14:textId="46107CD1" w:rsidR="008F2B0F" w:rsidRDefault="008F2B0F" w:rsidP="009704D1">
            <w:pPr>
              <w:spacing w:before="120"/>
              <w:rPr>
                <w:rFonts w:ascii="Arial" w:eastAsia="Arial Unicode MS" w:hAnsi="Arial"/>
                <w:lang w:eastAsia="zh-CN"/>
              </w:rPr>
            </w:pPr>
            <w:r>
              <w:rPr>
                <w:rFonts w:ascii="Arial" w:eastAsia="Arial Unicode MS" w:hAnsi="Arial"/>
                <w:lang w:eastAsia="zh-CN"/>
              </w:rPr>
              <w:t>It is not essential for Rel-17 and, if considered, it should be deprioritized.</w:t>
            </w: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r>
              <w:rPr>
                <w:rFonts w:ascii="Arial" w:eastAsia="Arial Unicode MS" w:hAnsi="Arial"/>
                <w:lang w:eastAsia="zh-CN"/>
              </w:rPr>
              <w:t>Yes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r w:rsidR="00ED57A1" w14:paraId="43E0549F" w14:textId="77777777" w:rsidTr="005B6332">
        <w:tc>
          <w:tcPr>
            <w:tcW w:w="1435" w:type="dxa"/>
          </w:tcPr>
          <w:p w14:paraId="5580040F" w14:textId="6EBB4580" w:rsidR="00ED57A1" w:rsidRDefault="00ED57A1" w:rsidP="00FD5E0F">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B289A8D" w14:textId="3D8813FF" w:rsidR="00ED57A1" w:rsidRDefault="00ED57A1"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4FBDEAAA" w14:textId="77777777" w:rsidR="00ED57A1" w:rsidRDefault="00ED57A1" w:rsidP="00FD5E0F">
            <w:pPr>
              <w:spacing w:before="120"/>
              <w:rPr>
                <w:rFonts w:ascii="Arial" w:hAnsi="Arial" w:cs="Arial"/>
              </w:rPr>
            </w:pPr>
          </w:p>
        </w:tc>
      </w:tr>
      <w:tr w:rsidR="009704D1" w14:paraId="13596C6A" w14:textId="77777777" w:rsidTr="005B6332">
        <w:tc>
          <w:tcPr>
            <w:tcW w:w="1435" w:type="dxa"/>
          </w:tcPr>
          <w:p w14:paraId="52F4D453" w14:textId="71B9ED1C" w:rsidR="009704D1" w:rsidRDefault="009704D1" w:rsidP="009704D1">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15824920" w14:textId="04CA3234" w:rsidR="009704D1" w:rsidRDefault="009704D1" w:rsidP="009704D1">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23C035A" w14:textId="5BF49F13" w:rsidR="009704D1" w:rsidRDefault="009704D1" w:rsidP="009704D1">
            <w:pPr>
              <w:spacing w:before="120"/>
              <w:rPr>
                <w:rFonts w:ascii="Arial" w:hAnsi="Arial" w:cs="Arial"/>
              </w:rPr>
            </w:pPr>
            <w:r>
              <w:rPr>
                <w:rFonts w:ascii="Arial" w:eastAsia="Arial Unicode MS" w:hAnsi="Arial"/>
                <w:lang w:val="en-US" w:eastAsia="zh-CN"/>
              </w:rPr>
              <w:t>We assume t</w:t>
            </w:r>
            <w:r>
              <w:rPr>
                <w:rFonts w:ascii="Arial" w:eastAsia="Arial Unicode MS" w:hAnsi="Arial" w:hint="eastAsia"/>
                <w:lang w:val="en-US" w:eastAsia="zh-CN"/>
              </w:rPr>
              <w:t xml:space="preserve">he SI acquisition over LEO with eDRX can be treated under </w:t>
            </w:r>
            <w:r>
              <w:rPr>
                <w:rFonts w:ascii="Arial" w:eastAsia="Arial Unicode MS" w:hAnsi="Arial"/>
                <w:lang w:val="en-US" w:eastAsia="zh-CN"/>
              </w:rPr>
              <w:t xml:space="preserve">AI </w:t>
            </w:r>
            <w:r>
              <w:rPr>
                <w:rFonts w:ascii="Arial" w:eastAsia="Arial Unicode MS" w:hAnsi="Arial" w:hint="eastAsia"/>
                <w:lang w:val="en-US" w:eastAsia="zh-CN"/>
              </w:rPr>
              <w:t xml:space="preserve">9.2.3. </w:t>
            </w:r>
          </w:p>
        </w:tc>
      </w:tr>
      <w:tr w:rsidR="008F2B0F" w14:paraId="365F7E14" w14:textId="77777777" w:rsidTr="005B6332">
        <w:tc>
          <w:tcPr>
            <w:tcW w:w="1435" w:type="dxa"/>
          </w:tcPr>
          <w:p w14:paraId="0B6DD46E" w14:textId="53BF7433" w:rsidR="008F2B0F" w:rsidRDefault="008F2B0F" w:rsidP="009704D1">
            <w:pPr>
              <w:spacing w:before="120"/>
              <w:rPr>
                <w:rFonts w:ascii="Arial" w:eastAsia="Arial Unicode MS" w:hAnsi="Arial" w:hint="eastAsia"/>
                <w:lang w:eastAsia="zh-CN"/>
              </w:rPr>
            </w:pPr>
            <w:r>
              <w:rPr>
                <w:rFonts w:ascii="Arial" w:eastAsia="Arial Unicode MS" w:hAnsi="Arial"/>
                <w:lang w:eastAsia="zh-CN"/>
              </w:rPr>
              <w:t>Ericsson</w:t>
            </w:r>
          </w:p>
        </w:tc>
        <w:tc>
          <w:tcPr>
            <w:tcW w:w="1710" w:type="dxa"/>
          </w:tcPr>
          <w:p w14:paraId="0F7B3085" w14:textId="724570F7" w:rsidR="008F2B0F" w:rsidRDefault="008F2B0F" w:rsidP="009704D1">
            <w:pPr>
              <w:spacing w:before="120"/>
              <w:rPr>
                <w:rFonts w:ascii="Arial" w:eastAsia="Arial Unicode MS" w:hAnsi="Arial" w:hint="eastAsia"/>
                <w:lang w:eastAsia="zh-CN"/>
              </w:rPr>
            </w:pPr>
            <w:r>
              <w:rPr>
                <w:rFonts w:ascii="Arial" w:eastAsia="Arial Unicode MS" w:hAnsi="Arial"/>
                <w:lang w:eastAsia="zh-CN"/>
              </w:rPr>
              <w:t>Yes</w:t>
            </w:r>
          </w:p>
        </w:tc>
        <w:tc>
          <w:tcPr>
            <w:tcW w:w="6484" w:type="dxa"/>
          </w:tcPr>
          <w:p w14:paraId="04010668" w14:textId="77777777" w:rsidR="008F2B0F" w:rsidRDefault="008F2B0F" w:rsidP="009704D1">
            <w:pPr>
              <w:spacing w:before="120"/>
              <w:rPr>
                <w:rFonts w:ascii="Arial" w:eastAsia="Arial Unicode MS" w:hAnsi="Arial"/>
                <w:lang w:val="en-US"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B20834" w:rsidP="0027624B">
      <w:pPr>
        <w:pStyle w:val="Doc-title"/>
        <w:numPr>
          <w:ilvl w:val="0"/>
          <w:numId w:val="14"/>
        </w:numPr>
      </w:pPr>
      <w:hyperlink r:id="rId12" w:history="1">
        <w:r w:rsidR="00FA34DE" w:rsidRPr="00FA34DE">
          <w:rPr>
            <w:rStyle w:val="Hyperlink"/>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okia" w:date="2021-05-25T14:42:00Z" w:initials="Nokia">
    <w:p w14:paraId="461F0D4A" w14:textId="30801858" w:rsidR="00A07F58" w:rsidRDefault="00A07F58">
      <w:pPr>
        <w:pStyle w:val="CommentText"/>
      </w:pPr>
      <w:r>
        <w:rPr>
          <w:rStyle w:val="CommentReference"/>
        </w:rPr>
        <w:annotationRef/>
      </w:r>
      <w:r>
        <w:t>IoT NTN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1F0D4A" w16cid:durableId="24578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41D6C" w14:textId="77777777" w:rsidR="00B20834" w:rsidRDefault="00B20834">
      <w:pPr>
        <w:pStyle w:val="TAL"/>
      </w:pPr>
      <w:r>
        <w:separator/>
      </w:r>
    </w:p>
  </w:endnote>
  <w:endnote w:type="continuationSeparator" w:id="0">
    <w:p w14:paraId="5BE3705D" w14:textId="77777777" w:rsidR="00B20834" w:rsidRDefault="00B20834">
      <w:pPr>
        <w:pStyle w:val="TAL"/>
      </w:pPr>
      <w:r>
        <w:continuationSeparator/>
      </w:r>
    </w:p>
  </w:endnote>
  <w:endnote w:type="continuationNotice" w:id="1">
    <w:p w14:paraId="0F90C2ED" w14:textId="77777777" w:rsidR="00B20834" w:rsidRDefault="00B20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4A101" w14:textId="77777777" w:rsidR="007B78C0" w:rsidRDefault="007B7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0A05A5A7" w:rsidR="005B6332" w:rsidRDefault="005B6332">
    <w:pPr>
      <w:pStyle w:val="Footer"/>
    </w:pPr>
    <w:r>
      <w:rPr>
        <w:lang w:val="en-US" w:eastAsia="zh-CN"/>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5B6332" w:rsidRPr="00D145C1" w:rsidRDefault="005B6332"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textbox inset="20pt,0,,0">
                <w:txbxContent>
                  <w:p w14:paraId="6A2FFFD6" w14:textId="4BA094B7" w:rsidR="005B6332" w:rsidRPr="00D145C1" w:rsidRDefault="005B6332" w:rsidP="00D145C1">
                    <w:pPr>
                      <w:spacing w:after="0"/>
                      <w:rPr>
                        <w:rFonts w:ascii="Calibri" w:hAnsi="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825B" w14:textId="77777777" w:rsidR="007B78C0" w:rsidRDefault="007B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57EF9" w14:textId="77777777" w:rsidR="00B20834" w:rsidRDefault="00B20834">
      <w:pPr>
        <w:pStyle w:val="TAL"/>
      </w:pPr>
      <w:r>
        <w:separator/>
      </w:r>
    </w:p>
  </w:footnote>
  <w:footnote w:type="continuationSeparator" w:id="0">
    <w:p w14:paraId="1D02B752" w14:textId="77777777" w:rsidR="00B20834" w:rsidRDefault="00B20834">
      <w:pPr>
        <w:pStyle w:val="TAL"/>
      </w:pPr>
      <w:r>
        <w:continuationSeparator/>
      </w:r>
    </w:p>
  </w:footnote>
  <w:footnote w:type="continuationNotice" w:id="1">
    <w:p w14:paraId="798B3F28" w14:textId="77777777" w:rsidR="00B20834" w:rsidRDefault="00B20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07E3" w14:textId="77777777" w:rsidR="007B78C0" w:rsidRDefault="007B7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B6332" w:rsidRDefault="005B6332">
    <w:pPr>
      <w:pStyle w:val="Header"/>
      <w:framePr w:wrap="auto" w:vAnchor="text" w:hAnchor="margin" w:xAlign="center" w:y="1"/>
      <w:widowControl/>
    </w:pPr>
    <w:r>
      <w:fldChar w:fldCharType="begin"/>
    </w:r>
    <w:r>
      <w:instrText xml:space="preserve"> PAGE </w:instrText>
    </w:r>
    <w:r>
      <w:fldChar w:fldCharType="separate"/>
    </w:r>
    <w:r w:rsidR="007B78C0">
      <w:t>13</w:t>
    </w:r>
    <w:r>
      <w:fldChar w:fldCharType="end"/>
    </w:r>
  </w:p>
  <w:p w14:paraId="7E7576F4" w14:textId="77777777" w:rsidR="005B6332" w:rsidRDefault="005B6332">
    <w:pPr>
      <w:pStyle w:val="Header"/>
    </w:pPr>
  </w:p>
  <w:p w14:paraId="7B616B78" w14:textId="77777777" w:rsidR="005B6332" w:rsidRDefault="005B63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79B9" w14:textId="77777777" w:rsidR="007B78C0" w:rsidRDefault="007B7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08C"/>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67F6A"/>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8C0"/>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F06DC"/>
    <w:rsid w:val="008F16FC"/>
    <w:rsid w:val="008F2ACE"/>
    <w:rsid w:val="008F2B0F"/>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04D1"/>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0834"/>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324C"/>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17F69"/>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57A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0BC9"/>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39835786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14-e/Docs/R2-2104817.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9547F-EC6E-42E3-803E-A0318054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16</Pages>
  <Words>4924</Words>
  <Characters>28069</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TS 36.304</vt:lpstr>
      <vt:lpstr>3GPP TS 36.304</vt:lpstr>
    </vt:vector>
  </TitlesOfParts>
  <Manager/>
  <Company/>
  <LinksUpToDate>false</LinksUpToDate>
  <CharactersWithSpaces>32928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Emre A. Yavuz</cp:lastModifiedBy>
  <cp:revision>7</cp:revision>
  <cp:lastPrinted>2007-12-21T11:58:00Z</cp:lastPrinted>
  <dcterms:created xsi:type="dcterms:W3CDTF">2021-05-25T08:20:00Z</dcterms:created>
  <dcterms:modified xsi:type="dcterms:W3CDTF">2021-05-25T09:11:00Z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