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Heading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This 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Default="00CA4FE1">
      <w:pPr>
        <w:pStyle w:val="Doc-text2"/>
      </w:pPr>
      <w:r>
        <w:tab/>
        <w:t>Scope: Treat R2-2104716, R2-2104727, R2-2104884, R2-2104885, R2-2105177, R2-2105178, R2-2105063, R2-2105094, R2-2105095, R2-2105711, R2-2104916, R2-2104917, R2-2104722, R2-2105715, R2-2105247, R2-2105716, R2-2105717, R2-2106316, R2-2104829, R2-2105359, R2-2105360, R2-2105361, R2-2105362</w:t>
      </w:r>
    </w:p>
    <w:p w14:paraId="033C1F4A" w14:textId="77777777" w:rsidR="00C3269F" w:rsidRDefault="00CA4FE1">
      <w:pPr>
        <w:pStyle w:val="EmailDiscussion2"/>
      </w:pPr>
      <w:r>
        <w:tab/>
        <w:t>Phase 1, determine agreeable parts, Phase 2, for agreeable parts Work on CRs.</w:t>
      </w:r>
    </w:p>
    <w:p w14:paraId="3488FAC7" w14:textId="77777777" w:rsidR="00C3269F" w:rsidRDefault="00CA4FE1">
      <w:pPr>
        <w:pStyle w:val="EmailDiscussion2"/>
      </w:pPr>
      <w:r>
        <w:tab/>
        <w:t xml:space="preserve">Intended outcome: Report and Agreed CRs. </w:t>
      </w:r>
    </w:p>
    <w:p w14:paraId="0609742C" w14:textId="77777777" w:rsidR="00C3269F" w:rsidRDefault="00CA4FE1">
      <w:pPr>
        <w:pStyle w:val="EmailDiscussion2"/>
      </w:pPr>
      <w:r>
        <w:tab/>
        <w:t>Deadline: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2 PUCCH capability</w:t>
      </w:r>
    </w:p>
    <w:p w14:paraId="1317145F" w14:textId="77777777" w:rsidR="00C3269F" w:rsidRDefault="00CA4FE1">
      <w:pPr>
        <w:pStyle w:val="Doc-title"/>
      </w:pPr>
      <w:r>
        <w:t>[1] 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6BD286F7" w14:textId="77777777" w:rsidR="00C3269F" w:rsidRDefault="00CA4FE1">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r>
        <w:rPr>
          <w:u w:val="single"/>
        </w:rPr>
        <w:t>Tx Diversity capability</w:t>
      </w:r>
    </w:p>
    <w:p w14:paraId="72C56296" w14:textId="77777777" w:rsidR="00C3269F" w:rsidRDefault="00CA4FE1">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R2-2105711</w:t>
      </w:r>
      <w:r>
        <w:tab/>
        <w:t>Discussion on signalling design for TxD capability</w:t>
      </w:r>
      <w:r>
        <w:tab/>
        <w:t>Huawei, HiSilicon</w:t>
      </w:r>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Capability support of one-octet eLCID for IAB MT</w:t>
      </w:r>
    </w:p>
    <w:p w14:paraId="79F035E9" w14:textId="77777777" w:rsidR="00C3269F" w:rsidRDefault="00CA4FE1">
      <w:pPr>
        <w:pStyle w:val="Doc-title"/>
      </w:pPr>
      <w:r>
        <w:t>[12] R2-2105359</w:t>
      </w:r>
      <w:r>
        <w:tab/>
        <w:t>Capability of supporting one-octet eLCID in IAB</w:t>
      </w:r>
      <w:r>
        <w:tab/>
        <w:t>vivo</w:t>
      </w:r>
      <w:r>
        <w:tab/>
        <w:t>discussion</w:t>
      </w:r>
    </w:p>
    <w:p w14:paraId="0F512C86" w14:textId="77777777" w:rsidR="00C3269F" w:rsidRDefault="00CA4FE1">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Huawei, HiSilicon</w:t>
      </w:r>
      <w:r>
        <w:tab/>
        <w:t>discussion</w:t>
      </w:r>
      <w:r>
        <w:tab/>
        <w:t>Rel-16</w:t>
      </w:r>
      <w:r>
        <w:tab/>
        <w:t>TEI16</w:t>
      </w:r>
    </w:p>
    <w:p w14:paraId="25D861D4" w14:textId="77777777" w:rsidR="00C3269F" w:rsidRDefault="00CA4FE1">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r w:rsidR="00B90F43" w14:paraId="66F6C859"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88EB8" w14:textId="052277A2" w:rsidR="00B90F43" w:rsidRDefault="00B90F43" w:rsidP="00B90F43">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800E3" w14:textId="1654309C" w:rsidR="00B90F43" w:rsidRDefault="00B90F43" w:rsidP="00B90F43">
            <w:pPr>
              <w:jc w:val="center"/>
              <w:rPr>
                <w:lang w:val="de-DE"/>
              </w:rPr>
            </w:pPr>
            <w:r>
              <w:rPr>
                <w:lang w:val="de-DE"/>
              </w:rPr>
              <w:t>Chun-Fan.tsai@mediatek.com</w:t>
            </w:r>
          </w:p>
        </w:tc>
      </w:tr>
    </w:tbl>
    <w:p w14:paraId="67AC10FC" w14:textId="77777777" w:rsidR="00C3269F" w:rsidRDefault="00C3269F">
      <w:pPr>
        <w:pStyle w:val="EmailDiscussion2"/>
        <w:ind w:left="0" w:firstLine="0"/>
        <w:rPr>
          <w:lang w:val="de-DE"/>
        </w:rPr>
      </w:pPr>
    </w:p>
    <w:p w14:paraId="4F148630" w14:textId="77777777" w:rsidR="00C3269F" w:rsidRDefault="00CA4FE1">
      <w:pPr>
        <w:pStyle w:val="Heading1"/>
      </w:pPr>
      <w:r>
        <w:lastRenderedPageBreak/>
        <w:t>2</w:t>
      </w:r>
      <w:r>
        <w:tab/>
        <w:t>Discussion</w:t>
      </w:r>
    </w:p>
    <w:p w14:paraId="616CB5D4" w14:textId="77777777" w:rsidR="00C3269F" w:rsidRDefault="00CA4FE1">
      <w:pPr>
        <w:pStyle w:val="Heading2"/>
      </w:pPr>
      <w:r>
        <w:t>2.1</w:t>
      </w:r>
      <w:r>
        <w:tab/>
        <w:t>Phase 1: Intended to determine agreeable parts</w:t>
      </w:r>
    </w:p>
    <w:p w14:paraId="2288706A" w14:textId="77777777" w:rsidR="00C3269F" w:rsidRDefault="00CA4FE1">
      <w:pPr>
        <w:pStyle w:val="Heading3"/>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29DCB21F" w14:textId="77777777" w:rsidR="00C3269F" w:rsidRDefault="00CA4FE1">
      <w:pPr>
        <w:spacing w:after="0"/>
        <w:jc w:val="both"/>
        <w:rPr>
          <w:rFonts w:ascii="Arial" w:hAnsi="Arial"/>
        </w:rPr>
      </w:pPr>
      <w:r>
        <w:rPr>
          <w:rFonts w:ascii="Arial" w:hAnsi="Arial"/>
        </w:rPr>
        <w:t>3 alternatives are disucssed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Default="00CA4FE1">
            <w:pPr>
              <w:pStyle w:val="TAL"/>
              <w:rPr>
                <w:b/>
                <w:i/>
              </w:rPr>
            </w:pPr>
            <w:bookmarkStart w:id="1" w:name="OLE_LINK1"/>
            <w:r>
              <w:rPr>
                <w:b/>
                <w:i/>
              </w:rPr>
              <w:lastRenderedPageBreak/>
              <w:t>twoHARQ-ACK-Codebook-type1-r16</w:t>
            </w:r>
          </w:p>
          <w:bookmarkEnd w:id="1"/>
          <w:p w14:paraId="6072692C" w14:textId="77777777" w:rsidR="00C3269F" w:rsidRDefault="00CA4FE1">
            <w:pPr>
              <w:pStyle w:val="TAL"/>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E2D5B74" w14:textId="77777777" w:rsidR="00C3269F" w:rsidRDefault="00CA4FE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1D1A34BA" w14:textId="77777777" w:rsidR="00C3269F" w:rsidRDefault="00C3269F">
            <w:pPr>
              <w:pStyle w:val="TAL"/>
              <w:rPr>
                <w:rFonts w:eastAsia="MS Mincho" w:cs="Arial"/>
                <w:szCs w:val="18"/>
              </w:rPr>
            </w:pPr>
          </w:p>
          <w:p w14:paraId="11659745" w14:textId="77777777" w:rsidR="00C3269F" w:rsidRDefault="00CA4FE1">
            <w:pPr>
              <w:pStyle w:val="TAN"/>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 xml:space="preserve">twoHARQ-ACK-Codebook-type1-r16 </w:t>
            </w:r>
            <w:r>
              <w:rPr>
                <w:rFonts w:eastAsia="MS Mincho"/>
              </w:rPr>
              <w:t xml:space="preserve">but </w:t>
            </w:r>
            <w:r>
              <w:t xml:space="preserve">does not report </w:t>
            </w:r>
            <w:r>
              <w:rPr>
                <w:i/>
                <w:iCs/>
              </w:rPr>
              <w:t>multiPUCCH-r16</w:t>
            </w:r>
            <w:r>
              <w:rPr>
                <w:rFonts w:eastAsia="MS Mincho"/>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441CF6D"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5BBF5C37"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7663A6F4" w14:textId="77777777" w:rsidR="00C3269F" w:rsidRDefault="00CA4FE1">
            <w:pPr>
              <w:spacing w:after="0"/>
              <w:jc w:val="both"/>
              <w:rPr>
                <w:rFonts w:ascii="Arial" w:hAnsi="Arial"/>
                <w:lang w:val="de-DE"/>
              </w:rPr>
            </w:pPr>
            <w:r>
              <w:rPr>
                <w:rFonts w:ascii="Arial" w:hAnsi="Arial"/>
                <w:lang w:val="de-DE"/>
              </w:rPr>
              <w:t>No (not strong view)</w:t>
            </w:r>
          </w:p>
        </w:tc>
        <w:tc>
          <w:tcPr>
            <w:tcW w:w="5807" w:type="dxa"/>
          </w:tcPr>
          <w:p w14:paraId="6808E882" w14:textId="77777777" w:rsidR="00C3269F" w:rsidRDefault="00C3269F">
            <w:pPr>
              <w:spacing w:after="0"/>
              <w:jc w:val="both"/>
              <w:rPr>
                <w:rFonts w:ascii="Arial" w:hAnsi="Arial"/>
                <w:lang w:val="de-DE"/>
              </w:rPr>
            </w:pPr>
          </w:p>
        </w:tc>
      </w:tr>
      <w:tr w:rsidR="00C3269F" w14:paraId="7B9099E7" w14:textId="77777777">
        <w:tc>
          <w:tcPr>
            <w:tcW w:w="1837" w:type="dxa"/>
          </w:tcPr>
          <w:p w14:paraId="1DF4585E" w14:textId="77777777" w:rsidR="00C3269F" w:rsidRDefault="00CA4FE1">
            <w:pPr>
              <w:spacing w:after="0"/>
              <w:jc w:val="both"/>
              <w:rPr>
                <w:rFonts w:ascii="Arial" w:hAnsi="Arial"/>
                <w:lang w:val="de-DE"/>
              </w:rPr>
            </w:pPr>
            <w:r>
              <w:rPr>
                <w:rFonts w:ascii="Arial"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76582026" w14:textId="77777777" w:rsidR="00C3269F" w:rsidRDefault="00CA4FE1">
            <w:pPr>
              <w:spacing w:after="0"/>
              <w:jc w:val="both"/>
              <w:rPr>
                <w:rFonts w:ascii="Arial" w:hAnsi="Arial"/>
                <w:lang w:val="de-DE"/>
              </w:rPr>
            </w:pPr>
            <w:r>
              <w:rPr>
                <w:rFonts w:ascii="Arial" w:hAnsi="Arial"/>
                <w:lang w:val="de-DE"/>
              </w:rPr>
              <w:t>No (no strong view)</w:t>
            </w:r>
          </w:p>
        </w:tc>
        <w:tc>
          <w:tcPr>
            <w:tcW w:w="5807" w:type="dxa"/>
          </w:tcPr>
          <w:p w14:paraId="2DD64007" w14:textId="77777777" w:rsidR="00C3269F" w:rsidRDefault="00CA4FE1">
            <w:pPr>
              <w:spacing w:after="0"/>
              <w:jc w:val="both"/>
              <w:rPr>
                <w:rFonts w:ascii="Arial" w:hAnsi="Arial"/>
                <w:lang w:val="de-DE"/>
              </w:rPr>
            </w:pPr>
            <w:r>
              <w:rPr>
                <w:rFonts w:ascii="Arial"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31CF9EDE" w14:textId="77777777" w:rsidR="00C3269F" w:rsidRDefault="00CA4FE1">
            <w:pPr>
              <w:spacing w:after="0"/>
              <w:jc w:val="both"/>
              <w:rPr>
                <w:rFonts w:ascii="Arial" w:hAnsi="Arial"/>
                <w:lang w:val="de-DE"/>
              </w:rPr>
            </w:pPr>
            <w:r>
              <w:rPr>
                <w:rFonts w:ascii="Arial" w:hAnsi="Arial"/>
                <w:lang w:val="de-DE"/>
              </w:rPr>
              <w:t>No strong view</w:t>
            </w:r>
          </w:p>
        </w:tc>
        <w:tc>
          <w:tcPr>
            <w:tcW w:w="5807" w:type="dxa"/>
          </w:tcPr>
          <w:p w14:paraId="050E77FA" w14:textId="77777777" w:rsidR="00C3269F" w:rsidRDefault="00CA4FE1">
            <w:pPr>
              <w:spacing w:after="0"/>
              <w:jc w:val="both"/>
              <w:rPr>
                <w:rFonts w:ascii="Arial" w:hAnsi="Arial"/>
                <w:lang w:val="de-DE"/>
              </w:rPr>
            </w:pPr>
            <w:r>
              <w:rPr>
                <w:rFonts w:ascii="Arial" w:hAnsi="Arial"/>
                <w:lang w:val="de-DE"/>
              </w:rPr>
              <w:t>If current wording is to be kept, then atleast a better wording than "</w:t>
            </w:r>
            <w:r>
              <w:rPr>
                <w:rFonts w:ascii="Times" w:eastAsia="Batang" w:hAnsi="Times"/>
                <w:color w:val="FF0000"/>
                <w:lang w:val="de-DE"/>
              </w:rPr>
              <w:t xml:space="preserve"> the capability for each HARQ-ACK codebook </w:t>
            </w:r>
            <w:r>
              <w:rPr>
                <w:rFonts w:ascii="Times" w:eastAsia="Batang" w:hAnsi="Times"/>
                <w:color w:val="FF0000"/>
                <w:highlight w:val="yellow"/>
                <w:lang w:val="de-DE"/>
              </w:rPr>
              <w:t>is subjected</w:t>
            </w:r>
            <w:r>
              <w:rPr>
                <w:rFonts w:ascii="Times" w:eastAsia="Batang" w:hAnsi="Times"/>
                <w:color w:val="FF0000"/>
                <w:lang w:val="de-DE"/>
              </w:rPr>
              <w:t xml:space="preserve">“ </w:t>
            </w:r>
            <w:r>
              <w:rPr>
                <w:rFonts w:ascii="Arial" w:hAnsi="Arial"/>
                <w:lang w:val="de-DE"/>
              </w:rPr>
              <w:t xml:space="preserve">can be made, like </w:t>
            </w:r>
            <w:r>
              <w:rPr>
                <w:rFonts w:ascii="Times" w:eastAsia="Batang" w:hAnsi="Times"/>
                <w:color w:val="FF0000"/>
                <w:lang w:val="de-DE"/>
              </w:rPr>
              <w:t xml:space="preserve">the capability for each HARQ-ACK codebook </w:t>
            </w:r>
            <w:r>
              <w:rPr>
                <w:rFonts w:ascii="Times" w:eastAsia="Batang" w:hAnsi="Times"/>
                <w:color w:val="FF0000"/>
                <w:highlight w:val="yellow"/>
                <w:lang w:val="de-DE"/>
              </w:rPr>
              <w:t xml:space="preserve">is </w:t>
            </w:r>
            <w:r>
              <w:rPr>
                <w:rFonts w:ascii="Times" w:eastAsia="Batang"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r w:rsidR="00B90F43" w:rsidRPr="000005B0" w14:paraId="5071EB24" w14:textId="77777777" w:rsidTr="00CA4FE1">
        <w:tc>
          <w:tcPr>
            <w:tcW w:w="1837" w:type="dxa"/>
          </w:tcPr>
          <w:p w14:paraId="4F73A407" w14:textId="59B9B7EA" w:rsidR="00B90F43" w:rsidRDefault="00B90F43" w:rsidP="00B90F43">
            <w:pPr>
              <w:spacing w:after="0"/>
              <w:jc w:val="both"/>
              <w:rPr>
                <w:rFonts w:ascii="Arial" w:hAnsi="Arial" w:hint="eastAsia"/>
                <w:noProof/>
                <w:lang w:eastAsia="zh-CN"/>
              </w:rPr>
            </w:pPr>
            <w:r>
              <w:rPr>
                <w:rFonts w:ascii="Arial" w:hAnsi="Arial"/>
                <w:noProof/>
              </w:rPr>
              <w:t>MediaTek</w:t>
            </w:r>
          </w:p>
        </w:tc>
        <w:tc>
          <w:tcPr>
            <w:tcW w:w="1985" w:type="dxa"/>
          </w:tcPr>
          <w:p w14:paraId="22688CAB" w14:textId="44D1627A" w:rsidR="00B90F43" w:rsidRDefault="00B90F43" w:rsidP="00B90F43">
            <w:pPr>
              <w:spacing w:after="0"/>
              <w:jc w:val="both"/>
              <w:rPr>
                <w:rFonts w:ascii="Arial" w:hAnsi="Arial" w:hint="eastAsia"/>
                <w:noProof/>
                <w:lang w:eastAsia="zh-CN"/>
              </w:rPr>
            </w:pPr>
            <w:r>
              <w:rPr>
                <w:rFonts w:ascii="Arial" w:hAnsi="Arial"/>
                <w:noProof/>
              </w:rPr>
              <w:t>No strong view</w:t>
            </w:r>
          </w:p>
        </w:tc>
        <w:tc>
          <w:tcPr>
            <w:tcW w:w="5807" w:type="dxa"/>
          </w:tcPr>
          <w:p w14:paraId="1FE933B8" w14:textId="2FBBAD53" w:rsidR="00B90F43" w:rsidRDefault="00B90F43" w:rsidP="00B90F43">
            <w:pPr>
              <w:spacing w:after="0"/>
              <w:jc w:val="both"/>
              <w:rPr>
                <w:rFonts w:ascii="Arial" w:hAnsi="Arial"/>
                <w:noProof/>
                <w:lang w:eastAsia="zh-CN"/>
              </w:rPr>
            </w:pPr>
            <w:r>
              <w:rPr>
                <w:rFonts w:ascii="Arial" w:hAnsi="Arial"/>
                <w:noProof/>
              </w:rPr>
              <w:t>But better to clarify.</w:t>
            </w: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E81A46F" w14:textId="77777777" w:rsidR="00C3269F" w:rsidRDefault="00CA4FE1">
            <w:pPr>
              <w:spacing w:after="0"/>
              <w:jc w:val="both"/>
              <w:rPr>
                <w:rFonts w:ascii="Arial" w:hAnsi="Arial"/>
                <w:b/>
                <w:bCs/>
                <w:lang w:val="de-DE"/>
              </w:rPr>
            </w:pPr>
            <w:r>
              <w:rPr>
                <w:rFonts w:ascii="Arial" w:hAnsi="Arial"/>
                <w:b/>
                <w:bCs/>
                <w:lang w:val="de-DE"/>
              </w:rPr>
              <w:t>Alt2/Alt3/Others</w:t>
            </w:r>
          </w:p>
        </w:tc>
        <w:tc>
          <w:tcPr>
            <w:tcW w:w="5807" w:type="dxa"/>
          </w:tcPr>
          <w:p w14:paraId="0E8E0CF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860E3DA" w14:textId="77777777" w:rsidR="00C3269F" w:rsidRDefault="00CA4FE1">
            <w:pPr>
              <w:spacing w:after="0"/>
              <w:jc w:val="both"/>
              <w:rPr>
                <w:rFonts w:ascii="Arial" w:hAnsi="Arial"/>
                <w:lang w:val="de-DE"/>
              </w:rPr>
            </w:pPr>
            <w:r>
              <w:rPr>
                <w:rFonts w:ascii="Arial" w:hAnsi="Arial"/>
                <w:lang w:val="de-DE"/>
              </w:rPr>
              <w:t>No Alt2</w:t>
            </w:r>
          </w:p>
        </w:tc>
        <w:tc>
          <w:tcPr>
            <w:tcW w:w="5807" w:type="dxa"/>
          </w:tcPr>
          <w:p w14:paraId="1811F9DE" w14:textId="77777777" w:rsidR="00C3269F" w:rsidRDefault="00CA4FE1">
            <w:pPr>
              <w:spacing w:after="0"/>
              <w:jc w:val="both"/>
              <w:rPr>
                <w:rFonts w:ascii="Arial" w:hAnsi="Arial"/>
                <w:lang w:val="de-DE"/>
              </w:rPr>
            </w:pPr>
            <w:r>
              <w:rPr>
                <w:rFonts w:ascii="Arial" w:hAnsi="Arial"/>
                <w:lang w:val="de-DE"/>
              </w:rPr>
              <w:t>Alt-2 is already discussed in RAN1 and is thought not needed.  Hence Alt2 should not be considered by RAN2.</w:t>
            </w:r>
          </w:p>
        </w:tc>
      </w:tr>
      <w:tr w:rsidR="00C3269F" w14:paraId="34C20882" w14:textId="77777777">
        <w:tc>
          <w:tcPr>
            <w:tcW w:w="1837" w:type="dxa"/>
          </w:tcPr>
          <w:p w14:paraId="3E7AE253" w14:textId="77777777" w:rsidR="00C3269F" w:rsidRDefault="00CA4FE1">
            <w:pPr>
              <w:spacing w:after="0"/>
              <w:jc w:val="center"/>
              <w:rPr>
                <w:rFonts w:ascii="Arial" w:hAnsi="Arial"/>
                <w:lang w:val="de-DE"/>
              </w:rPr>
            </w:pPr>
            <w:r>
              <w:rPr>
                <w:rFonts w:ascii="Arial" w:hAnsi="Arial"/>
                <w:lang w:val="de-DE"/>
              </w:rPr>
              <w:t>Ericsson</w:t>
            </w:r>
          </w:p>
        </w:tc>
        <w:tc>
          <w:tcPr>
            <w:tcW w:w="1985" w:type="dxa"/>
          </w:tcPr>
          <w:p w14:paraId="0B49632C"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96E3A5F" w14:textId="77777777" w:rsidR="00C3269F" w:rsidRDefault="00CA4FE1">
            <w:pPr>
              <w:spacing w:after="0"/>
              <w:jc w:val="both"/>
              <w:rPr>
                <w:rFonts w:ascii="Arial" w:hAnsi="Arial"/>
                <w:lang w:val="de-DE"/>
              </w:rPr>
            </w:pPr>
            <w:r>
              <w:rPr>
                <w:rFonts w:ascii="Arial"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6450E201"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0DFB2F30" w14:textId="77777777" w:rsidR="00C3269F" w:rsidRDefault="00C3269F">
            <w:pPr>
              <w:spacing w:after="0"/>
              <w:jc w:val="both"/>
              <w:rPr>
                <w:rFonts w:ascii="Arial"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6CE11776"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hAnsi="Arial"/>
                <w:lang w:val="de-DE" w:eastAsia="zh-CN"/>
              </w:rPr>
            </w:pPr>
            <w:r>
              <w:rPr>
                <w:rFonts w:ascii="Arial" w:hAnsi="Arial" w:hint="eastAsia"/>
                <w:lang w:val="de-DE" w:eastAsia="zh-CN"/>
              </w:rPr>
              <w:t>v</w:t>
            </w:r>
            <w:r>
              <w:rPr>
                <w:rFonts w:ascii="Arial" w:hAnsi="Arial"/>
                <w:lang w:val="de-DE" w:eastAsia="zh-CN"/>
              </w:rPr>
              <w:t>ivo</w:t>
            </w:r>
          </w:p>
        </w:tc>
        <w:tc>
          <w:tcPr>
            <w:tcW w:w="1985" w:type="dxa"/>
          </w:tcPr>
          <w:p w14:paraId="0A655983" w14:textId="4B7049C1" w:rsidR="00C3269F" w:rsidRDefault="00CA4FE1">
            <w:pPr>
              <w:spacing w:after="0"/>
              <w:jc w:val="both"/>
              <w:rPr>
                <w:rFonts w:ascii="Arial" w:hAnsi="Arial"/>
                <w:lang w:val="de-DE" w:eastAsia="zh-CN"/>
              </w:rPr>
            </w:pPr>
            <w:r>
              <w:rPr>
                <w:rFonts w:ascii="Arial" w:hAnsi="Arial" w:hint="eastAsia"/>
                <w:lang w:val="de-DE" w:eastAsia="zh-CN"/>
              </w:rPr>
              <w:t>N</w:t>
            </w:r>
            <w:r>
              <w:rPr>
                <w:rFonts w:ascii="Arial" w:hAnsi="Arial"/>
                <w:lang w:val="de-DE" w:eastAsia="zh-CN"/>
              </w:rPr>
              <w:t>o Alt2</w:t>
            </w:r>
          </w:p>
        </w:tc>
        <w:tc>
          <w:tcPr>
            <w:tcW w:w="5807" w:type="dxa"/>
          </w:tcPr>
          <w:p w14:paraId="6D27B96C" w14:textId="77777777" w:rsidR="00C3269F" w:rsidRDefault="00C3269F">
            <w:pPr>
              <w:spacing w:after="0"/>
              <w:jc w:val="both"/>
              <w:rPr>
                <w:rFonts w:ascii="Arial" w:hAnsi="Arial"/>
                <w:lang w:val="de-DE"/>
              </w:rPr>
            </w:pPr>
          </w:p>
        </w:tc>
      </w:tr>
      <w:tr w:rsidR="00B90F43" w14:paraId="4AC784FF" w14:textId="77777777">
        <w:tc>
          <w:tcPr>
            <w:tcW w:w="1837" w:type="dxa"/>
          </w:tcPr>
          <w:p w14:paraId="7286D81B" w14:textId="339E47D8" w:rsidR="00B90F43" w:rsidRDefault="00B90F43" w:rsidP="00B90F43">
            <w:pPr>
              <w:spacing w:after="0"/>
              <w:jc w:val="both"/>
              <w:rPr>
                <w:rFonts w:ascii="Arial" w:hAnsi="Arial" w:hint="eastAsia"/>
                <w:lang w:val="de-DE" w:eastAsia="zh-CN"/>
              </w:rPr>
            </w:pPr>
            <w:r>
              <w:rPr>
                <w:rFonts w:ascii="Arial" w:hAnsi="Arial"/>
                <w:noProof/>
              </w:rPr>
              <w:t>MediaTek</w:t>
            </w:r>
          </w:p>
        </w:tc>
        <w:tc>
          <w:tcPr>
            <w:tcW w:w="1985" w:type="dxa"/>
          </w:tcPr>
          <w:p w14:paraId="3A1D837D" w14:textId="5A36E928" w:rsidR="00B90F43" w:rsidRDefault="00B90F43" w:rsidP="00B90F43">
            <w:pPr>
              <w:spacing w:after="0"/>
              <w:jc w:val="both"/>
              <w:rPr>
                <w:rFonts w:ascii="Arial" w:hAnsi="Arial" w:hint="eastAsia"/>
                <w:lang w:val="de-DE" w:eastAsia="zh-CN"/>
              </w:rPr>
            </w:pPr>
            <w:r>
              <w:rPr>
                <w:rFonts w:ascii="Arial" w:hAnsi="Arial"/>
                <w:noProof/>
              </w:rPr>
              <w:t>Alt 3</w:t>
            </w:r>
          </w:p>
        </w:tc>
        <w:tc>
          <w:tcPr>
            <w:tcW w:w="5807" w:type="dxa"/>
          </w:tcPr>
          <w:p w14:paraId="194A19AB" w14:textId="77777777" w:rsidR="00B90F43" w:rsidRDefault="00B90F43" w:rsidP="00B90F43">
            <w:pPr>
              <w:spacing w:after="0"/>
              <w:jc w:val="both"/>
              <w:rPr>
                <w:rFonts w:ascii="Arial" w:hAnsi="Arial"/>
                <w:lang w:val="de-DE"/>
              </w:rPr>
            </w:pP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B6C6C3"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BF42AF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1C4A4B4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6935AB11" w14:textId="77777777" w:rsidR="00C3269F" w:rsidRDefault="00CA4FE1">
            <w:pPr>
              <w:spacing w:after="0"/>
              <w:jc w:val="both"/>
              <w:rPr>
                <w:rFonts w:ascii="Arial" w:hAnsi="Arial"/>
                <w:lang w:val="de-DE"/>
              </w:rPr>
            </w:pPr>
            <w:r>
              <w:rPr>
                <w:rFonts w:ascii="Arial" w:hAnsi="Arial"/>
                <w:lang w:val="de-DE"/>
              </w:rPr>
              <w:t>We don’t see a strict need, since it is clarfied in the LS that “RAN2 can consider editing sentences“. Additionally, the above highlight red colored sentences were introduced by RAN2, and so RAN2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FC7A677" w14:textId="77777777" w:rsidR="00C3269F" w:rsidRDefault="00CA4FE1">
            <w:pPr>
              <w:spacing w:after="0"/>
              <w:jc w:val="both"/>
              <w:rPr>
                <w:rFonts w:ascii="Arial" w:hAnsi="Arial"/>
                <w:lang w:val="de-DE"/>
              </w:rPr>
            </w:pPr>
            <w:r>
              <w:rPr>
                <w:rFonts w:ascii="Arial"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B90F43" w14:paraId="1A9A7628" w14:textId="77777777">
        <w:tc>
          <w:tcPr>
            <w:tcW w:w="1837" w:type="dxa"/>
          </w:tcPr>
          <w:p w14:paraId="18A0958A" w14:textId="707CBC6B" w:rsidR="00B90F43" w:rsidRDefault="00B90F43" w:rsidP="00B90F43">
            <w:pPr>
              <w:spacing w:after="0"/>
              <w:jc w:val="both"/>
              <w:rPr>
                <w:rFonts w:ascii="Arial" w:hAnsi="Arial"/>
                <w:lang w:val="de-DE"/>
              </w:rPr>
            </w:pPr>
            <w:r>
              <w:rPr>
                <w:rFonts w:ascii="Arial" w:hAnsi="Arial"/>
                <w:noProof/>
              </w:rPr>
              <w:t>MediaTek</w:t>
            </w:r>
          </w:p>
        </w:tc>
        <w:tc>
          <w:tcPr>
            <w:tcW w:w="1985" w:type="dxa"/>
          </w:tcPr>
          <w:p w14:paraId="63959ABC" w14:textId="7C555884" w:rsidR="00B90F43" w:rsidRDefault="00B90F43" w:rsidP="00B90F43">
            <w:pPr>
              <w:spacing w:after="0"/>
              <w:jc w:val="both"/>
              <w:rPr>
                <w:rFonts w:ascii="Arial" w:hAnsi="Arial"/>
                <w:lang w:val="de-DE"/>
              </w:rPr>
            </w:pPr>
            <w:r>
              <w:rPr>
                <w:rFonts w:ascii="Arial" w:hAnsi="Arial"/>
                <w:noProof/>
              </w:rPr>
              <w:t>No</w:t>
            </w:r>
          </w:p>
        </w:tc>
        <w:tc>
          <w:tcPr>
            <w:tcW w:w="5807" w:type="dxa"/>
          </w:tcPr>
          <w:p w14:paraId="7D5E02B3" w14:textId="7131C5B3" w:rsidR="00B90F43" w:rsidRDefault="00B90F43" w:rsidP="00B90F43">
            <w:pPr>
              <w:spacing w:after="0"/>
              <w:jc w:val="both"/>
              <w:rPr>
                <w:rFonts w:ascii="Arial" w:hAnsi="Arial"/>
                <w:lang w:val="de-DE"/>
              </w:rPr>
            </w:pPr>
            <w:r>
              <w:rPr>
                <w:rFonts w:ascii="Arial" w:hAnsi="Arial"/>
                <w:noProof/>
              </w:rPr>
              <w:t>Seems not needed</w:t>
            </w: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Heading3"/>
      </w:pPr>
      <w:r>
        <w:t>2.1.2</w:t>
      </w:r>
      <w:r>
        <w:tab/>
        <w:t>CRs based on updated R1 and R4 feature lists</w:t>
      </w:r>
    </w:p>
    <w:p w14:paraId="5DFD8B6B" w14:textId="77777777" w:rsidR="00C3269F" w:rsidRDefault="00CA4FE1">
      <w:pPr>
        <w:spacing w:after="0"/>
        <w:jc w:val="both"/>
        <w:rPr>
          <w:rFonts w:ascii="Arial" w:hAnsi="Arial"/>
        </w:rPr>
      </w:pPr>
      <w:r>
        <w:rPr>
          <w:rFonts w:ascii="Arial" w:hAnsi="Arial"/>
        </w:rPr>
        <w:t>The following CRs are related to the updated R1 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A3591CC" w14:textId="77777777" w:rsidR="00C3269F" w:rsidRDefault="00CA4FE1">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(1)&amp;(2) and (3)&amp;(4) are as follow:</w:t>
      </w:r>
    </w:p>
    <w:p w14:paraId="603267D4" w14:textId="77777777" w:rsidR="00C3269F" w:rsidRDefault="00C3269F">
      <w:pPr>
        <w:spacing w:after="0"/>
        <w:jc w:val="both"/>
        <w:rPr>
          <w:rFonts w:ascii="Arial" w:hAnsi="Arial"/>
        </w:rPr>
      </w:pPr>
    </w:p>
    <w:p w14:paraId="08C61C97" w14:textId="77777777" w:rsidR="00C3269F" w:rsidRDefault="00CA4FE1">
      <w:pPr>
        <w:pStyle w:val="ListParagraph"/>
        <w:numPr>
          <w:ilvl w:val="0"/>
          <w:numId w:val="16"/>
        </w:numPr>
        <w:jc w:val="both"/>
        <w:rPr>
          <w:rFonts w:ascii="Arial" w:hAnsi="Arial"/>
        </w:rPr>
      </w:pPr>
      <w:r>
        <w:rPr>
          <w:rFonts w:ascii="Arial" w:hAnsi="Arial"/>
          <w:lang w:val="en-GB"/>
        </w:rPr>
        <w:t>(1) also includes the following notes that RAN1 LS for the updated R1 feature list ask RAN2 to add to the field descriptions for 22-5c/5d:</w:t>
      </w:r>
    </w:p>
    <w:p w14:paraId="334387E6" w14:textId="77777777" w:rsidR="00C3269F" w:rsidRDefault="00CA4FE1">
      <w:pPr>
        <w:pStyle w:val="ListParagraph"/>
        <w:jc w:val="both"/>
        <w:rPr>
          <w:rFonts w:ascii="Arial" w:hAnsi="Arial"/>
        </w:rPr>
      </w:pPr>
      <w: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40C1617D" w14:textId="77777777" w:rsidR="00C3269F" w:rsidRDefault="00CA4FE1">
      <w:pPr>
        <w:pStyle w:val="ListParagraph"/>
        <w:numPr>
          <w:ilvl w:val="0"/>
          <w:numId w:val="16"/>
        </w:numPr>
        <w:jc w:val="both"/>
        <w:rPr>
          <w:rFonts w:ascii="Arial" w:hAnsi="Arial"/>
        </w:rPr>
      </w:pPr>
      <w:r>
        <w:rPr>
          <w:rFonts w:ascii="Arial" w:hAnsi="Arial"/>
          <w:lang w:val="en-GB"/>
        </w:rPr>
        <w:t>(3) also includes the frequency class separation change as requested by R4 in a separate LS</w:t>
      </w:r>
      <w:r>
        <w:rPr>
          <w:rFonts w:ascii="Arial" w:hAnsi="Arial"/>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C6087C" w14:textId="77777777" w:rsidR="00C3269F" w:rsidRDefault="00CA4FE1">
            <w:pPr>
              <w:spacing w:after="0"/>
              <w:jc w:val="both"/>
              <w:rPr>
                <w:rFonts w:ascii="Arial" w:hAnsi="Arial"/>
                <w:b/>
                <w:bCs/>
                <w:lang w:val="de-DE"/>
              </w:rPr>
            </w:pPr>
            <w:r>
              <w:rPr>
                <w:rFonts w:ascii="Arial" w:hAnsi="Arial"/>
                <w:b/>
                <w:bCs/>
                <w:lang w:val="de-DE"/>
              </w:rPr>
              <w:t>(1)&amp;(2) or (3)&amp;(4)</w:t>
            </w:r>
          </w:p>
        </w:tc>
        <w:tc>
          <w:tcPr>
            <w:tcW w:w="5807" w:type="dxa"/>
          </w:tcPr>
          <w:p w14:paraId="1340458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hAnsi="Arial"/>
                <w:lang w:val="de-DE"/>
              </w:rPr>
            </w:pPr>
            <w:r>
              <w:rPr>
                <w:rFonts w:ascii="Arial" w:hAnsi="Arial"/>
                <w:lang w:val="de-DE"/>
              </w:rPr>
              <w:lastRenderedPageBreak/>
              <w:t>Intel</w:t>
            </w:r>
          </w:p>
        </w:tc>
        <w:tc>
          <w:tcPr>
            <w:tcW w:w="1985" w:type="dxa"/>
          </w:tcPr>
          <w:p w14:paraId="3E4096FE" w14:textId="77777777" w:rsidR="00C3269F" w:rsidRDefault="00CA4FE1">
            <w:pPr>
              <w:spacing w:after="0"/>
              <w:jc w:val="both"/>
              <w:rPr>
                <w:rFonts w:ascii="Arial" w:hAnsi="Arial"/>
                <w:lang w:val="de-DE"/>
              </w:rPr>
            </w:pPr>
            <w:r>
              <w:rPr>
                <w:rFonts w:ascii="Arial" w:hAnsi="Arial"/>
                <w:lang w:val="de-DE"/>
              </w:rPr>
              <w:t xml:space="preserve">(1)&amp;(2) </w:t>
            </w:r>
          </w:p>
        </w:tc>
        <w:tc>
          <w:tcPr>
            <w:tcW w:w="5807" w:type="dxa"/>
          </w:tcPr>
          <w:p w14:paraId="4EED656A"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C3269F" w14:paraId="2D8A4221" w14:textId="77777777">
        <w:tc>
          <w:tcPr>
            <w:tcW w:w="1837" w:type="dxa"/>
          </w:tcPr>
          <w:p w14:paraId="29BFBDAB"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BDC194C"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05C339BA" w14:textId="77777777" w:rsidR="00C3269F" w:rsidRDefault="00CA4FE1">
            <w:pPr>
              <w:spacing w:after="0"/>
              <w:jc w:val="both"/>
              <w:rPr>
                <w:rFonts w:ascii="Arial" w:hAnsi="Arial"/>
                <w:lang w:val="de-DE"/>
              </w:rPr>
            </w:pPr>
            <w:r>
              <w:rPr>
                <w:rFonts w:ascii="Arial"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3D14CEF" w14:textId="77777777" w:rsidR="00C3269F" w:rsidRDefault="00CA4FE1">
            <w:pPr>
              <w:spacing w:after="0"/>
              <w:jc w:val="both"/>
              <w:rPr>
                <w:rFonts w:ascii="Arial" w:hAnsi="Arial"/>
                <w:lang w:val="de-DE"/>
              </w:rPr>
            </w:pPr>
            <w:bookmarkStart w:id="5" w:name="OLE_LINK2"/>
            <w:r>
              <w:rPr>
                <w:rFonts w:ascii="Arial" w:hAnsi="Arial"/>
                <w:lang w:val="de-DE"/>
              </w:rPr>
              <w:t>(1)&amp;(2)</w:t>
            </w:r>
            <w:bookmarkEnd w:id="5"/>
          </w:p>
        </w:tc>
        <w:tc>
          <w:tcPr>
            <w:tcW w:w="5807" w:type="dxa"/>
          </w:tcPr>
          <w:p w14:paraId="2F8143D1" w14:textId="77777777" w:rsidR="00C3269F" w:rsidRDefault="00C3269F">
            <w:pPr>
              <w:spacing w:after="0"/>
              <w:jc w:val="both"/>
              <w:rPr>
                <w:rFonts w:ascii="Arial"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hAnsi="Arial"/>
                <w:lang w:val="de-DE"/>
              </w:rPr>
              <w:t>(1)&amp;(2)</w:t>
            </w:r>
            <w:r>
              <w:rPr>
                <w:rFonts w:ascii="Arial" w:hAnsi="Arial" w:hint="eastAsia"/>
                <w:lang w:val="en-US" w:eastAsia="zh-CN"/>
              </w:rPr>
              <w:t xml:space="preserve"> or </w:t>
            </w:r>
            <w:r>
              <w:rPr>
                <w:rFonts w:ascii="Arial" w:hAnsi="Arial"/>
                <w:lang w:val="de-DE"/>
              </w:rPr>
              <w:t>(</w:t>
            </w:r>
            <w:r>
              <w:rPr>
                <w:rFonts w:ascii="Arial" w:hAnsi="Arial" w:hint="eastAsia"/>
                <w:lang w:val="en-US" w:eastAsia="zh-CN"/>
              </w:rPr>
              <w:t>3</w:t>
            </w:r>
            <w:r>
              <w:rPr>
                <w:rFonts w:ascii="Arial" w:hAnsi="Arial"/>
                <w:lang w:val="de-DE"/>
              </w:rPr>
              <w:t>)&amp;(</w:t>
            </w:r>
            <w:r>
              <w:rPr>
                <w:rFonts w:ascii="Arial" w:hAnsi="Arial" w:hint="eastAsia"/>
                <w:lang w:val="en-US" w:eastAsia="zh-CN"/>
              </w:rPr>
              <w:t>4</w:t>
            </w:r>
            <w:r>
              <w:rPr>
                <w:rFonts w:ascii="Arial"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r w:rsidR="00B90F43" w:rsidRPr="000005B0" w14:paraId="6F544821" w14:textId="77777777" w:rsidTr="00CA4FE1">
        <w:tc>
          <w:tcPr>
            <w:tcW w:w="1837" w:type="dxa"/>
          </w:tcPr>
          <w:p w14:paraId="435342C1" w14:textId="7C8FC245" w:rsidR="00B90F43" w:rsidRDefault="00B90F43" w:rsidP="00B90F43">
            <w:pPr>
              <w:spacing w:after="0"/>
              <w:jc w:val="both"/>
              <w:rPr>
                <w:rFonts w:ascii="Arial" w:hAnsi="Arial" w:hint="eastAsia"/>
                <w:noProof/>
                <w:lang w:eastAsia="zh-CN"/>
              </w:rPr>
            </w:pPr>
            <w:r>
              <w:rPr>
                <w:rFonts w:ascii="Arial" w:hAnsi="Arial"/>
                <w:noProof/>
              </w:rPr>
              <w:t>MediaTek</w:t>
            </w:r>
          </w:p>
        </w:tc>
        <w:tc>
          <w:tcPr>
            <w:tcW w:w="1985" w:type="dxa"/>
          </w:tcPr>
          <w:p w14:paraId="6C34B8AF" w14:textId="321CC62E" w:rsidR="00B90F43" w:rsidRDefault="00B90F43" w:rsidP="00B90F43">
            <w:pPr>
              <w:spacing w:after="0"/>
              <w:jc w:val="both"/>
              <w:rPr>
                <w:rFonts w:ascii="Arial" w:hAnsi="Arial" w:hint="eastAsia"/>
                <w:noProof/>
                <w:lang w:eastAsia="zh-CN"/>
              </w:rPr>
            </w:pPr>
            <w:r>
              <w:rPr>
                <w:rFonts w:ascii="Arial" w:hAnsi="Arial"/>
                <w:noProof/>
              </w:rPr>
              <w:t>(1)&amp;(2)</w:t>
            </w:r>
          </w:p>
        </w:tc>
        <w:tc>
          <w:tcPr>
            <w:tcW w:w="5807" w:type="dxa"/>
          </w:tcPr>
          <w:p w14:paraId="3D9DF1DC" w14:textId="14EBA8F5" w:rsidR="00B90F43" w:rsidRDefault="00B90F43" w:rsidP="00B90F43">
            <w:pPr>
              <w:spacing w:after="0"/>
              <w:jc w:val="both"/>
              <w:rPr>
                <w:rFonts w:ascii="Arial" w:hAnsi="Arial" w:hint="eastAsia"/>
                <w:noProof/>
                <w:lang w:eastAsia="zh-CN"/>
              </w:rPr>
            </w:pPr>
            <w:r>
              <w:rPr>
                <w:rFonts w:ascii="Arial" w:hAnsi="Arial"/>
                <w:noProof/>
              </w:rPr>
              <w:t xml:space="preserve">For </w:t>
            </w:r>
            <w:r>
              <w:rPr>
                <w:rFonts w:ascii="Arial" w:eastAsia="Yu Mincho" w:hAnsi="Arial"/>
                <w:noProof/>
              </w:rPr>
              <w:t>frequency separation class, we prefer to have separte CR.</w:t>
            </w:r>
          </w:p>
        </w:tc>
      </w:tr>
    </w:tbl>
    <w:p w14:paraId="6E93D939" w14:textId="77777777" w:rsidR="00C3269F"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DF2E9AC"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AFB3F2D"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6C4DE6BC" w14:textId="77777777" w:rsidR="00C3269F" w:rsidRDefault="00CA4FE1">
            <w:pPr>
              <w:spacing w:after="0"/>
              <w:jc w:val="both"/>
              <w:rPr>
                <w:rFonts w:ascii="Arial" w:hAnsi="Arial"/>
                <w:lang w:val="de-DE"/>
              </w:rPr>
            </w:pPr>
            <w:r>
              <w:rPr>
                <w:rFonts w:ascii="Arial" w:hAnsi="Arial"/>
                <w:lang w:val="de-DE"/>
              </w:rPr>
              <w:t>No to (1)&amp;(2)</w:t>
            </w:r>
          </w:p>
        </w:tc>
        <w:tc>
          <w:tcPr>
            <w:tcW w:w="5807" w:type="dxa"/>
          </w:tcPr>
          <w:p w14:paraId="0399A91F"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Proponent of (1)&amp;(2)</w:t>
            </w:r>
          </w:p>
        </w:tc>
      </w:tr>
      <w:tr w:rsidR="00C3269F" w14:paraId="22AC43C2" w14:textId="77777777">
        <w:tc>
          <w:tcPr>
            <w:tcW w:w="1837" w:type="dxa"/>
          </w:tcPr>
          <w:p w14:paraId="5DEB649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2A7F9AF3"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7C6833CA" w14:textId="77777777" w:rsidR="00C3269F" w:rsidRDefault="00CA4FE1">
            <w:pPr>
              <w:spacing w:after="0"/>
              <w:jc w:val="both"/>
              <w:rPr>
                <w:rFonts w:ascii="Arial" w:hAnsi="Arial"/>
                <w:lang w:val="de-DE"/>
              </w:rPr>
            </w:pPr>
            <w:r>
              <w:rPr>
                <w:rFonts w:ascii="Arial" w:hAnsi="Arial"/>
                <w:lang w:val="de-DE"/>
              </w:rPr>
              <w:t>The changes related to HST contains:</w:t>
            </w:r>
          </w:p>
          <w:p w14:paraId="4497D294" w14:textId="77777777" w:rsidR="00C3269F" w:rsidRDefault="00C3269F">
            <w:pPr>
              <w:spacing w:after="0"/>
              <w:jc w:val="both"/>
              <w:rPr>
                <w:rFonts w:ascii="Arial" w:hAnsi="Arial"/>
                <w:lang w:val="de-DE"/>
              </w:rPr>
            </w:pPr>
          </w:p>
          <w:p w14:paraId="0F765DE5" w14:textId="77777777" w:rsidR="00C3269F" w:rsidRDefault="00CA4FE1">
            <w:pPr>
              <w:spacing w:after="0"/>
              <w:jc w:val="both"/>
              <w:rPr>
                <w:rFonts w:ascii="Arial" w:hAnsi="Arial"/>
                <w:lang w:val="de-DE"/>
              </w:rPr>
            </w:pPr>
            <w:r>
              <w:rPr>
                <w:rFonts w:ascii="Arial" w:hAnsi="Arial"/>
                <w:lang w:val="de-DE"/>
              </w:rPr>
              <w:t xml:space="preserve">UE </w:t>
            </w:r>
            <w:r>
              <w:rPr>
                <w:rFonts w:ascii="Arial" w:hAnsi="Arial"/>
                <w:highlight w:val="yellow"/>
                <w:lang w:val="de-DE"/>
              </w:rPr>
              <w:t>shall only</w:t>
            </w:r>
            <w:r>
              <w:rPr>
                <w:rFonts w:ascii="Arial" w:hAnsi="Arial"/>
                <w:lang w:val="de-DE"/>
              </w:rPr>
              <w:t xml:space="preserve"> indicate support of this feature </w:t>
            </w:r>
            <w:r>
              <w:rPr>
                <w:rFonts w:ascii="Arial" w:hAnsi="Arial"/>
                <w:highlight w:val="yellow"/>
                <w:lang w:val="de-DE"/>
              </w:rPr>
              <w:t>only if</w:t>
            </w:r>
            <w:r>
              <w:rPr>
                <w:rFonts w:ascii="Arial" w:hAnsi="Arial"/>
                <w:lang w:val="de-DE"/>
              </w:rPr>
              <w:t xml:space="preserve"> measurementEnhancement-r16 is not reported.</w:t>
            </w:r>
          </w:p>
          <w:p w14:paraId="4AFCE3C5" w14:textId="77777777" w:rsidR="00C3269F" w:rsidRDefault="00C3269F">
            <w:pPr>
              <w:spacing w:after="0"/>
              <w:jc w:val="both"/>
              <w:rPr>
                <w:rFonts w:ascii="Arial" w:hAnsi="Arial"/>
                <w:lang w:val="zh-CN"/>
              </w:rPr>
            </w:pPr>
          </w:p>
          <w:p w14:paraId="62BAE4A4" w14:textId="77777777" w:rsidR="00C3269F" w:rsidRDefault="00CA4FE1">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36E24CE2" w14:textId="77777777" w:rsidR="00C3269F" w:rsidRDefault="00C3269F">
            <w:pPr>
              <w:spacing w:after="0"/>
              <w:jc w:val="both"/>
              <w:rPr>
                <w:rFonts w:ascii="Arial" w:hAnsi="Arial"/>
                <w:lang w:val="de-DE"/>
              </w:rPr>
            </w:pPr>
          </w:p>
        </w:tc>
      </w:tr>
      <w:tr w:rsidR="00C3269F" w14:paraId="3BB515C0" w14:textId="77777777">
        <w:tc>
          <w:tcPr>
            <w:tcW w:w="1837" w:type="dxa"/>
          </w:tcPr>
          <w:p w14:paraId="45B03228"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8109B7"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585E7B82" w14:textId="77777777" w:rsidR="00C3269F" w:rsidRDefault="00CA4FE1">
            <w:pPr>
              <w:spacing w:after="0"/>
              <w:jc w:val="both"/>
              <w:rPr>
                <w:rFonts w:ascii="Arial" w:hAnsi="Arial"/>
                <w:lang w:val="de-DE"/>
              </w:rPr>
            </w:pPr>
            <w:r>
              <w:rPr>
                <w:rFonts w:ascii="Arial"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C3269F" w14:paraId="016A5730" w14:textId="77777777">
        <w:tc>
          <w:tcPr>
            <w:tcW w:w="1837" w:type="dxa"/>
          </w:tcPr>
          <w:p w14:paraId="65C0E2A9" w14:textId="77777777" w:rsidR="00C3269F" w:rsidRDefault="00C3269F">
            <w:pPr>
              <w:spacing w:after="0"/>
              <w:jc w:val="both"/>
              <w:rPr>
                <w:rFonts w:ascii="Arial" w:hAnsi="Arial"/>
                <w:lang w:val="de-DE"/>
              </w:rPr>
            </w:pPr>
          </w:p>
        </w:tc>
        <w:tc>
          <w:tcPr>
            <w:tcW w:w="1985" w:type="dxa"/>
          </w:tcPr>
          <w:p w14:paraId="33C46282" w14:textId="77777777" w:rsidR="00C3269F" w:rsidRDefault="00C3269F">
            <w:pPr>
              <w:spacing w:after="0"/>
              <w:jc w:val="both"/>
              <w:rPr>
                <w:rFonts w:ascii="Arial" w:hAnsi="Arial"/>
                <w:lang w:val="de-DE"/>
              </w:rPr>
            </w:pPr>
          </w:p>
        </w:tc>
        <w:tc>
          <w:tcPr>
            <w:tcW w:w="5807" w:type="dxa"/>
          </w:tcPr>
          <w:p w14:paraId="1003EB66" w14:textId="77777777" w:rsidR="00C3269F" w:rsidRDefault="00C3269F">
            <w:pPr>
              <w:spacing w:after="0"/>
              <w:jc w:val="both"/>
              <w:rPr>
                <w:rFonts w:ascii="Arial" w:hAnsi="Arial"/>
                <w:lang w:val="de-DE"/>
              </w:rPr>
            </w:pPr>
          </w:p>
        </w:tc>
      </w:tr>
    </w:tbl>
    <w:p w14:paraId="679F8994" w14:textId="77777777" w:rsidR="00C3269F" w:rsidRDefault="00C3269F">
      <w:pPr>
        <w:spacing w:after="0"/>
        <w:jc w:val="both"/>
        <w:rPr>
          <w:rFonts w:ascii="Arial" w:hAnsi="Arial"/>
        </w:rPr>
      </w:pPr>
    </w:p>
    <w:p w14:paraId="6E6DD4FF" w14:textId="77777777" w:rsidR="00C3269F" w:rsidRDefault="00CA4FE1">
      <w:pPr>
        <w:pStyle w:val="Heading3"/>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lang w:val="en-US" w:eastAsia="zh-TW"/>
        </w:rPr>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lastRenderedPageBreak/>
        <w:t>Since RAN2 has sent a LS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FAF9EE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1F708BF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B9687D3"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48E564FF" w14:textId="77777777" w:rsidR="00C3269F" w:rsidRDefault="00C3269F">
            <w:pPr>
              <w:spacing w:after="0"/>
              <w:jc w:val="both"/>
              <w:rPr>
                <w:rFonts w:ascii="Arial"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C3269F" w14:paraId="600693E9" w14:textId="77777777">
        <w:tc>
          <w:tcPr>
            <w:tcW w:w="1837" w:type="dxa"/>
          </w:tcPr>
          <w:p w14:paraId="4F8BC0C3"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F6ECCE9"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18B7D8D8" w14:textId="77777777" w:rsidR="00C3269F" w:rsidRDefault="00C3269F">
            <w:pPr>
              <w:spacing w:after="0"/>
              <w:jc w:val="both"/>
              <w:rPr>
                <w:rFonts w:ascii="Arial" w:hAnsi="Arial"/>
                <w:lang w:val="de-DE"/>
              </w:rPr>
            </w:pPr>
          </w:p>
        </w:tc>
      </w:tr>
      <w:tr w:rsidR="00C3269F" w14:paraId="0000EF2A" w14:textId="77777777">
        <w:tc>
          <w:tcPr>
            <w:tcW w:w="1837" w:type="dxa"/>
          </w:tcPr>
          <w:p w14:paraId="77652962"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7EF18956"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132EA873" w14:textId="77777777" w:rsidR="00C3269F" w:rsidRDefault="00C3269F">
            <w:pPr>
              <w:spacing w:after="0"/>
              <w:jc w:val="both"/>
              <w:rPr>
                <w:rFonts w:ascii="Arial"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09BE0FC3" w14:textId="77777777" w:rsidR="00C3269F" w:rsidRDefault="00C3269F">
            <w:pPr>
              <w:spacing w:after="0"/>
              <w:jc w:val="both"/>
              <w:rPr>
                <w:rFonts w:ascii="Arial"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r w:rsidR="00B90F43" w:rsidRPr="000005B0" w14:paraId="0714EB3F" w14:textId="77777777" w:rsidTr="00CA4FE1">
        <w:tc>
          <w:tcPr>
            <w:tcW w:w="1837" w:type="dxa"/>
          </w:tcPr>
          <w:p w14:paraId="6E732ACD" w14:textId="45CBD3FB"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33DF6B4" w14:textId="379029CA" w:rsidR="00B90F43" w:rsidRDefault="00B90F43" w:rsidP="00B90F43">
            <w:pPr>
              <w:spacing w:after="0"/>
              <w:jc w:val="both"/>
              <w:rPr>
                <w:rFonts w:ascii="Arial" w:hAnsi="Arial" w:hint="eastAsia"/>
                <w:noProof/>
                <w:lang w:eastAsia="zh-CN"/>
              </w:rPr>
            </w:pPr>
            <w:r>
              <w:rPr>
                <w:rFonts w:ascii="Arial" w:hAnsi="Arial"/>
                <w:noProof/>
              </w:rPr>
              <w:t>Prefer wait for RAN4</w:t>
            </w:r>
          </w:p>
        </w:tc>
        <w:tc>
          <w:tcPr>
            <w:tcW w:w="5807" w:type="dxa"/>
          </w:tcPr>
          <w:p w14:paraId="0B2E3787" w14:textId="77777777" w:rsidR="00B90F43" w:rsidRDefault="00B90F43" w:rsidP="00B90F43">
            <w:pPr>
              <w:spacing w:after="0"/>
              <w:jc w:val="both"/>
              <w:rPr>
                <w:rFonts w:ascii="Arial" w:hAnsi="Arial"/>
                <w:noProof/>
                <w:lang w:eastAsia="zh-CN"/>
              </w:rPr>
            </w:pP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2120807E"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6EE24AE"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hAnsi="Arial"/>
                <w:lang w:val="de-DE"/>
              </w:rPr>
            </w:pPr>
          </w:p>
        </w:tc>
        <w:tc>
          <w:tcPr>
            <w:tcW w:w="1985" w:type="dxa"/>
          </w:tcPr>
          <w:p w14:paraId="54962F9E" w14:textId="77777777" w:rsidR="00C3269F" w:rsidRDefault="00C3269F">
            <w:pPr>
              <w:spacing w:after="0"/>
              <w:jc w:val="both"/>
              <w:rPr>
                <w:rFonts w:ascii="Arial" w:hAnsi="Arial"/>
                <w:lang w:val="de-DE"/>
              </w:rPr>
            </w:pPr>
          </w:p>
        </w:tc>
        <w:tc>
          <w:tcPr>
            <w:tcW w:w="5807" w:type="dxa"/>
          </w:tcPr>
          <w:p w14:paraId="20ADB5F7" w14:textId="77777777" w:rsidR="00C3269F" w:rsidRDefault="00C3269F">
            <w:pPr>
              <w:spacing w:after="0"/>
              <w:jc w:val="both"/>
              <w:rPr>
                <w:rFonts w:ascii="Arial"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hAnsi="Arial"/>
                <w:lang w:val="de-DE"/>
              </w:rPr>
            </w:pPr>
          </w:p>
        </w:tc>
        <w:tc>
          <w:tcPr>
            <w:tcW w:w="1985" w:type="dxa"/>
          </w:tcPr>
          <w:p w14:paraId="5AA3D1D0" w14:textId="77777777" w:rsidR="00C3269F" w:rsidRDefault="00C3269F">
            <w:pPr>
              <w:spacing w:after="0"/>
              <w:jc w:val="both"/>
              <w:rPr>
                <w:rFonts w:ascii="Arial" w:hAnsi="Arial"/>
                <w:lang w:val="de-DE"/>
              </w:rPr>
            </w:pPr>
          </w:p>
        </w:tc>
        <w:tc>
          <w:tcPr>
            <w:tcW w:w="5807" w:type="dxa"/>
          </w:tcPr>
          <w:p w14:paraId="59B50C07" w14:textId="77777777" w:rsidR="00C3269F" w:rsidRDefault="00C3269F">
            <w:pPr>
              <w:spacing w:after="0"/>
              <w:jc w:val="both"/>
              <w:rPr>
                <w:rFonts w:ascii="Arial" w:hAnsi="Arial"/>
                <w:lang w:val="de-DE"/>
              </w:rPr>
            </w:pPr>
          </w:p>
        </w:tc>
      </w:tr>
      <w:tr w:rsidR="00C3269F" w14:paraId="6D83646F" w14:textId="77777777">
        <w:tc>
          <w:tcPr>
            <w:tcW w:w="1837" w:type="dxa"/>
          </w:tcPr>
          <w:p w14:paraId="0BC7615B" w14:textId="77777777" w:rsidR="00C3269F" w:rsidRDefault="00C3269F">
            <w:pPr>
              <w:spacing w:after="0"/>
              <w:jc w:val="both"/>
              <w:rPr>
                <w:rFonts w:ascii="Arial" w:hAnsi="Arial"/>
                <w:lang w:val="de-DE"/>
              </w:rPr>
            </w:pPr>
          </w:p>
        </w:tc>
        <w:tc>
          <w:tcPr>
            <w:tcW w:w="1985" w:type="dxa"/>
          </w:tcPr>
          <w:p w14:paraId="7AEE94F4" w14:textId="77777777" w:rsidR="00C3269F" w:rsidRDefault="00C3269F">
            <w:pPr>
              <w:spacing w:after="0"/>
              <w:jc w:val="both"/>
              <w:rPr>
                <w:rFonts w:ascii="Arial" w:hAnsi="Arial"/>
                <w:lang w:val="de-DE"/>
              </w:rPr>
            </w:pPr>
          </w:p>
        </w:tc>
        <w:tc>
          <w:tcPr>
            <w:tcW w:w="5807" w:type="dxa"/>
          </w:tcPr>
          <w:p w14:paraId="2DD55DFC" w14:textId="77777777" w:rsidR="00C3269F" w:rsidRDefault="00C3269F">
            <w:pPr>
              <w:spacing w:after="0"/>
              <w:jc w:val="both"/>
              <w:rPr>
                <w:rFonts w:ascii="Arial" w:hAnsi="Arial"/>
                <w:lang w:val="de-DE"/>
              </w:rPr>
            </w:pPr>
          </w:p>
        </w:tc>
      </w:tr>
      <w:tr w:rsidR="00C3269F" w14:paraId="0056DB15" w14:textId="77777777">
        <w:tc>
          <w:tcPr>
            <w:tcW w:w="1837" w:type="dxa"/>
          </w:tcPr>
          <w:p w14:paraId="64B0F8FF" w14:textId="77777777" w:rsidR="00C3269F" w:rsidRDefault="00C3269F">
            <w:pPr>
              <w:spacing w:after="0"/>
              <w:jc w:val="both"/>
              <w:rPr>
                <w:rFonts w:ascii="Arial" w:hAnsi="Arial"/>
                <w:lang w:val="de-DE"/>
              </w:rPr>
            </w:pPr>
          </w:p>
        </w:tc>
        <w:tc>
          <w:tcPr>
            <w:tcW w:w="1985" w:type="dxa"/>
          </w:tcPr>
          <w:p w14:paraId="744D4672" w14:textId="77777777" w:rsidR="00C3269F" w:rsidRDefault="00C3269F">
            <w:pPr>
              <w:spacing w:after="0"/>
              <w:jc w:val="both"/>
              <w:rPr>
                <w:rFonts w:ascii="Arial" w:hAnsi="Arial"/>
                <w:lang w:val="de-DE"/>
              </w:rPr>
            </w:pPr>
          </w:p>
        </w:tc>
        <w:tc>
          <w:tcPr>
            <w:tcW w:w="5807" w:type="dxa"/>
          </w:tcPr>
          <w:p w14:paraId="53946E43" w14:textId="77777777" w:rsidR="00C3269F" w:rsidRDefault="00C3269F">
            <w:pPr>
              <w:spacing w:after="0"/>
              <w:jc w:val="both"/>
              <w:rPr>
                <w:rFonts w:ascii="Arial" w:hAnsi="Arial"/>
                <w:lang w:val="de-DE"/>
              </w:rPr>
            </w:pPr>
          </w:p>
        </w:tc>
      </w:tr>
      <w:tr w:rsidR="00C3269F" w14:paraId="5776EFD9" w14:textId="77777777">
        <w:tc>
          <w:tcPr>
            <w:tcW w:w="1837" w:type="dxa"/>
          </w:tcPr>
          <w:p w14:paraId="1F1F66D5" w14:textId="77777777" w:rsidR="00C3269F" w:rsidRDefault="00C3269F">
            <w:pPr>
              <w:spacing w:after="0"/>
              <w:jc w:val="both"/>
              <w:rPr>
                <w:rFonts w:ascii="Arial" w:hAnsi="Arial"/>
                <w:lang w:val="de-DE"/>
              </w:rPr>
            </w:pPr>
          </w:p>
        </w:tc>
        <w:tc>
          <w:tcPr>
            <w:tcW w:w="1985" w:type="dxa"/>
          </w:tcPr>
          <w:p w14:paraId="12B8C7AF" w14:textId="77777777" w:rsidR="00C3269F" w:rsidRDefault="00C3269F">
            <w:pPr>
              <w:spacing w:after="0"/>
              <w:jc w:val="both"/>
              <w:rPr>
                <w:rFonts w:ascii="Arial" w:hAnsi="Arial"/>
                <w:lang w:val="de-DE"/>
              </w:rPr>
            </w:pPr>
          </w:p>
        </w:tc>
        <w:tc>
          <w:tcPr>
            <w:tcW w:w="5807" w:type="dxa"/>
          </w:tcPr>
          <w:p w14:paraId="55D13F51" w14:textId="77777777" w:rsidR="00C3269F" w:rsidRDefault="00C3269F">
            <w:pPr>
              <w:spacing w:after="0"/>
              <w:jc w:val="both"/>
              <w:rPr>
                <w:rFonts w:ascii="Arial" w:hAnsi="Arial"/>
                <w:lang w:val="de-DE"/>
              </w:rPr>
            </w:pPr>
          </w:p>
        </w:tc>
      </w:tr>
    </w:tbl>
    <w:p w14:paraId="08DC477B" w14:textId="77777777" w:rsidR="00C3269F" w:rsidRDefault="00CA4FE1">
      <w:pPr>
        <w:spacing w:after="0"/>
        <w:jc w:val="both"/>
        <w:rPr>
          <w:rFonts w:ascii="Arial" w:hAnsi="Arial"/>
        </w:rPr>
      </w:pPr>
      <w:r>
        <w:rPr>
          <w:rFonts w:ascii="Arial" w:hAnsi="Arial"/>
        </w:rPr>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Heading3"/>
      </w:pPr>
      <w:r>
        <w:t>2.1.4</w:t>
      </w:r>
      <w:r>
        <w:tab/>
        <w:t>NR-u corrections</w:t>
      </w:r>
    </w:p>
    <w:p w14:paraId="49CBBEF7" w14:textId="77777777" w:rsidR="00C3269F" w:rsidRDefault="00CA4FE1">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lang w:val="en-US" w:eastAsia="zh-TW"/>
        </w:rPr>
        <w:lastRenderedPageBreak/>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6" w:name="OLE_LINK18"/>
                            <w:bookmarkStart w:id="7" w:name="OLE_LINK17"/>
                            <w:r>
                              <w:rPr>
                                <w:rFonts w:hint="eastAsia"/>
                                <w:lang w:eastAsia="zh-CN"/>
                              </w:rPr>
                              <w:t>capabilities</w:t>
                            </w:r>
                            <w:bookmarkEnd w:id="6"/>
                            <w:bookmarkEnd w:id="7"/>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type w14:anchorId="01050986"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8" w:name="OLE_LINK18"/>
                      <w:bookmarkStart w:id="9" w:name="OLE_LINK17"/>
                      <w:r>
                        <w:rPr>
                          <w:rFonts w:hint="eastAsia"/>
                          <w:lang w:eastAsia="zh-CN"/>
                        </w:rPr>
                        <w:t>capabilities</w:t>
                      </w:r>
                      <w:bookmarkEnd w:id="8"/>
                      <w:bookmarkEnd w:id="9"/>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hAnsi="Arial"/>
                <w:b/>
                <w:bCs/>
                <w:lang w:val="de-DE"/>
              </w:rPr>
            </w:pPr>
            <w:r>
              <w:rPr>
                <w:rFonts w:ascii="Arial" w:hAnsi="Arial"/>
                <w:b/>
                <w:bCs/>
                <w:lang w:val="de-DE"/>
              </w:rPr>
              <w:t>Company</w:t>
            </w:r>
          </w:p>
        </w:tc>
        <w:tc>
          <w:tcPr>
            <w:tcW w:w="1476" w:type="dxa"/>
          </w:tcPr>
          <w:p w14:paraId="0BA7FCFE" w14:textId="77777777" w:rsidR="00C3269F" w:rsidRDefault="00CA4FE1">
            <w:pPr>
              <w:spacing w:after="0"/>
              <w:jc w:val="both"/>
              <w:rPr>
                <w:rFonts w:ascii="Arial" w:hAnsi="Arial"/>
                <w:b/>
                <w:bCs/>
                <w:lang w:val="de-DE"/>
              </w:rPr>
            </w:pPr>
            <w:r>
              <w:rPr>
                <w:rFonts w:ascii="Arial" w:hAnsi="Arial"/>
                <w:b/>
                <w:bCs/>
                <w:lang w:val="de-DE"/>
              </w:rPr>
              <w:t>Yes/No</w:t>
            </w:r>
          </w:p>
        </w:tc>
        <w:tc>
          <w:tcPr>
            <w:tcW w:w="2092" w:type="dxa"/>
          </w:tcPr>
          <w:p w14:paraId="46A1603C" w14:textId="77777777" w:rsidR="00C3269F" w:rsidRDefault="00CA4FE1">
            <w:pPr>
              <w:spacing w:after="0"/>
              <w:jc w:val="both"/>
              <w:rPr>
                <w:rFonts w:ascii="Arial" w:hAnsi="Arial"/>
                <w:b/>
                <w:bCs/>
                <w:lang w:val="de-DE"/>
              </w:rPr>
            </w:pPr>
            <w:r>
              <w:rPr>
                <w:rFonts w:ascii="Arial" w:hAnsi="Arial"/>
                <w:b/>
                <w:bCs/>
                <w:lang w:val="de-DE"/>
              </w:rPr>
              <w:t>Merged with Rapp’s misc correction CRs</w:t>
            </w:r>
          </w:p>
        </w:tc>
        <w:tc>
          <w:tcPr>
            <w:tcW w:w="4531" w:type="dxa"/>
          </w:tcPr>
          <w:p w14:paraId="37F5ADF9"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hAnsi="Arial"/>
                <w:lang w:val="de-DE"/>
              </w:rPr>
            </w:pPr>
            <w:r>
              <w:rPr>
                <w:rFonts w:ascii="Arial" w:hAnsi="Arial"/>
                <w:lang w:val="de-DE"/>
              </w:rPr>
              <w:t>Intel</w:t>
            </w:r>
          </w:p>
        </w:tc>
        <w:tc>
          <w:tcPr>
            <w:tcW w:w="1476" w:type="dxa"/>
          </w:tcPr>
          <w:p w14:paraId="3B55BFA1"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3A5492B"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56F4F3FA" w14:textId="77777777" w:rsidR="00C3269F" w:rsidRDefault="00C3269F">
            <w:pPr>
              <w:spacing w:after="0"/>
              <w:jc w:val="both"/>
              <w:rPr>
                <w:rFonts w:ascii="Arial"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hAnsi="Arial"/>
                <w:lang w:val="de-DE"/>
              </w:rPr>
            </w:pPr>
          </w:p>
        </w:tc>
      </w:tr>
      <w:tr w:rsidR="00C3269F" w14:paraId="579966DD" w14:textId="77777777">
        <w:tc>
          <w:tcPr>
            <w:tcW w:w="1530" w:type="dxa"/>
          </w:tcPr>
          <w:p w14:paraId="245FDEA3" w14:textId="77777777" w:rsidR="00C3269F" w:rsidRDefault="00CA4FE1">
            <w:pPr>
              <w:spacing w:after="0"/>
              <w:jc w:val="both"/>
              <w:rPr>
                <w:rFonts w:ascii="Arial" w:hAnsi="Arial"/>
                <w:lang w:val="de-DE"/>
              </w:rPr>
            </w:pPr>
            <w:r>
              <w:rPr>
                <w:rFonts w:ascii="Arial" w:hAnsi="Arial"/>
                <w:lang w:val="de-DE"/>
              </w:rPr>
              <w:t>Ericsson</w:t>
            </w:r>
          </w:p>
        </w:tc>
        <w:tc>
          <w:tcPr>
            <w:tcW w:w="1476" w:type="dxa"/>
          </w:tcPr>
          <w:p w14:paraId="0CECEACF" w14:textId="77777777" w:rsidR="00C3269F" w:rsidRDefault="00CA4FE1">
            <w:pPr>
              <w:spacing w:after="0"/>
              <w:jc w:val="both"/>
              <w:rPr>
                <w:rFonts w:ascii="Arial" w:hAnsi="Arial"/>
                <w:lang w:val="de-DE"/>
              </w:rPr>
            </w:pPr>
            <w:r>
              <w:rPr>
                <w:rFonts w:ascii="Arial" w:hAnsi="Arial"/>
                <w:lang w:val="de-DE"/>
              </w:rPr>
              <w:t>Partly</w:t>
            </w:r>
          </w:p>
        </w:tc>
        <w:tc>
          <w:tcPr>
            <w:tcW w:w="2092" w:type="dxa"/>
          </w:tcPr>
          <w:p w14:paraId="77F8C7A2"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E0F9A26" w14:textId="77777777" w:rsidR="00C3269F" w:rsidRDefault="00CA4FE1">
            <w:pPr>
              <w:spacing w:after="0"/>
              <w:jc w:val="both"/>
              <w:rPr>
                <w:rFonts w:ascii="Arial" w:hAnsi="Arial"/>
                <w:lang w:val="de-DE"/>
              </w:rPr>
            </w:pPr>
            <w:r>
              <w:rPr>
                <w:rFonts w:ascii="Arial" w:hAnsi="Arial"/>
                <w:lang w:val="de-DE"/>
              </w:rPr>
              <w:t>The first change is not needed as the capability does not contain the magic sentence “This capability is also applicable to frequency band that does not require shared spectrum access“:</w:t>
            </w:r>
          </w:p>
        </w:tc>
      </w:tr>
      <w:tr w:rsidR="00C3269F" w14:paraId="09FB2E68" w14:textId="77777777">
        <w:tc>
          <w:tcPr>
            <w:tcW w:w="1530" w:type="dxa"/>
          </w:tcPr>
          <w:p w14:paraId="330C1BEE" w14:textId="77777777" w:rsidR="00C3269F" w:rsidRDefault="00CA4FE1">
            <w:pPr>
              <w:spacing w:after="0"/>
              <w:jc w:val="both"/>
              <w:rPr>
                <w:rFonts w:ascii="Arial" w:hAnsi="Arial"/>
                <w:lang w:val="de-DE"/>
              </w:rPr>
            </w:pPr>
            <w:r>
              <w:rPr>
                <w:rFonts w:ascii="Arial" w:hAnsi="Arial"/>
                <w:lang w:val="de-DE"/>
              </w:rPr>
              <w:t>Lenovo</w:t>
            </w:r>
          </w:p>
        </w:tc>
        <w:tc>
          <w:tcPr>
            <w:tcW w:w="1476" w:type="dxa"/>
          </w:tcPr>
          <w:p w14:paraId="729845A9"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56B55A2E"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651853C" w14:textId="77777777" w:rsidR="00C3269F" w:rsidRDefault="00CA4FE1">
            <w:pPr>
              <w:spacing w:after="0"/>
              <w:jc w:val="both"/>
              <w:rPr>
                <w:rFonts w:ascii="Arial" w:hAnsi="Arial"/>
                <w:lang w:val="de-DE"/>
              </w:rPr>
            </w:pPr>
            <w:r>
              <w:rPr>
                <w:rFonts w:ascii="Arial"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hAnsi="Arial"/>
                <w:lang w:val="de-DE"/>
              </w:rPr>
            </w:pPr>
            <w:r>
              <w:rPr>
                <w:rFonts w:ascii="Arial" w:hAnsi="Arial"/>
                <w:lang w:val="de-DE"/>
              </w:rPr>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hAnsi="Arial"/>
                <w:lang w:val="de-DE"/>
              </w:rPr>
            </w:pPr>
            <w:bookmarkStart w:id="10" w:name="OLE_LINK5" w:colFirst="1" w:colLast="2"/>
            <w:r>
              <w:rPr>
                <w:rFonts w:ascii="Arial" w:hAnsi="Arial"/>
                <w:lang w:val="de-DE"/>
              </w:rPr>
              <w:t>Apple</w:t>
            </w:r>
          </w:p>
        </w:tc>
        <w:tc>
          <w:tcPr>
            <w:tcW w:w="1476" w:type="dxa"/>
          </w:tcPr>
          <w:p w14:paraId="42A22A2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23811DD"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C123ED4" w14:textId="77777777" w:rsidR="00C3269F" w:rsidRDefault="00C3269F">
            <w:pPr>
              <w:spacing w:after="0"/>
              <w:jc w:val="both"/>
              <w:rPr>
                <w:rFonts w:ascii="Arial"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1" w:name="OLE_LINK6" w:colFirst="1" w:colLast="2"/>
            <w:bookmarkEnd w:id="10"/>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D952464"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1"/>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r w:rsidR="00B90F43" w:rsidRPr="000005B0" w14:paraId="463B9FDC" w14:textId="77777777" w:rsidTr="00CA4FE1">
        <w:tc>
          <w:tcPr>
            <w:tcW w:w="1530" w:type="dxa"/>
          </w:tcPr>
          <w:p w14:paraId="713B6FBD" w14:textId="21722A26" w:rsidR="00B90F43" w:rsidRDefault="00B90F43" w:rsidP="00B90F43">
            <w:pPr>
              <w:spacing w:after="0"/>
              <w:jc w:val="both"/>
              <w:rPr>
                <w:rFonts w:ascii="Arial" w:hAnsi="Arial" w:hint="eastAsia"/>
                <w:noProof/>
                <w:lang w:eastAsia="zh-CN"/>
              </w:rPr>
            </w:pPr>
            <w:r>
              <w:rPr>
                <w:rFonts w:ascii="Arial" w:hAnsi="Arial"/>
                <w:noProof/>
              </w:rPr>
              <w:t>MediaTek</w:t>
            </w:r>
          </w:p>
        </w:tc>
        <w:tc>
          <w:tcPr>
            <w:tcW w:w="1476" w:type="dxa"/>
          </w:tcPr>
          <w:p w14:paraId="103AA1D2" w14:textId="33C7B4EB" w:rsidR="00B90F43" w:rsidRDefault="00B90F43" w:rsidP="00B90F43">
            <w:pPr>
              <w:spacing w:after="0"/>
              <w:jc w:val="both"/>
              <w:rPr>
                <w:rFonts w:ascii="Arial" w:hAnsi="Arial" w:hint="eastAsia"/>
                <w:noProof/>
                <w:lang w:eastAsia="zh-CN"/>
              </w:rPr>
            </w:pPr>
            <w:r>
              <w:rPr>
                <w:rFonts w:ascii="Arial" w:hAnsi="Arial"/>
                <w:noProof/>
              </w:rPr>
              <w:t>Yes</w:t>
            </w:r>
          </w:p>
        </w:tc>
        <w:tc>
          <w:tcPr>
            <w:tcW w:w="2092" w:type="dxa"/>
          </w:tcPr>
          <w:p w14:paraId="345EA804" w14:textId="0F746F4B" w:rsidR="00B90F43" w:rsidRDefault="00B90F43" w:rsidP="00B90F43">
            <w:pPr>
              <w:spacing w:after="0"/>
              <w:jc w:val="both"/>
              <w:rPr>
                <w:rFonts w:ascii="Arial" w:hAnsi="Arial" w:hint="eastAsia"/>
                <w:noProof/>
                <w:lang w:eastAsia="zh-CN"/>
              </w:rPr>
            </w:pPr>
            <w:r>
              <w:rPr>
                <w:rFonts w:ascii="Arial" w:hAnsi="Arial"/>
                <w:noProof/>
              </w:rPr>
              <w:t>Yes</w:t>
            </w:r>
          </w:p>
        </w:tc>
        <w:tc>
          <w:tcPr>
            <w:tcW w:w="4531" w:type="dxa"/>
          </w:tcPr>
          <w:p w14:paraId="2E607A2B" w14:textId="77777777" w:rsidR="00B90F43" w:rsidRPr="000005B0" w:rsidRDefault="00B90F43" w:rsidP="00B90F43">
            <w:pPr>
              <w:spacing w:after="0"/>
              <w:jc w:val="both"/>
              <w:rPr>
                <w:rFonts w:ascii="Arial" w:hAnsi="Arial"/>
                <w:noProof/>
              </w:rPr>
            </w:pPr>
          </w:p>
        </w:tc>
      </w:tr>
    </w:tbl>
    <w:p w14:paraId="7766F7E7" w14:textId="77777777" w:rsidR="00C3269F" w:rsidRDefault="00C3269F">
      <w:pPr>
        <w:spacing w:after="0"/>
        <w:jc w:val="both"/>
        <w:rPr>
          <w:rFonts w:ascii="Arial" w:hAnsi="Arial"/>
        </w:rPr>
      </w:pPr>
    </w:p>
    <w:p w14:paraId="4441487C" w14:textId="77777777" w:rsidR="00C3269F" w:rsidRDefault="00CA4FE1">
      <w:pPr>
        <w:pStyle w:val="Heading3"/>
      </w:pPr>
      <w:r>
        <w:lastRenderedPageBreak/>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hAnsi="Arial"/>
                <w:b/>
                <w:bCs/>
                <w:lang w:val="de-DE"/>
              </w:rPr>
            </w:pPr>
            <w:r>
              <w:rPr>
                <w:rFonts w:ascii="Arial" w:hAnsi="Arial"/>
                <w:b/>
                <w:bCs/>
                <w:lang w:val="de-DE"/>
              </w:rPr>
              <w:t>Company</w:t>
            </w:r>
          </w:p>
        </w:tc>
        <w:tc>
          <w:tcPr>
            <w:tcW w:w="2151" w:type="dxa"/>
          </w:tcPr>
          <w:p w14:paraId="659D5ECC" w14:textId="77777777" w:rsidR="00C3269F" w:rsidRDefault="00CA4FE1">
            <w:pPr>
              <w:spacing w:after="0"/>
              <w:jc w:val="both"/>
              <w:rPr>
                <w:rFonts w:ascii="Arial" w:hAnsi="Arial"/>
                <w:b/>
                <w:bCs/>
                <w:lang w:val="de-DE"/>
              </w:rPr>
            </w:pPr>
            <w:r>
              <w:rPr>
                <w:rFonts w:ascii="Arial" w:hAnsi="Arial"/>
                <w:b/>
                <w:bCs/>
                <w:lang w:val="de-DE"/>
              </w:rPr>
              <w:t>Agree to TS38.306 CR</w:t>
            </w:r>
          </w:p>
        </w:tc>
        <w:tc>
          <w:tcPr>
            <w:tcW w:w="2355" w:type="dxa"/>
          </w:tcPr>
          <w:p w14:paraId="614AB4F0" w14:textId="77777777" w:rsidR="00C3269F" w:rsidRDefault="00CA4FE1">
            <w:pPr>
              <w:spacing w:after="0"/>
              <w:jc w:val="both"/>
              <w:rPr>
                <w:rFonts w:ascii="Arial" w:hAnsi="Arial"/>
                <w:b/>
                <w:bCs/>
                <w:lang w:val="de-DE"/>
              </w:rPr>
            </w:pPr>
            <w:r>
              <w:rPr>
                <w:rFonts w:ascii="Arial" w:hAnsi="Arial"/>
                <w:b/>
                <w:bCs/>
                <w:lang w:val="de-DE"/>
              </w:rPr>
              <w:t>Agree to TS38.331 CR</w:t>
            </w:r>
          </w:p>
        </w:tc>
        <w:tc>
          <w:tcPr>
            <w:tcW w:w="3593" w:type="dxa"/>
          </w:tcPr>
          <w:p w14:paraId="0A0C4C8F"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hAnsi="Arial"/>
                <w:lang w:val="de-DE"/>
              </w:rPr>
            </w:pPr>
            <w:r>
              <w:rPr>
                <w:rFonts w:ascii="Arial" w:hAnsi="Arial"/>
                <w:lang w:val="de-DE"/>
              </w:rPr>
              <w:t>Intel</w:t>
            </w:r>
          </w:p>
        </w:tc>
        <w:tc>
          <w:tcPr>
            <w:tcW w:w="2151" w:type="dxa"/>
          </w:tcPr>
          <w:p w14:paraId="26371C68"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2B499447"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40CA411C" w14:textId="77777777" w:rsidR="00C3269F" w:rsidRDefault="00CA4FE1">
            <w:pPr>
              <w:spacing w:after="0"/>
              <w:jc w:val="both"/>
              <w:rPr>
                <w:rFonts w:ascii="Arial" w:hAnsi="Arial"/>
                <w:lang w:val="de-DE"/>
              </w:rPr>
            </w:pPr>
            <w:r>
              <w:rPr>
                <w:rFonts w:ascii="Arial" w:hAnsi="Arial"/>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6CB62E5F"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241DDBA3" w14:textId="77777777" w:rsidR="00C3269F" w:rsidRDefault="00C3269F">
            <w:pPr>
              <w:spacing w:after="0"/>
              <w:jc w:val="both"/>
              <w:rPr>
                <w:rFonts w:ascii="Arial" w:hAnsi="Arial"/>
                <w:lang w:val="de-DE"/>
              </w:rPr>
            </w:pPr>
          </w:p>
        </w:tc>
      </w:tr>
      <w:tr w:rsidR="00C3269F" w14:paraId="28767F74" w14:textId="77777777">
        <w:tc>
          <w:tcPr>
            <w:tcW w:w="1530" w:type="dxa"/>
          </w:tcPr>
          <w:p w14:paraId="4A5DB31B" w14:textId="77777777" w:rsidR="00C3269F" w:rsidRDefault="00CA4FE1">
            <w:pPr>
              <w:spacing w:after="0"/>
              <w:jc w:val="both"/>
              <w:rPr>
                <w:rFonts w:ascii="Arial" w:hAnsi="Arial"/>
                <w:lang w:val="de-DE"/>
              </w:rPr>
            </w:pPr>
            <w:r>
              <w:rPr>
                <w:rFonts w:ascii="Arial" w:hAnsi="Arial"/>
                <w:lang w:val="de-DE"/>
              </w:rPr>
              <w:t>Ericsson</w:t>
            </w:r>
          </w:p>
        </w:tc>
        <w:tc>
          <w:tcPr>
            <w:tcW w:w="2151" w:type="dxa"/>
          </w:tcPr>
          <w:p w14:paraId="07ACDC9E" w14:textId="77777777" w:rsidR="00C3269F" w:rsidRDefault="00CA4FE1">
            <w:pPr>
              <w:spacing w:after="0"/>
              <w:jc w:val="both"/>
              <w:rPr>
                <w:rFonts w:ascii="Arial" w:hAnsi="Arial"/>
                <w:lang w:val="de-DE"/>
              </w:rPr>
            </w:pPr>
            <w:r>
              <w:rPr>
                <w:rFonts w:ascii="Arial" w:hAnsi="Arial"/>
                <w:lang w:val="de-DE"/>
              </w:rPr>
              <w:t>Yes (proponent)</w:t>
            </w:r>
          </w:p>
        </w:tc>
        <w:tc>
          <w:tcPr>
            <w:tcW w:w="2355" w:type="dxa"/>
          </w:tcPr>
          <w:p w14:paraId="0D9849A8" w14:textId="77777777" w:rsidR="00C3269F" w:rsidRDefault="00CA4FE1">
            <w:pPr>
              <w:spacing w:after="0"/>
              <w:jc w:val="both"/>
              <w:rPr>
                <w:rFonts w:ascii="Arial" w:hAnsi="Arial"/>
                <w:lang w:val="de-DE"/>
              </w:rPr>
            </w:pPr>
            <w:r>
              <w:rPr>
                <w:rFonts w:ascii="Arial" w:hAnsi="Arial"/>
                <w:lang w:val="de-DE"/>
              </w:rPr>
              <w:t>Yes (proponent)</w:t>
            </w:r>
          </w:p>
        </w:tc>
        <w:tc>
          <w:tcPr>
            <w:tcW w:w="3593" w:type="dxa"/>
          </w:tcPr>
          <w:p w14:paraId="264E649C" w14:textId="77777777" w:rsidR="00C3269F" w:rsidRDefault="00C3269F">
            <w:pPr>
              <w:spacing w:after="0"/>
              <w:jc w:val="both"/>
              <w:rPr>
                <w:rFonts w:ascii="Arial" w:hAnsi="Arial"/>
                <w:lang w:val="de-DE"/>
              </w:rPr>
            </w:pPr>
          </w:p>
        </w:tc>
      </w:tr>
      <w:tr w:rsidR="00C3269F" w14:paraId="60C4666C" w14:textId="77777777">
        <w:tc>
          <w:tcPr>
            <w:tcW w:w="1530" w:type="dxa"/>
          </w:tcPr>
          <w:p w14:paraId="65044341" w14:textId="77777777" w:rsidR="00C3269F" w:rsidRDefault="00CA4FE1">
            <w:pPr>
              <w:spacing w:after="0"/>
              <w:jc w:val="both"/>
              <w:rPr>
                <w:rFonts w:ascii="Arial" w:hAnsi="Arial"/>
                <w:lang w:val="de-DE"/>
              </w:rPr>
            </w:pPr>
            <w:r>
              <w:rPr>
                <w:rFonts w:ascii="Arial" w:hAnsi="Arial"/>
                <w:lang w:val="de-DE"/>
              </w:rPr>
              <w:t>Lenovo</w:t>
            </w:r>
          </w:p>
        </w:tc>
        <w:tc>
          <w:tcPr>
            <w:tcW w:w="2151" w:type="dxa"/>
          </w:tcPr>
          <w:p w14:paraId="6F9504B4" w14:textId="77777777" w:rsidR="00C3269F" w:rsidRDefault="00CA4FE1">
            <w:pPr>
              <w:spacing w:after="0"/>
              <w:jc w:val="both"/>
              <w:rPr>
                <w:rFonts w:ascii="Arial" w:hAnsi="Arial"/>
                <w:lang w:val="de-DE"/>
              </w:rPr>
            </w:pPr>
            <w:r>
              <w:rPr>
                <w:rFonts w:ascii="Arial" w:hAnsi="Arial"/>
                <w:lang w:val="de-DE"/>
              </w:rPr>
              <w:t>May need to be revised</w:t>
            </w:r>
          </w:p>
        </w:tc>
        <w:tc>
          <w:tcPr>
            <w:tcW w:w="2355" w:type="dxa"/>
          </w:tcPr>
          <w:p w14:paraId="42E26367" w14:textId="77777777" w:rsidR="00C3269F" w:rsidRDefault="00CA4FE1">
            <w:pPr>
              <w:spacing w:after="0"/>
              <w:jc w:val="both"/>
              <w:rPr>
                <w:rFonts w:ascii="Arial" w:hAnsi="Arial"/>
                <w:lang w:val="de-DE"/>
              </w:rPr>
            </w:pPr>
            <w:r>
              <w:rPr>
                <w:rFonts w:ascii="Arial" w:hAnsi="Arial"/>
                <w:lang w:val="de-DE"/>
              </w:rPr>
              <w:t>May need to be revised</w:t>
            </w:r>
          </w:p>
        </w:tc>
        <w:tc>
          <w:tcPr>
            <w:tcW w:w="3593" w:type="dxa"/>
          </w:tcPr>
          <w:p w14:paraId="020C438F" w14:textId="77777777" w:rsidR="00C3269F" w:rsidRDefault="00CA4FE1">
            <w:pPr>
              <w:spacing w:after="0"/>
              <w:jc w:val="both"/>
              <w:rPr>
                <w:rFonts w:ascii="Arial" w:hAnsi="Arial"/>
                <w:lang w:val="de-DE"/>
              </w:rPr>
            </w:pPr>
            <w:r>
              <w:rPr>
                <w:rFonts w:ascii="Arial" w:hAnsi="Arial"/>
                <w:lang w:val="de-DE"/>
              </w:rPr>
              <w:t>Shouldn’t the category of the CRs be cat B instead of cat F?</w:t>
            </w:r>
          </w:p>
          <w:p w14:paraId="2B886FF6" w14:textId="77777777" w:rsidR="00C3269F" w:rsidRDefault="00CA4FE1">
            <w:pPr>
              <w:spacing w:after="0"/>
              <w:jc w:val="both"/>
              <w:rPr>
                <w:rFonts w:ascii="Arial" w:hAnsi="Arial"/>
                <w:lang w:val="de-DE"/>
              </w:rPr>
            </w:pPr>
            <w:r>
              <w:rPr>
                <w:rFonts w:ascii="Arial" w:hAnsi="Arial"/>
                <w:lang w:val="de-DE"/>
              </w:rPr>
              <w:t xml:space="preserve">On the 38.331 CR: </w:t>
            </w:r>
          </w:p>
          <w:p w14:paraId="2C3BEDE3" w14:textId="77777777" w:rsidR="00C3269F" w:rsidRDefault="00CA4FE1">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1221ECD1" w14:textId="77777777" w:rsidR="00C3269F" w:rsidRDefault="00CA4FE1">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3A86CF1D" w14:textId="77777777" w:rsidR="00C3269F" w:rsidRDefault="00CA4FE1">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C3269F" w14:paraId="328C16F8" w14:textId="77777777">
        <w:tc>
          <w:tcPr>
            <w:tcW w:w="1530" w:type="dxa"/>
          </w:tcPr>
          <w:p w14:paraId="699A23BC" w14:textId="77777777" w:rsidR="00C3269F" w:rsidRDefault="00CA4FE1">
            <w:pPr>
              <w:spacing w:after="0"/>
              <w:jc w:val="both"/>
              <w:rPr>
                <w:rFonts w:ascii="Arial" w:hAnsi="Arial"/>
                <w:lang w:val="de-DE"/>
              </w:rPr>
            </w:pPr>
            <w:r>
              <w:rPr>
                <w:rFonts w:ascii="Arial" w:hAnsi="Arial"/>
                <w:lang w:val="de-DE"/>
              </w:rPr>
              <w:t>Apple</w:t>
            </w:r>
          </w:p>
        </w:tc>
        <w:tc>
          <w:tcPr>
            <w:tcW w:w="2151" w:type="dxa"/>
          </w:tcPr>
          <w:p w14:paraId="5959CFB8" w14:textId="77777777" w:rsidR="00C3269F" w:rsidRDefault="00CA4FE1">
            <w:pPr>
              <w:spacing w:after="0"/>
              <w:jc w:val="both"/>
              <w:rPr>
                <w:rFonts w:ascii="Arial" w:hAnsi="Arial"/>
                <w:lang w:val="de-DE"/>
              </w:rPr>
            </w:pPr>
            <w:r>
              <w:rPr>
                <w:rFonts w:ascii="Arial" w:hAnsi="Arial"/>
                <w:lang w:val="de-DE"/>
              </w:rPr>
              <w:t>Yes(proponent)</w:t>
            </w:r>
          </w:p>
        </w:tc>
        <w:tc>
          <w:tcPr>
            <w:tcW w:w="2355" w:type="dxa"/>
          </w:tcPr>
          <w:p w14:paraId="65829950" w14:textId="77777777" w:rsidR="00C3269F" w:rsidRDefault="00CA4FE1">
            <w:pPr>
              <w:spacing w:after="0"/>
              <w:jc w:val="both"/>
              <w:rPr>
                <w:rFonts w:ascii="Arial" w:hAnsi="Arial"/>
                <w:lang w:val="de-DE"/>
              </w:rPr>
            </w:pPr>
            <w:r>
              <w:rPr>
                <w:rFonts w:ascii="Arial" w:hAnsi="Arial"/>
                <w:lang w:val="de-DE"/>
              </w:rPr>
              <w:t>Yes(proponent)</w:t>
            </w:r>
          </w:p>
        </w:tc>
        <w:tc>
          <w:tcPr>
            <w:tcW w:w="3593" w:type="dxa"/>
          </w:tcPr>
          <w:p w14:paraId="5E40793D" w14:textId="77777777" w:rsidR="00C3269F" w:rsidRDefault="00CA4FE1">
            <w:pPr>
              <w:spacing w:after="0"/>
              <w:jc w:val="both"/>
              <w:rPr>
                <w:rFonts w:ascii="Arial" w:hAnsi="Arial"/>
                <w:lang w:val="de-DE"/>
              </w:rPr>
            </w:pPr>
            <w:r>
              <w:rPr>
                <w:rFonts w:ascii="Arial" w:hAnsi="Arial"/>
                <w:lang w:val="de-DE"/>
              </w:rPr>
              <w:t>To Lenovo’s comments:</w:t>
            </w:r>
          </w:p>
          <w:p w14:paraId="6A77F791" w14:textId="77777777" w:rsidR="00C3269F" w:rsidRDefault="00CA4FE1">
            <w:pPr>
              <w:spacing w:after="0"/>
              <w:jc w:val="both"/>
              <w:rPr>
                <w:rFonts w:ascii="Arial" w:hAnsi="Arial"/>
                <w:lang w:val="de-DE"/>
              </w:rPr>
            </w:pPr>
            <w:r>
              <w:rPr>
                <w:rFonts w:ascii="Arial" w:hAnsi="Arial"/>
                <w:lang w:val="de-DE"/>
              </w:rPr>
              <w:t>Since this is not a new feature, but rather a correction, 'F‘ reflects the category better?</w:t>
            </w:r>
          </w:p>
          <w:p w14:paraId="176170C9" w14:textId="77777777" w:rsidR="00C3269F" w:rsidRDefault="00CA4FE1">
            <w:pPr>
              <w:spacing w:after="0"/>
              <w:jc w:val="both"/>
              <w:rPr>
                <w:rFonts w:ascii="Arial" w:hAnsi="Arial"/>
                <w:lang w:val="de-DE"/>
              </w:rPr>
            </w:pPr>
            <w:r>
              <w:rPr>
                <w:rFonts w:ascii="Arial" w:hAnsi="Arial"/>
                <w:lang w:val="de-DE"/>
              </w:rPr>
              <w:t xml:space="preserve">Agree on the correction from CHOICE to SEQUENCE. Will have a revision. </w:t>
            </w:r>
          </w:p>
          <w:p w14:paraId="10309335" w14:textId="77777777" w:rsidR="00C3269F" w:rsidRDefault="00CA4FE1">
            <w:pPr>
              <w:spacing w:after="0"/>
              <w:jc w:val="both"/>
              <w:rPr>
                <w:rFonts w:ascii="Arial" w:hAnsi="Arial"/>
                <w:lang w:val="de-DE"/>
              </w:rPr>
            </w:pPr>
            <w:r>
              <w:rPr>
                <w:rFonts w:ascii="Arial" w:hAnsi="Arial"/>
                <w:lang w:val="de-DE"/>
              </w:rPr>
              <w:t xml:space="preserve">For the comments on extending from highSpeedParameters-r16, it is not extensible as there is no </w:t>
            </w:r>
            <w:r>
              <w:rPr>
                <w:rFonts w:ascii="Arial" w:hAnsi="Arial"/>
                <w:lang w:val="de-DE"/>
              </w:rPr>
              <w:lastRenderedPageBreak/>
              <w:t>extension marker…?  Hope we are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lastRenderedPageBreak/>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r w:rsidR="00B90F43" w14:paraId="1C7C08FD" w14:textId="77777777">
        <w:tc>
          <w:tcPr>
            <w:tcW w:w="1530" w:type="dxa"/>
          </w:tcPr>
          <w:p w14:paraId="3D230658" w14:textId="1BC26D21" w:rsidR="00B90F43" w:rsidRDefault="00B90F43" w:rsidP="00B90F43">
            <w:pPr>
              <w:spacing w:after="0"/>
              <w:jc w:val="both"/>
              <w:rPr>
                <w:rFonts w:ascii="Arial" w:hAnsi="Arial"/>
                <w:lang w:val="en-US" w:eastAsia="zh-CN"/>
              </w:rPr>
            </w:pPr>
            <w:r>
              <w:rPr>
                <w:rFonts w:ascii="Arial" w:hAnsi="Arial"/>
                <w:noProof/>
              </w:rPr>
              <w:t>MediaTek</w:t>
            </w:r>
          </w:p>
        </w:tc>
        <w:tc>
          <w:tcPr>
            <w:tcW w:w="2151" w:type="dxa"/>
          </w:tcPr>
          <w:p w14:paraId="03B72B60" w14:textId="0CE13F5E" w:rsidR="00B90F43" w:rsidRDefault="00B90F43" w:rsidP="00B90F43">
            <w:pPr>
              <w:spacing w:after="0"/>
              <w:jc w:val="both"/>
              <w:rPr>
                <w:rFonts w:ascii="Arial" w:hAnsi="Arial" w:hint="eastAsia"/>
                <w:lang w:val="en-US" w:eastAsia="zh-CN"/>
              </w:rPr>
            </w:pPr>
            <w:r>
              <w:rPr>
                <w:rFonts w:ascii="Arial" w:hAnsi="Arial"/>
                <w:noProof/>
              </w:rPr>
              <w:t>Yes, but could meerge with Rapp’s CR</w:t>
            </w:r>
          </w:p>
        </w:tc>
        <w:tc>
          <w:tcPr>
            <w:tcW w:w="2355" w:type="dxa"/>
          </w:tcPr>
          <w:p w14:paraId="2507A757" w14:textId="3848AB5A" w:rsidR="00B90F43" w:rsidRDefault="00B90F43" w:rsidP="00B90F43">
            <w:pPr>
              <w:spacing w:after="0"/>
              <w:jc w:val="both"/>
              <w:rPr>
                <w:rFonts w:ascii="Arial" w:hAnsi="Arial" w:hint="eastAsia"/>
                <w:lang w:val="en-US" w:eastAsia="zh-CN"/>
              </w:rPr>
            </w:pPr>
            <w:r>
              <w:rPr>
                <w:rFonts w:ascii="Arial" w:hAnsi="Arial"/>
                <w:noProof/>
              </w:rPr>
              <w:t>No, the control flag should (</w:t>
            </w:r>
            <w:r w:rsidRPr="00212733">
              <w:rPr>
                <w:rFonts w:ascii="Arial" w:hAnsi="Arial"/>
                <w:i/>
                <w:noProof/>
              </w:rPr>
              <w:t>HighSpeedConfig-r16)</w:t>
            </w:r>
            <w:r>
              <w:rPr>
                <w:rFonts w:ascii="Arial" w:hAnsi="Arial"/>
                <w:noProof/>
              </w:rPr>
              <w:t xml:space="preserve"> not be changed </w:t>
            </w:r>
          </w:p>
        </w:tc>
        <w:tc>
          <w:tcPr>
            <w:tcW w:w="3593" w:type="dxa"/>
          </w:tcPr>
          <w:p w14:paraId="56E269FF" w14:textId="77777777" w:rsidR="00B90F43" w:rsidRPr="00212733" w:rsidRDefault="00B90F43" w:rsidP="00B90F43">
            <w:pPr>
              <w:spacing w:after="0"/>
              <w:jc w:val="both"/>
              <w:rPr>
                <w:rFonts w:ascii="Arial" w:hAnsi="Arial"/>
                <w:noProof/>
              </w:rPr>
            </w:pPr>
            <w:r>
              <w:rPr>
                <w:rFonts w:ascii="Arial" w:hAnsi="Arial"/>
                <w:noProof/>
              </w:rPr>
              <w:t>We</w:t>
            </w:r>
            <w:r w:rsidRPr="00212733">
              <w:rPr>
                <w:rFonts w:ascii="Arial" w:hAnsi="Arial"/>
                <w:noProof/>
              </w:rPr>
              <w:t xml:space="preserve"> don’t think new control Flag is requested by RAN4. It is unclear </w:t>
            </w:r>
            <w:r>
              <w:rPr>
                <w:rFonts w:ascii="Arial" w:hAnsi="Arial"/>
                <w:noProof/>
              </w:rPr>
              <w:t xml:space="preserve">whether </w:t>
            </w:r>
            <w:r w:rsidRPr="00212733">
              <w:rPr>
                <w:rFonts w:ascii="Arial" w:hAnsi="Arial"/>
                <w:noProof/>
              </w:rPr>
              <w:t xml:space="preserve">legacy UE that does not support </w:t>
            </w:r>
            <w:r>
              <w:rPr>
                <w:rFonts w:ascii="Arial" w:hAnsi="Arial"/>
                <w:noProof/>
              </w:rPr>
              <w:t xml:space="preserve">this “in-capability” function has </w:t>
            </w:r>
            <w:r w:rsidRPr="00212733">
              <w:rPr>
                <w:rFonts w:ascii="Arial" w:hAnsi="Arial"/>
                <w:noProof/>
              </w:rPr>
              <w:t>to supp</w:t>
            </w:r>
            <w:r>
              <w:rPr>
                <w:rFonts w:ascii="Arial" w:hAnsi="Arial"/>
                <w:noProof/>
              </w:rPr>
              <w:t>ort this new control flag</w:t>
            </w:r>
            <w:r w:rsidRPr="00212733">
              <w:rPr>
                <w:rFonts w:ascii="Arial" w:hAnsi="Arial"/>
                <w:noProof/>
              </w:rPr>
              <w:t>.</w:t>
            </w:r>
          </w:p>
          <w:p w14:paraId="31AB878D" w14:textId="47092E5C" w:rsidR="00B90F43" w:rsidRDefault="00B90F43" w:rsidP="00B90F43">
            <w:pPr>
              <w:spacing w:after="0"/>
              <w:jc w:val="both"/>
              <w:rPr>
                <w:rFonts w:ascii="Arial" w:hAnsi="Arial"/>
                <w:lang w:val="en-US" w:eastAsia="zh-CN"/>
              </w:rPr>
            </w:pPr>
            <w:r w:rsidRPr="00212733">
              <w:rPr>
                <w:rFonts w:ascii="Arial" w:hAnsi="Arial"/>
                <w:noProof/>
              </w:rPr>
              <w:t>We should not mandate UE that supports full HST RRM enhancement to update according to the new partial control flag</w:t>
            </w:r>
            <w:r>
              <w:rPr>
                <w:rFonts w:ascii="Arial" w:hAnsi="Arial"/>
                <w:noProof/>
              </w:rPr>
              <w:t>. For UE that supports onlu partial funcionality, the old flag could be reused and the UE simply perform RRM based on its capability (which is known by NW).</w:t>
            </w:r>
          </w:p>
        </w:tc>
      </w:tr>
    </w:tbl>
    <w:p w14:paraId="7BE4889B" w14:textId="77777777" w:rsidR="00C3269F" w:rsidRDefault="00C3269F">
      <w:pPr>
        <w:pStyle w:val="Heading3"/>
      </w:pPr>
    </w:p>
    <w:p w14:paraId="09598B5D" w14:textId="77777777" w:rsidR="00C3269F" w:rsidRDefault="00CA4FE1">
      <w:pPr>
        <w:pStyle w:val="Heading3"/>
      </w:pPr>
      <w:r>
        <w:t>2.1.6</w:t>
      </w:r>
      <w:r>
        <w:tab/>
        <w:t>Capability support of one-octet eLCID for IAB MT</w:t>
      </w:r>
    </w:p>
    <w:p w14:paraId="4B44155F" w14:textId="77777777" w:rsidR="00C3269F" w:rsidRDefault="00CA4FE1">
      <w:pPr>
        <w:rPr>
          <w:rFonts w:ascii="Arial" w:hAnsi="Arial" w:cs="Arial"/>
        </w:rPr>
      </w:pPr>
      <w:r>
        <w:rPr>
          <w:rFonts w:ascii="Arial" w:hAnsi="Arial" w:cs="Arial"/>
        </w:rPr>
        <w:t>In [12], it discusses whether the capability of supporting one-octet eLCID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5D31A195" w14:textId="77777777" w:rsidR="00C3269F" w:rsidRPr="00CA4FE1" w:rsidRDefault="00CA4FE1">
      <w:pPr>
        <w:pStyle w:val="ListParagraph"/>
        <w:numPr>
          <w:ilvl w:val="0"/>
          <w:numId w:val="22"/>
        </w:numPr>
        <w:rPr>
          <w:rFonts w:ascii="Arial" w:hAnsi="Arial"/>
          <w:lang w:val="en-US"/>
        </w:rPr>
      </w:pPr>
      <w:r w:rsidRPr="00CA4FE1">
        <w:rPr>
          <w:rFonts w:ascii="Arial" w:hAnsi="Arial"/>
          <w:lang w:val="en-US"/>
        </w:rPr>
        <w:t>Option C): this capability of supporting one-octet eLCID in IAB is conditionally mandatory</w:t>
      </w:r>
    </w:p>
    <w:p w14:paraId="5410BBE7" w14:textId="77777777" w:rsidR="00C3269F" w:rsidRDefault="00CA4FE1">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69BDF5" w14:textId="77777777" w:rsidR="00C3269F" w:rsidRDefault="00CA4FE1">
            <w:pPr>
              <w:spacing w:after="0"/>
              <w:jc w:val="both"/>
              <w:rPr>
                <w:rFonts w:ascii="Arial" w:hAnsi="Arial"/>
                <w:b/>
                <w:bCs/>
                <w:lang w:val="de-DE"/>
              </w:rPr>
            </w:pPr>
            <w:r>
              <w:rPr>
                <w:rFonts w:ascii="Arial" w:hAnsi="Arial"/>
                <w:b/>
                <w:bCs/>
                <w:lang w:val="de-DE"/>
              </w:rPr>
              <w:t>Option A) or B) or C)</w:t>
            </w:r>
          </w:p>
        </w:tc>
        <w:tc>
          <w:tcPr>
            <w:tcW w:w="5807" w:type="dxa"/>
          </w:tcPr>
          <w:p w14:paraId="3EA9432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hAnsi="Arial"/>
                <w:lang w:val="de-DE"/>
              </w:rPr>
            </w:pPr>
            <w:r>
              <w:rPr>
                <w:rFonts w:ascii="Arial" w:hAnsi="Arial"/>
                <w:lang w:val="de-DE"/>
              </w:rPr>
              <w:lastRenderedPageBreak/>
              <w:t>Intel</w:t>
            </w:r>
          </w:p>
        </w:tc>
        <w:tc>
          <w:tcPr>
            <w:tcW w:w="1985" w:type="dxa"/>
          </w:tcPr>
          <w:p w14:paraId="2AAAF60A"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7BADA1AA" w14:textId="77777777" w:rsidR="00C3269F" w:rsidRDefault="00CA4FE1">
            <w:pPr>
              <w:spacing w:after="0"/>
              <w:jc w:val="both"/>
              <w:rPr>
                <w:rFonts w:ascii="Arial" w:hAnsi="Arial"/>
                <w:lang w:val="de-DE"/>
              </w:rPr>
            </w:pPr>
            <w:r>
              <w:rPr>
                <w:rFonts w:ascii="Arial" w:hAnsi="Arial"/>
                <w:lang w:val="de-DE"/>
              </w:rPr>
              <w:t>The same 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hAnsi="Arial"/>
                <w:lang w:val="de-DE"/>
              </w:rPr>
            </w:pPr>
            <w:r>
              <w:rPr>
                <w:rFonts w:ascii="Arial" w:hAnsi="Arial"/>
              </w:rPr>
              <w:t>Ericsson</w:t>
            </w:r>
          </w:p>
        </w:tc>
        <w:tc>
          <w:tcPr>
            <w:tcW w:w="1985" w:type="dxa"/>
          </w:tcPr>
          <w:p w14:paraId="2DE3439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02A5C883" w14:textId="77777777" w:rsidR="00C3269F" w:rsidRDefault="00CA4FE1">
            <w:pPr>
              <w:spacing w:after="0"/>
              <w:jc w:val="both"/>
              <w:rPr>
                <w:rFonts w:ascii="Arial" w:hAnsi="Arial"/>
                <w:lang w:val="de-DE"/>
              </w:rPr>
            </w:pPr>
            <w:r>
              <w:rPr>
                <w:rFonts w:ascii="Arial" w:hAnsi="Arial"/>
                <w:lang w:val="de-DE"/>
              </w:rPr>
              <w:t>We agree with Rapporteur. The issue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44DE76F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2587C8DD" w14:textId="77777777" w:rsidR="00C3269F" w:rsidRDefault="00CA4FE1">
            <w:pPr>
              <w:spacing w:after="0"/>
              <w:jc w:val="both"/>
              <w:rPr>
                <w:rFonts w:ascii="Arial" w:hAnsi="Arial"/>
                <w:lang w:val="de-DE"/>
              </w:rPr>
            </w:pPr>
            <w:r>
              <w:rPr>
                <w:rFonts w:ascii="Arial"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hAnsi="Arial"/>
                <w:lang w:val="de-DE"/>
              </w:rPr>
            </w:pPr>
          </w:p>
        </w:tc>
      </w:tr>
    </w:tbl>
    <w:p w14:paraId="0A8DA4A0" w14:textId="77777777" w:rsidR="00C3269F" w:rsidRDefault="00C3269F">
      <w:pPr>
        <w:rPr>
          <w:rFonts w:ascii="Arial" w:hAnsi="Arial" w:cs="Arial"/>
        </w:rPr>
      </w:pPr>
    </w:p>
    <w:p w14:paraId="76F14C03" w14:textId="77777777" w:rsidR="00C3269F" w:rsidRDefault="00CA4FE1">
      <w:pPr>
        <w:pStyle w:val="Heading3"/>
      </w:pPr>
      <w:r>
        <w:t>2.1.7</w:t>
      </w:r>
      <w:r>
        <w:tab/>
        <w:t>New frequency separation class</w:t>
      </w:r>
    </w:p>
    <w:p w14:paraId="21FE10A5" w14:textId="77777777" w:rsidR="00C3269F" w:rsidRDefault="00CA4FE1">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0FE23C42" w14:textId="77777777" w:rsidR="00C3269F" w:rsidRDefault="00CA4FE1">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lastRenderedPageBreak/>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r>
        <w:rPr>
          <w:lang w:val="en-US"/>
        </w:rPr>
        <w:t>FreqSeparationClass ::=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02305E15"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5BBB85B6"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44057E7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21F3CE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136F8824" w14:textId="77777777" w:rsidR="00C3269F" w:rsidRDefault="00CA4FE1">
            <w:pPr>
              <w:spacing w:after="0"/>
              <w:jc w:val="both"/>
              <w:rPr>
                <w:rFonts w:ascii="Arial" w:hAnsi="Arial" w:cs="Arial"/>
                <w:bCs/>
                <w:iCs/>
                <w:lang w:val="de-DE"/>
              </w:rPr>
            </w:pPr>
            <w:r>
              <w:rPr>
                <w:rFonts w:ascii="Arial"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hAnsi="Arial"/>
                <w:lang w:val="de-DE"/>
              </w:rPr>
            </w:pPr>
          </w:p>
        </w:tc>
      </w:tr>
      <w:tr w:rsidR="00C3269F" w14:paraId="563458B6" w14:textId="77777777">
        <w:tc>
          <w:tcPr>
            <w:tcW w:w="1837" w:type="dxa"/>
          </w:tcPr>
          <w:p w14:paraId="31A9C36E"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8BB32F1"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209E3B8B" w14:textId="77777777" w:rsidR="00C3269F" w:rsidRDefault="00CA4FE1">
            <w:pPr>
              <w:spacing w:after="0"/>
              <w:jc w:val="both"/>
              <w:rPr>
                <w:rFonts w:ascii="Arial" w:hAnsi="Arial"/>
                <w:lang w:val="de-DE"/>
              </w:rPr>
            </w:pPr>
            <w:r>
              <w:rPr>
                <w:rFonts w:ascii="Arial"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hAnsi="Arial"/>
                <w:lang w:val="de-DE"/>
              </w:rPr>
            </w:pPr>
          </w:p>
          <w:p w14:paraId="643DF43B" w14:textId="77777777" w:rsidR="00C3269F" w:rsidRDefault="00CA4FE1">
            <w:pPr>
              <w:spacing w:after="0"/>
              <w:jc w:val="both"/>
              <w:rPr>
                <w:rFonts w:ascii="Arial" w:hAnsi="Arial"/>
                <w:lang w:val="de-DE"/>
              </w:rPr>
            </w:pPr>
            <w:r>
              <w:rPr>
                <w:rFonts w:ascii="Arial" w:hAnsi="Arial"/>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hAnsi="Arial"/>
                <w:lang w:val="de-DE"/>
              </w:rPr>
            </w:pPr>
          </w:p>
          <w:p w14:paraId="28A828DC" w14:textId="77777777" w:rsidR="00C3269F" w:rsidRDefault="00CA4FE1">
            <w:pPr>
              <w:spacing w:after="0"/>
              <w:jc w:val="both"/>
              <w:rPr>
                <w:rFonts w:ascii="Arial" w:hAnsi="Arial"/>
                <w:lang w:val="de-DE"/>
              </w:rPr>
            </w:pPr>
            <w:r>
              <w:rPr>
                <w:rFonts w:ascii="Arial" w:hAnsi="Arial"/>
                <w:lang w:val="de-DE"/>
              </w:rPr>
              <w:t>But now, we add values which are smaller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6AD7338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5CDFF192" w14:textId="77777777" w:rsidR="00C3269F" w:rsidRDefault="00CA4FE1">
            <w:pPr>
              <w:spacing w:after="0"/>
              <w:jc w:val="both"/>
              <w:rPr>
                <w:rFonts w:ascii="Arial" w:hAnsi="Arial"/>
                <w:lang w:val="de-DE"/>
              </w:rPr>
            </w:pPr>
            <w:r>
              <w:rPr>
                <w:rFonts w:ascii="Arial"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47978DE8" w14:textId="77777777" w:rsidR="00C3269F" w:rsidRDefault="00CA4FE1">
            <w:pPr>
              <w:spacing w:after="0"/>
              <w:jc w:val="both"/>
              <w:rPr>
                <w:rFonts w:ascii="Arial" w:hAnsi="Arial"/>
                <w:lang w:val="de-DE"/>
              </w:rPr>
            </w:pPr>
            <w:r>
              <w:rPr>
                <w:rFonts w:ascii="Arial" w:hAnsi="Arial"/>
                <w:lang w:val="de-DE"/>
              </w:rPr>
              <w:t>Op2</w:t>
            </w:r>
          </w:p>
        </w:tc>
        <w:tc>
          <w:tcPr>
            <w:tcW w:w="5807" w:type="dxa"/>
          </w:tcPr>
          <w:p w14:paraId="1C2BE2E3" w14:textId="77777777" w:rsidR="00C3269F" w:rsidRDefault="00C3269F">
            <w:pPr>
              <w:spacing w:after="0"/>
              <w:jc w:val="both"/>
              <w:rPr>
                <w:rFonts w:ascii="Arial"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Both option 1 and 2 can be 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r w:rsidRPr="00C811E8">
              <w:rPr>
                <w:rFonts w:cs="Arial"/>
                <w:iCs/>
                <w:szCs w:val="18"/>
              </w:rPr>
              <w:t xml:space="preserve">f the UE sets the field </w:t>
            </w:r>
            <w:r w:rsidRPr="00C811E8">
              <w:rPr>
                <w:rFonts w:cs="Arial"/>
                <w:i/>
                <w:iCs/>
                <w:szCs w:val="18"/>
              </w:rPr>
              <w:t>intraBandFreqSeparationDL-v1620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r>
              <w:rPr>
                <w:rFonts w:ascii="Arial" w:hAnsi="Arial"/>
                <w:noProof/>
                <w:lang w:eastAsia="zh-CN"/>
              </w:rPr>
              <w:t xml:space="preserve">“, it is better to follow this principle when 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r w:rsidR="00B90F43" w:rsidRPr="000005B0" w14:paraId="3F044F76" w14:textId="77777777" w:rsidTr="00CA4FE1">
        <w:tc>
          <w:tcPr>
            <w:tcW w:w="1837" w:type="dxa"/>
          </w:tcPr>
          <w:p w14:paraId="76C48572" w14:textId="5DDC8752" w:rsidR="00B90F43" w:rsidRDefault="00B90F43" w:rsidP="00B90F43">
            <w:pPr>
              <w:spacing w:after="0"/>
              <w:jc w:val="both"/>
              <w:rPr>
                <w:rFonts w:ascii="Arial" w:hAnsi="Arial" w:hint="eastAsia"/>
                <w:noProof/>
                <w:lang w:eastAsia="zh-CN"/>
              </w:rPr>
            </w:pPr>
            <w:r>
              <w:rPr>
                <w:rFonts w:ascii="Arial" w:hAnsi="Arial"/>
                <w:noProof/>
              </w:rPr>
              <w:t>MediaTek</w:t>
            </w:r>
          </w:p>
        </w:tc>
        <w:tc>
          <w:tcPr>
            <w:tcW w:w="1985" w:type="dxa"/>
          </w:tcPr>
          <w:p w14:paraId="6C406BC9" w14:textId="70404674" w:rsidR="00B90F43" w:rsidRDefault="00B90F43" w:rsidP="00B90F43">
            <w:pPr>
              <w:spacing w:after="0"/>
              <w:jc w:val="both"/>
              <w:rPr>
                <w:rFonts w:ascii="Arial" w:hAnsi="Arial" w:hint="eastAsia"/>
                <w:noProof/>
                <w:lang w:eastAsia="zh-CN"/>
              </w:rPr>
            </w:pPr>
            <w:r>
              <w:rPr>
                <w:rFonts w:ascii="Arial" w:hAnsi="Arial"/>
                <w:noProof/>
              </w:rPr>
              <w:t>Opiton 2</w:t>
            </w:r>
          </w:p>
        </w:tc>
        <w:tc>
          <w:tcPr>
            <w:tcW w:w="5807" w:type="dxa"/>
          </w:tcPr>
          <w:p w14:paraId="7E73E425" w14:textId="77777777" w:rsidR="00B90F43" w:rsidRDefault="00B90F43" w:rsidP="00B90F43">
            <w:pPr>
              <w:spacing w:after="0"/>
              <w:jc w:val="both"/>
              <w:rPr>
                <w:rFonts w:ascii="Arial" w:hAnsi="Arial"/>
                <w:noProof/>
                <w:lang w:eastAsia="zh-CN"/>
              </w:rPr>
            </w:pP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hAnsi="Arial"/>
                <w:b/>
                <w:bCs/>
                <w:lang w:val="de-DE"/>
              </w:rPr>
            </w:pPr>
            <w:r>
              <w:rPr>
                <w:rFonts w:ascii="Arial" w:hAnsi="Arial"/>
                <w:b/>
                <w:bCs/>
                <w:lang w:val="de-DE"/>
              </w:rPr>
              <w:lastRenderedPageBreak/>
              <w:t>Company</w:t>
            </w:r>
          </w:p>
        </w:tc>
        <w:tc>
          <w:tcPr>
            <w:tcW w:w="1985" w:type="dxa"/>
          </w:tcPr>
          <w:p w14:paraId="71A50D52"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63FCF36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1413FA6E" w14:textId="77777777" w:rsidR="00C3269F" w:rsidRDefault="00CA4FE1">
            <w:pPr>
              <w:spacing w:after="0"/>
              <w:jc w:val="both"/>
              <w:rPr>
                <w:rFonts w:ascii="Arial" w:hAnsi="Arial"/>
                <w:lang w:val="de-DE"/>
              </w:rPr>
            </w:pPr>
            <w:r>
              <w:rPr>
                <w:rFonts w:ascii="Arial" w:hAnsi="Arial"/>
                <w:lang w:val="de-DE"/>
              </w:rPr>
              <w:t>No</w:t>
            </w:r>
          </w:p>
        </w:tc>
        <w:tc>
          <w:tcPr>
            <w:tcW w:w="5807" w:type="dxa"/>
          </w:tcPr>
          <w:p w14:paraId="5D7B0542" w14:textId="77777777" w:rsidR="00C3269F" w:rsidRDefault="00CA4FE1">
            <w:pPr>
              <w:spacing w:after="0"/>
              <w:jc w:val="both"/>
              <w:rPr>
                <w:rFonts w:ascii="Arial" w:hAnsi="Arial"/>
                <w:lang w:val="de-DE"/>
              </w:rPr>
            </w:pPr>
            <w:r>
              <w:rPr>
                <w:rFonts w:ascii="Arial" w:hAnsi="Arial"/>
                <w:lang w:val="de-DE"/>
              </w:rPr>
              <w:t xml:space="preserve">With Option 2, there is no need for Proposal 1 as suggested in [17]. Also, there is no need of Proposal 2 since the legacy network will know that UE has reported the </w:t>
            </w:r>
            <w:r>
              <w:rPr>
                <w:bCs/>
                <w:i/>
                <w:kern w:val="2"/>
                <w:lang w:val="de-DE" w:eastAsia="zh-CN"/>
              </w:rPr>
              <w:t>intraBandFreqSeparationDL/UL</w:t>
            </w:r>
            <w:r>
              <w:rPr>
                <w:b/>
                <w:kern w:val="2"/>
                <w:lang w:val="de-DE" w:eastAsia="zh-CN"/>
              </w:rPr>
              <w:t xml:space="preserve"> </w:t>
            </w:r>
            <w:r>
              <w:rPr>
                <w:rFonts w:ascii="Arial" w:hAnsi="Arial"/>
                <w:lang w:val="de-DE"/>
              </w:rPr>
              <w:t>(without suffix) with 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A37BD2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275F72F5" w14:textId="77777777" w:rsidR="00C3269F" w:rsidRDefault="00CA4FE1">
            <w:pPr>
              <w:spacing w:after="0"/>
              <w:jc w:val="both"/>
              <w:rPr>
                <w:rFonts w:ascii="Arial" w:hAnsi="Arial"/>
                <w:lang w:val="de-DE"/>
              </w:rPr>
            </w:pPr>
            <w:r>
              <w:rPr>
                <w:rFonts w:ascii="Arial" w:hAnsi="Arial"/>
                <w:lang w:val="de-DE"/>
              </w:rPr>
              <w:t>As described in the inter-operability-wording in the CRs for Option 2:</w:t>
            </w:r>
          </w:p>
          <w:p w14:paraId="13C9DDEC" w14:textId="77777777" w:rsidR="00C3269F" w:rsidRDefault="00C3269F">
            <w:pPr>
              <w:spacing w:after="0"/>
              <w:jc w:val="both"/>
              <w:rPr>
                <w:rFonts w:ascii="Arial" w:hAnsi="Arial"/>
                <w:lang w:val="de-DE"/>
              </w:rPr>
            </w:pPr>
          </w:p>
          <w:p w14:paraId="42537410" w14:textId="77777777" w:rsidR="00C3269F" w:rsidRDefault="00CA4FE1">
            <w:pPr>
              <w:spacing w:after="0"/>
              <w:jc w:val="both"/>
              <w:rPr>
                <w:rFonts w:ascii="Arial" w:hAnsi="Arial"/>
                <w:i/>
                <w:iCs/>
                <w:lang w:val="de-DE"/>
              </w:rPr>
            </w:pPr>
            <w:r>
              <w:rPr>
                <w:rFonts w:ascii="Arial" w:hAnsi="Arial"/>
                <w:i/>
                <w:iCs/>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hAnsi="Arial"/>
                <w:lang w:val="de-DE"/>
              </w:rPr>
            </w:pPr>
          </w:p>
          <w:p w14:paraId="6C0EF38C" w14:textId="77777777" w:rsidR="00C3269F" w:rsidRDefault="00CA4FE1">
            <w:pPr>
              <w:spacing w:after="0"/>
              <w:jc w:val="both"/>
              <w:rPr>
                <w:rFonts w:ascii="Arial" w:hAnsi="Arial"/>
                <w:lang w:val="de-DE"/>
              </w:rPr>
            </w:pPr>
            <w:r>
              <w:rPr>
                <w:rFonts w:ascii="Arial" w:hAnsi="Arial"/>
                <w:lang w:val="de-DE"/>
              </w:rPr>
              <w:t>Usually we dont capture this type of NW behaviour in the specification.</w:t>
            </w:r>
          </w:p>
        </w:tc>
      </w:tr>
      <w:tr w:rsidR="00C3269F" w14:paraId="70099882" w14:textId="77777777">
        <w:tc>
          <w:tcPr>
            <w:tcW w:w="1837" w:type="dxa"/>
          </w:tcPr>
          <w:p w14:paraId="302EED2A"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4D2B98" w14:textId="77777777" w:rsidR="00C3269F" w:rsidRDefault="00CA4FE1">
            <w:pPr>
              <w:spacing w:after="0"/>
              <w:jc w:val="both"/>
              <w:rPr>
                <w:rFonts w:ascii="Arial" w:hAnsi="Arial"/>
                <w:lang w:val="de-DE"/>
              </w:rPr>
            </w:pPr>
            <w:r>
              <w:rPr>
                <w:rFonts w:ascii="Arial" w:hAnsi="Arial"/>
                <w:lang w:val="de-DE"/>
              </w:rPr>
              <w:t>No</w:t>
            </w:r>
          </w:p>
        </w:tc>
        <w:tc>
          <w:tcPr>
            <w:tcW w:w="5807" w:type="dxa"/>
          </w:tcPr>
          <w:p w14:paraId="128E16B3" w14:textId="77777777" w:rsidR="00C3269F" w:rsidRDefault="00C3269F">
            <w:pPr>
              <w:spacing w:after="0"/>
              <w:jc w:val="both"/>
              <w:rPr>
                <w:rFonts w:ascii="Arial"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hAnsi="Arial"/>
                <w:lang w:val="de-DE"/>
              </w:rPr>
            </w:pPr>
            <w:r>
              <w:rPr>
                <w:rFonts w:ascii="Arial" w:hAnsi="Arial"/>
                <w:noProof/>
                <w:lang w:eastAsia="zh-CN"/>
              </w:rPr>
              <w:t xml:space="preserve">We are fine to keep the inter-operability for option 2 as it is in coverpage. </w:t>
            </w:r>
          </w:p>
        </w:tc>
      </w:tr>
      <w:tr w:rsidR="00B90F43" w14:paraId="3B315488" w14:textId="77777777">
        <w:tc>
          <w:tcPr>
            <w:tcW w:w="1837" w:type="dxa"/>
          </w:tcPr>
          <w:p w14:paraId="0FEB8E5B" w14:textId="24E4A399" w:rsidR="00B90F43" w:rsidRDefault="00B90F43" w:rsidP="00B90F43">
            <w:pPr>
              <w:spacing w:after="0"/>
              <w:jc w:val="both"/>
              <w:rPr>
                <w:rFonts w:ascii="Arial" w:hAnsi="Arial" w:hint="eastAsia"/>
                <w:noProof/>
                <w:lang w:eastAsia="zh-CN"/>
              </w:rPr>
            </w:pPr>
            <w:r>
              <w:rPr>
                <w:rFonts w:ascii="Arial" w:hAnsi="Arial"/>
                <w:noProof/>
              </w:rPr>
              <w:t>MediaTek</w:t>
            </w:r>
          </w:p>
        </w:tc>
        <w:tc>
          <w:tcPr>
            <w:tcW w:w="1985" w:type="dxa"/>
          </w:tcPr>
          <w:p w14:paraId="5AC0E231" w14:textId="7264F786" w:rsidR="00B90F43" w:rsidRDefault="00B90F43" w:rsidP="00B90F43">
            <w:pPr>
              <w:spacing w:after="0"/>
              <w:jc w:val="both"/>
              <w:rPr>
                <w:rFonts w:ascii="Arial" w:hAnsi="Arial" w:hint="eastAsia"/>
                <w:noProof/>
                <w:lang w:eastAsia="zh-CN"/>
              </w:rPr>
            </w:pPr>
            <w:r>
              <w:rPr>
                <w:rFonts w:ascii="Arial" w:hAnsi="Arial"/>
                <w:noProof/>
              </w:rPr>
              <w:t>No (if option 2 is adopted)</w:t>
            </w:r>
          </w:p>
        </w:tc>
        <w:tc>
          <w:tcPr>
            <w:tcW w:w="5807" w:type="dxa"/>
          </w:tcPr>
          <w:p w14:paraId="34B2674A" w14:textId="77777777" w:rsidR="00B90F43" w:rsidRDefault="00B90F43" w:rsidP="00B90F43">
            <w:pPr>
              <w:spacing w:after="0"/>
              <w:jc w:val="both"/>
              <w:rPr>
                <w:rFonts w:ascii="Arial" w:hAnsi="Arial"/>
                <w:noProof/>
                <w:lang w:eastAsia="zh-CN"/>
              </w:rPr>
            </w:pPr>
          </w:p>
        </w:tc>
      </w:tr>
    </w:tbl>
    <w:p w14:paraId="06098F9A" w14:textId="77777777" w:rsidR="00C3269F" w:rsidRDefault="00C3269F">
      <w:pPr>
        <w:rPr>
          <w:rFonts w:ascii="Arial" w:hAnsi="Arial" w:cs="Arial"/>
        </w:rPr>
      </w:pPr>
    </w:p>
    <w:p w14:paraId="37D6B121" w14:textId="77777777" w:rsidR="00C3269F" w:rsidRDefault="00CA4FE1">
      <w:pPr>
        <w:pStyle w:val="Heading3"/>
      </w:pPr>
      <w:r>
        <w:t>2.1.8</w:t>
      </w:r>
      <w:r>
        <w:tab/>
        <w:t xml:space="preserve">Corrections on </w:t>
      </w:r>
      <w:bookmarkStart w:id="12" w:name="OLE_LINK7"/>
      <w:r>
        <w:t>TPMI grouping</w:t>
      </w:r>
      <w:bookmarkEnd w:id="12"/>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lang w:val="en-US" w:eastAsia="zh-TW"/>
        </w:rPr>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Malgun Gothic"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ListParagraph"/>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ListParagraph"/>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wrap type="none"/>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lastRenderedPageBreak/>
        <w:t>Q8.1 Do companies agree with the proposed changes in the CRs? For companies agreeing to the proposed changes, please also comment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hAnsi="Arial"/>
                <w:b/>
                <w:bCs/>
                <w:lang w:val="de-DE"/>
              </w:rPr>
            </w:pPr>
            <w:r>
              <w:rPr>
                <w:rFonts w:ascii="Arial" w:hAnsi="Arial"/>
                <w:b/>
                <w:bCs/>
                <w:lang w:val="de-DE"/>
              </w:rPr>
              <w:t>Company</w:t>
            </w:r>
          </w:p>
        </w:tc>
        <w:tc>
          <w:tcPr>
            <w:tcW w:w="1909" w:type="dxa"/>
          </w:tcPr>
          <w:p w14:paraId="4FEDD36A" w14:textId="77777777" w:rsidR="00C3269F" w:rsidRDefault="00CA4FE1">
            <w:pPr>
              <w:spacing w:after="0"/>
              <w:jc w:val="both"/>
              <w:rPr>
                <w:rFonts w:ascii="Arial" w:hAnsi="Arial"/>
                <w:b/>
                <w:bCs/>
                <w:lang w:val="de-DE"/>
              </w:rPr>
            </w:pPr>
            <w:r>
              <w:rPr>
                <w:rFonts w:ascii="Arial" w:hAnsi="Arial"/>
                <w:b/>
                <w:bCs/>
                <w:lang w:val="de-DE"/>
              </w:rPr>
              <w:t>Yes/No</w:t>
            </w:r>
          </w:p>
        </w:tc>
        <w:tc>
          <w:tcPr>
            <w:tcW w:w="5860" w:type="dxa"/>
          </w:tcPr>
          <w:p w14:paraId="71D47075"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hAnsi="Arial"/>
                <w:lang w:val="de-DE"/>
              </w:rPr>
            </w:pPr>
            <w:r>
              <w:rPr>
                <w:rFonts w:ascii="Arial" w:hAnsi="Arial"/>
                <w:lang w:val="de-DE"/>
              </w:rPr>
              <w:t>Intel</w:t>
            </w:r>
          </w:p>
        </w:tc>
        <w:tc>
          <w:tcPr>
            <w:tcW w:w="1909" w:type="dxa"/>
          </w:tcPr>
          <w:p w14:paraId="4C7967C5" w14:textId="77777777" w:rsidR="00C3269F" w:rsidRDefault="00CA4FE1">
            <w:pPr>
              <w:jc w:val="both"/>
              <w:rPr>
                <w:rFonts w:ascii="Arial" w:hAnsi="Arial"/>
                <w:lang w:val="de-DE"/>
              </w:rPr>
            </w:pPr>
            <w:r>
              <w:rPr>
                <w:rFonts w:ascii="Arial" w:hAnsi="Arial" w:cs="Arial"/>
                <w:lang w:val="de-DE" w:eastAsia="en-US"/>
              </w:rPr>
              <w:t xml:space="preserve">No </w:t>
            </w:r>
          </w:p>
        </w:tc>
        <w:tc>
          <w:tcPr>
            <w:tcW w:w="5860" w:type="dxa"/>
          </w:tcPr>
          <w:p w14:paraId="688EBCB1" w14:textId="77777777" w:rsidR="00C3269F" w:rsidRDefault="00CA4FE1">
            <w:pPr>
              <w:jc w:val="both"/>
              <w:rPr>
                <w:rFonts w:ascii="Arial" w:hAnsi="Arial" w:cs="Arial"/>
                <w:lang w:val="de-DE" w:eastAsia="en-US"/>
              </w:rPr>
            </w:pPr>
            <w:r>
              <w:rPr>
                <w:rFonts w:ascii="Arial" w:hAnsi="Arial" w:cs="Arial"/>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E9C11F" w14:textId="77777777" w:rsidR="00C3269F" w:rsidRDefault="00CA4FE1">
            <w:pPr>
              <w:spacing w:after="0"/>
              <w:jc w:val="both"/>
              <w:rPr>
                <w:rFonts w:ascii="Arial" w:hAnsi="Arial"/>
                <w:lang w:val="de-DE"/>
              </w:rPr>
            </w:pPr>
            <w:r>
              <w:rPr>
                <w:rFonts w:ascii="Arial" w:hAnsi="Arial" w:cs="Arial"/>
                <w:lang w:val="de-DE" w:eastAsia="en-US"/>
              </w:rPr>
              <w:t>OK with the changes #3 and #4 in the reason for change. However, they are quite editorial and we do not see a need to make these changes via CR. If needed, it can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hAnsi="Arial"/>
                <w:lang w:val="de-DE"/>
              </w:rPr>
            </w:pPr>
            <w:r>
              <w:rPr>
                <w:rFonts w:ascii="Arial" w:hAnsi="Arial"/>
                <w:lang w:val="de-DE"/>
              </w:rPr>
              <w:t>Ericsson</w:t>
            </w:r>
          </w:p>
        </w:tc>
        <w:tc>
          <w:tcPr>
            <w:tcW w:w="1909" w:type="dxa"/>
          </w:tcPr>
          <w:p w14:paraId="24A5F4DF" w14:textId="77777777" w:rsidR="00C3269F" w:rsidRDefault="00C3269F">
            <w:pPr>
              <w:spacing w:after="0"/>
              <w:jc w:val="both"/>
              <w:rPr>
                <w:rFonts w:ascii="Arial" w:hAnsi="Arial"/>
                <w:lang w:val="de-DE"/>
              </w:rPr>
            </w:pPr>
          </w:p>
        </w:tc>
        <w:tc>
          <w:tcPr>
            <w:tcW w:w="5860" w:type="dxa"/>
          </w:tcPr>
          <w:p w14:paraId="0DAFCE68" w14:textId="77777777" w:rsidR="00C3269F" w:rsidRDefault="00CA4FE1">
            <w:pPr>
              <w:spacing w:after="0"/>
              <w:jc w:val="both"/>
              <w:rPr>
                <w:rFonts w:ascii="Arial" w:hAnsi="Arial"/>
                <w:lang w:val="de-DE"/>
              </w:rPr>
            </w:pPr>
            <w:r>
              <w:rPr>
                <w:rFonts w:ascii="Arial" w:hAnsi="Arial"/>
                <w:lang w:val="de-DE"/>
              </w:rPr>
              <w:t>In general the changes seem not critical. For change #1 and #2, if we could converge on a wording we would be fine to capture it, a suggestion is:</w:t>
            </w:r>
          </w:p>
          <w:p w14:paraId="2C8E1285" w14:textId="77777777" w:rsidR="00C3269F" w:rsidRDefault="00C3269F">
            <w:pPr>
              <w:spacing w:after="0"/>
              <w:jc w:val="both"/>
              <w:rPr>
                <w:rFonts w:ascii="Arial" w:hAnsi="Arial"/>
                <w:lang w:val="de-DE"/>
              </w:rPr>
            </w:pPr>
          </w:p>
          <w:p w14:paraId="61694EA2" w14:textId="77777777" w:rsidR="00C3269F" w:rsidRDefault="00CA4FE1">
            <w:pPr>
              <w:pStyle w:val="TAN"/>
              <w:rPr>
                <w:sz w:val="16"/>
                <w:szCs w:val="16"/>
                <w:lang w:val="en-US" w:eastAsia="sv-SE"/>
              </w:rPr>
            </w:pPr>
            <w:r>
              <w:rPr>
                <w:sz w:val="16"/>
                <w:szCs w:val="16"/>
                <w:lang w:val="en-US"/>
              </w:rPr>
              <w:t>NOTE 1:     When a full coherent UE operates in mode 2, it reports TPMIs the same as a partial-coherent UE.</w:t>
            </w:r>
          </w:p>
          <w:p w14:paraId="1FFA8049" w14:textId="77777777" w:rsidR="00C3269F" w:rsidRDefault="00CA4FE1">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6818256B" w14:textId="77777777" w:rsidR="00C3269F" w:rsidRDefault="00CA4FE1">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01605CDB" w14:textId="77777777" w:rsidR="00C3269F" w:rsidRDefault="00CA4FE1">
            <w:pPr>
              <w:spacing w:after="0"/>
              <w:jc w:val="both"/>
              <w:rPr>
                <w:rFonts w:ascii="Arial" w:hAnsi="Arial"/>
                <w:lang w:val="de-DE"/>
              </w:rPr>
            </w:pPr>
            <w:r>
              <w:rPr>
                <w:rFonts w:ascii="Arial" w:hAnsi="Arial"/>
                <w:lang w:val="en-US"/>
              </w:rPr>
              <w:t>For change #3 and #4, fine to merge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hAnsi="Arial"/>
                <w:lang w:val="de-DE"/>
              </w:rPr>
            </w:pPr>
          </w:p>
        </w:tc>
        <w:tc>
          <w:tcPr>
            <w:tcW w:w="1909" w:type="dxa"/>
          </w:tcPr>
          <w:p w14:paraId="37D5525B" w14:textId="77777777" w:rsidR="00C3269F" w:rsidRDefault="00C3269F">
            <w:pPr>
              <w:spacing w:after="0"/>
              <w:jc w:val="both"/>
              <w:rPr>
                <w:rFonts w:ascii="Arial" w:hAnsi="Arial"/>
                <w:lang w:val="de-DE"/>
              </w:rPr>
            </w:pPr>
          </w:p>
        </w:tc>
        <w:tc>
          <w:tcPr>
            <w:tcW w:w="5860" w:type="dxa"/>
          </w:tcPr>
          <w:p w14:paraId="0DC54F85" w14:textId="77777777" w:rsidR="00C3269F" w:rsidRDefault="00C3269F">
            <w:pPr>
              <w:spacing w:after="0"/>
              <w:jc w:val="both"/>
              <w:rPr>
                <w:rFonts w:ascii="Arial"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hAnsi="Arial"/>
                <w:lang w:val="de-DE"/>
              </w:rPr>
            </w:pPr>
            <w:r>
              <w:rPr>
                <w:rFonts w:ascii="Arial" w:hAnsi="Arial"/>
                <w:lang w:val="de-DE"/>
              </w:rPr>
              <w:t>Apple</w:t>
            </w:r>
          </w:p>
        </w:tc>
        <w:tc>
          <w:tcPr>
            <w:tcW w:w="1909" w:type="dxa"/>
          </w:tcPr>
          <w:p w14:paraId="6D455568" w14:textId="77777777" w:rsidR="00C3269F" w:rsidRDefault="00CA4FE1">
            <w:pPr>
              <w:spacing w:after="0"/>
              <w:jc w:val="both"/>
              <w:rPr>
                <w:rFonts w:ascii="Arial" w:hAnsi="Arial"/>
                <w:lang w:val="de-DE"/>
              </w:rPr>
            </w:pPr>
            <w:r>
              <w:rPr>
                <w:rFonts w:ascii="Arial" w:hAnsi="Arial"/>
                <w:lang w:val="de-DE"/>
              </w:rPr>
              <w:t>No</w:t>
            </w:r>
          </w:p>
        </w:tc>
        <w:tc>
          <w:tcPr>
            <w:tcW w:w="5860" w:type="dxa"/>
          </w:tcPr>
          <w:p w14:paraId="17EA79E9" w14:textId="77777777" w:rsidR="00C3269F" w:rsidRDefault="00CA4FE1">
            <w:pPr>
              <w:spacing w:after="0"/>
              <w:jc w:val="both"/>
              <w:rPr>
                <w:rFonts w:ascii="Arial" w:hAnsi="Arial"/>
                <w:lang w:val="de-DE"/>
              </w:rPr>
            </w:pPr>
            <w:bookmarkStart w:id="13" w:name="OLE_LINK8"/>
            <w:r>
              <w:rPr>
                <w:rFonts w:ascii="Arial" w:hAnsi="Arial"/>
                <w:lang w:val="de-DE"/>
              </w:rPr>
              <w:t>Same view as Intel</w:t>
            </w:r>
            <w:bookmarkEnd w:id="13"/>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hAnsi="Arial"/>
                <w:lang w:val="de-DE"/>
              </w:rPr>
            </w:pPr>
            <w:r>
              <w:rPr>
                <w:rFonts w:ascii="Arial"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bl>
    <w:p w14:paraId="744732B1" w14:textId="77777777" w:rsidR="00C3269F" w:rsidRDefault="00C3269F">
      <w:pPr>
        <w:rPr>
          <w:rFonts w:ascii="Arial" w:hAnsi="Arial"/>
          <w:lang w:val="zh-CN"/>
        </w:rPr>
      </w:pPr>
    </w:p>
    <w:p w14:paraId="6A70A363" w14:textId="77777777" w:rsidR="00C3269F" w:rsidRDefault="00CA4FE1">
      <w:pPr>
        <w:pStyle w:val="Heading3"/>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It is rapporteur’s understanding that the CR will be 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0F1C41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5FD4064"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451864AC" w14:textId="77777777" w:rsidR="00C3269F" w:rsidRDefault="00CA4FE1">
            <w:pPr>
              <w:spacing w:after="0"/>
              <w:jc w:val="both"/>
              <w:rPr>
                <w:rFonts w:ascii="Arial" w:hAnsi="Arial"/>
                <w:lang w:val="de-DE"/>
              </w:rPr>
            </w:pPr>
            <w:r>
              <w:rPr>
                <w:rFonts w:ascii="Arial" w:hAnsi="Arial"/>
                <w:lang w:val="de-DE"/>
              </w:rPr>
              <w:t>Yes (Proponent)</w:t>
            </w:r>
          </w:p>
        </w:tc>
        <w:tc>
          <w:tcPr>
            <w:tcW w:w="5807" w:type="dxa"/>
          </w:tcPr>
          <w:p w14:paraId="53DAFB11" w14:textId="77777777" w:rsidR="00C3269F" w:rsidRDefault="00C3269F">
            <w:pPr>
              <w:spacing w:after="0"/>
              <w:jc w:val="both"/>
              <w:rPr>
                <w:rFonts w:ascii="Arial"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hAnsi="Arial"/>
                <w:lang w:val="de-DE"/>
              </w:rPr>
            </w:pPr>
          </w:p>
        </w:tc>
      </w:tr>
      <w:tr w:rsidR="00C3269F" w14:paraId="7BDE8262" w14:textId="77777777">
        <w:tc>
          <w:tcPr>
            <w:tcW w:w="1837" w:type="dxa"/>
          </w:tcPr>
          <w:p w14:paraId="1CE06E49" w14:textId="77777777" w:rsidR="00C3269F" w:rsidRDefault="00CA4FE1">
            <w:pPr>
              <w:spacing w:after="0"/>
              <w:rPr>
                <w:rFonts w:ascii="Arial" w:hAnsi="Arial"/>
                <w:lang w:val="de-DE"/>
              </w:rPr>
            </w:pPr>
            <w:r>
              <w:rPr>
                <w:rFonts w:ascii="Arial" w:hAnsi="Arial"/>
                <w:lang w:val="de-DE"/>
              </w:rPr>
              <w:t>Ericsson</w:t>
            </w:r>
          </w:p>
        </w:tc>
        <w:tc>
          <w:tcPr>
            <w:tcW w:w="1985" w:type="dxa"/>
          </w:tcPr>
          <w:p w14:paraId="68F39D37"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64E337BF" w14:textId="77777777" w:rsidR="00C3269F" w:rsidRDefault="00CA4FE1">
            <w:pPr>
              <w:spacing w:after="0"/>
              <w:jc w:val="both"/>
              <w:rPr>
                <w:rFonts w:ascii="Arial" w:hAnsi="Arial"/>
                <w:lang w:val="de-DE"/>
              </w:rPr>
            </w:pPr>
            <w:r>
              <w:rPr>
                <w:rFonts w:ascii="Arial"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68ECDD3"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7F7AE6EC" w14:textId="77777777" w:rsidR="00C3269F" w:rsidRDefault="00C3269F">
            <w:pPr>
              <w:spacing w:after="0"/>
              <w:jc w:val="both"/>
              <w:rPr>
                <w:rFonts w:ascii="Arial"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r w:rsidR="00B90F43" w:rsidRPr="000005B0" w14:paraId="7FE6C126" w14:textId="77777777" w:rsidTr="00CA4FE1">
        <w:tc>
          <w:tcPr>
            <w:tcW w:w="1837" w:type="dxa"/>
          </w:tcPr>
          <w:p w14:paraId="4564E6B4" w14:textId="02DE8D89" w:rsidR="00B90F43" w:rsidRDefault="00B90F43" w:rsidP="00B90F43">
            <w:pPr>
              <w:spacing w:after="0"/>
              <w:jc w:val="both"/>
              <w:rPr>
                <w:rFonts w:ascii="Arial" w:hAnsi="Arial" w:hint="eastAsia"/>
                <w:noProof/>
                <w:lang w:eastAsia="zh-CN"/>
              </w:rPr>
            </w:pPr>
            <w:bookmarkStart w:id="14" w:name="_GoBack" w:colFirst="0" w:colLast="0"/>
            <w:r>
              <w:rPr>
                <w:rFonts w:ascii="Arial" w:hAnsi="Arial"/>
                <w:noProof/>
              </w:rPr>
              <w:t>MediaTek</w:t>
            </w:r>
          </w:p>
        </w:tc>
        <w:tc>
          <w:tcPr>
            <w:tcW w:w="1985" w:type="dxa"/>
          </w:tcPr>
          <w:p w14:paraId="4AF36400" w14:textId="2EE87BF7" w:rsidR="00B90F43" w:rsidRDefault="00B90F43" w:rsidP="00B90F43">
            <w:pPr>
              <w:spacing w:after="0"/>
              <w:jc w:val="both"/>
              <w:rPr>
                <w:rFonts w:ascii="Arial" w:hAnsi="Arial" w:hint="eastAsia"/>
                <w:noProof/>
                <w:lang w:eastAsia="zh-CN"/>
              </w:rPr>
            </w:pPr>
            <w:r>
              <w:rPr>
                <w:rFonts w:ascii="Arial" w:hAnsi="Arial"/>
                <w:noProof/>
              </w:rPr>
              <w:t>Yes</w:t>
            </w:r>
          </w:p>
        </w:tc>
        <w:tc>
          <w:tcPr>
            <w:tcW w:w="5807" w:type="dxa"/>
          </w:tcPr>
          <w:p w14:paraId="76504151" w14:textId="77777777" w:rsidR="00B90F43" w:rsidRPr="000005B0" w:rsidRDefault="00B90F43" w:rsidP="00B90F43">
            <w:pPr>
              <w:spacing w:after="0"/>
              <w:jc w:val="both"/>
              <w:rPr>
                <w:rFonts w:ascii="Arial" w:hAnsi="Arial"/>
                <w:noProof/>
              </w:rPr>
            </w:pPr>
          </w:p>
        </w:tc>
      </w:tr>
      <w:bookmarkEnd w:id="14"/>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hAnsi="Arial"/>
                <w:b/>
                <w:bCs/>
                <w:lang w:val="de-DE"/>
              </w:rPr>
            </w:pPr>
            <w:r>
              <w:rPr>
                <w:rFonts w:ascii="Arial" w:hAnsi="Arial"/>
                <w:b/>
                <w:bCs/>
                <w:lang w:val="de-DE"/>
              </w:rPr>
              <w:t>Company</w:t>
            </w:r>
          </w:p>
        </w:tc>
        <w:tc>
          <w:tcPr>
            <w:tcW w:w="1176" w:type="dxa"/>
          </w:tcPr>
          <w:p w14:paraId="78F74B56" w14:textId="77777777" w:rsidR="00C3269F" w:rsidRDefault="00CA4FE1">
            <w:pPr>
              <w:spacing w:after="0"/>
              <w:jc w:val="both"/>
              <w:rPr>
                <w:rFonts w:ascii="Arial" w:hAnsi="Arial"/>
                <w:b/>
                <w:bCs/>
                <w:lang w:val="de-DE"/>
              </w:rPr>
            </w:pPr>
            <w:r>
              <w:rPr>
                <w:rFonts w:ascii="Arial" w:hAnsi="Arial"/>
                <w:b/>
                <w:bCs/>
                <w:lang w:val="de-DE"/>
              </w:rPr>
              <w:t>Feature no.</w:t>
            </w:r>
          </w:p>
        </w:tc>
        <w:tc>
          <w:tcPr>
            <w:tcW w:w="2126" w:type="dxa"/>
          </w:tcPr>
          <w:p w14:paraId="421217BB" w14:textId="77777777" w:rsidR="00C3269F" w:rsidRDefault="00CA4FE1">
            <w:pPr>
              <w:spacing w:after="0"/>
              <w:jc w:val="both"/>
              <w:rPr>
                <w:rFonts w:ascii="Arial" w:hAnsi="Arial"/>
                <w:b/>
                <w:bCs/>
                <w:lang w:val="de-DE"/>
              </w:rPr>
            </w:pPr>
            <w:r>
              <w:rPr>
                <w:rFonts w:ascii="Arial" w:hAnsi="Arial"/>
                <w:b/>
                <w:bCs/>
                <w:lang w:val="de-DE"/>
              </w:rPr>
              <w:t>Comment raised</w:t>
            </w:r>
          </w:p>
        </w:tc>
        <w:tc>
          <w:tcPr>
            <w:tcW w:w="2753" w:type="dxa"/>
          </w:tcPr>
          <w:p w14:paraId="4B253394" w14:textId="77777777" w:rsidR="00C3269F" w:rsidRDefault="00CA4FE1">
            <w:pPr>
              <w:spacing w:after="0"/>
              <w:jc w:val="both"/>
              <w:rPr>
                <w:rFonts w:ascii="Arial" w:hAnsi="Arial"/>
                <w:b/>
                <w:bCs/>
                <w:lang w:val="de-DE"/>
              </w:rPr>
            </w:pPr>
            <w:r>
              <w:rPr>
                <w:rFonts w:ascii="Arial" w:hAnsi="Arial"/>
                <w:b/>
                <w:bCs/>
                <w:lang w:val="de-DE"/>
              </w:rPr>
              <w:t>Proposals</w:t>
            </w:r>
          </w:p>
        </w:tc>
        <w:tc>
          <w:tcPr>
            <w:tcW w:w="2202" w:type="dxa"/>
          </w:tcPr>
          <w:p w14:paraId="6D389C04" w14:textId="77777777" w:rsidR="00C3269F" w:rsidRDefault="00CA4FE1">
            <w:pPr>
              <w:spacing w:after="0"/>
              <w:jc w:val="both"/>
              <w:rPr>
                <w:rFonts w:ascii="Arial" w:hAnsi="Arial"/>
                <w:b/>
                <w:bCs/>
                <w:lang w:val="de-DE"/>
              </w:rPr>
            </w:pPr>
            <w:r>
              <w:rPr>
                <w:rFonts w:ascii="Arial"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hAnsi="Arial"/>
                <w:sz w:val="20"/>
                <w:lang w:val="de-DE"/>
              </w:rPr>
            </w:pPr>
          </w:p>
        </w:tc>
        <w:tc>
          <w:tcPr>
            <w:tcW w:w="1176" w:type="dxa"/>
          </w:tcPr>
          <w:p w14:paraId="7B59EE24" w14:textId="77777777" w:rsidR="00C3269F" w:rsidRDefault="00C3269F">
            <w:pPr>
              <w:spacing w:after="0"/>
              <w:rPr>
                <w:rFonts w:ascii="Arial" w:hAnsi="Arial"/>
                <w:sz w:val="20"/>
                <w:lang w:val="de-DE"/>
              </w:rPr>
            </w:pPr>
          </w:p>
        </w:tc>
        <w:tc>
          <w:tcPr>
            <w:tcW w:w="2126" w:type="dxa"/>
          </w:tcPr>
          <w:p w14:paraId="4411C567" w14:textId="77777777" w:rsidR="00C3269F" w:rsidRDefault="00C3269F">
            <w:pPr>
              <w:rPr>
                <w:rFonts w:ascii="Arial" w:hAnsi="Arial"/>
                <w:sz w:val="20"/>
                <w:lang w:val="de-DE"/>
              </w:rPr>
            </w:pPr>
          </w:p>
        </w:tc>
        <w:tc>
          <w:tcPr>
            <w:tcW w:w="2753" w:type="dxa"/>
          </w:tcPr>
          <w:p w14:paraId="78CED0AA" w14:textId="77777777" w:rsidR="00C3269F" w:rsidRDefault="00C3269F">
            <w:pPr>
              <w:spacing w:after="0"/>
              <w:rPr>
                <w:rFonts w:ascii="Arial" w:hAnsi="Arial"/>
                <w:sz w:val="20"/>
                <w:lang w:val="de-DE"/>
              </w:rPr>
            </w:pPr>
          </w:p>
        </w:tc>
        <w:tc>
          <w:tcPr>
            <w:tcW w:w="2202" w:type="dxa"/>
          </w:tcPr>
          <w:p w14:paraId="3127F834" w14:textId="77777777" w:rsidR="00C3269F" w:rsidRDefault="00C3269F">
            <w:pPr>
              <w:spacing w:after="0"/>
              <w:rPr>
                <w:rFonts w:ascii="Arial"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hAnsi="Arial"/>
                <w:lang w:val="de-DE"/>
              </w:rPr>
            </w:pPr>
          </w:p>
        </w:tc>
        <w:tc>
          <w:tcPr>
            <w:tcW w:w="1176" w:type="dxa"/>
          </w:tcPr>
          <w:p w14:paraId="20663122" w14:textId="77777777" w:rsidR="00C3269F" w:rsidRDefault="00C3269F">
            <w:pPr>
              <w:jc w:val="both"/>
              <w:rPr>
                <w:rFonts w:ascii="Arial"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hAnsi="Arial"/>
                <w:sz w:val="20"/>
                <w:lang w:val="de-DE"/>
              </w:rPr>
            </w:pPr>
          </w:p>
        </w:tc>
        <w:tc>
          <w:tcPr>
            <w:tcW w:w="2202" w:type="dxa"/>
          </w:tcPr>
          <w:p w14:paraId="3EC05D80" w14:textId="77777777" w:rsidR="00C3269F" w:rsidRDefault="00C3269F">
            <w:pPr>
              <w:jc w:val="both"/>
              <w:rPr>
                <w:rFonts w:ascii="Arial" w:hAnsi="Arial"/>
                <w:sz w:val="20"/>
                <w:lang w:val="de-DE"/>
              </w:rPr>
            </w:pPr>
          </w:p>
        </w:tc>
      </w:tr>
    </w:tbl>
    <w:p w14:paraId="618DE012" w14:textId="77777777" w:rsidR="00C3269F" w:rsidRDefault="00CA4FE1">
      <w:pPr>
        <w:pStyle w:val="Heading2"/>
      </w:pPr>
      <w:r>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Heading1"/>
      </w:pPr>
      <w:r>
        <w:t>3</w:t>
      </w:r>
      <w:r>
        <w:tab/>
        <w:t>Conclusion</w:t>
      </w:r>
    </w:p>
    <w:p w14:paraId="328A3F9D" w14:textId="77777777" w:rsidR="00C3269F" w:rsidRDefault="00C3269F">
      <w:pPr>
        <w:pStyle w:val="BodyText"/>
        <w:rPr>
          <w:lang w:val="en-US"/>
        </w:rPr>
      </w:pPr>
    </w:p>
    <w:p w14:paraId="7CB7302A" w14:textId="77777777" w:rsidR="00C3269F" w:rsidRDefault="00CA4FE1">
      <w:pPr>
        <w:spacing w:after="0"/>
        <w:jc w:val="both"/>
        <w:rPr>
          <w:rFonts w:ascii="Arial" w:hAnsi="Arial"/>
        </w:rPr>
      </w:pPr>
      <w:r>
        <w:rPr>
          <w:rFonts w:ascii="Arial" w:hAnsi="Arial"/>
        </w:rPr>
        <w:t xml:space="preserve">- To be updated after discussion on Phase 1 - </w:t>
      </w:r>
    </w:p>
    <w:sectPr w:rsidR="00C326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ACDE4" w14:textId="77777777" w:rsidR="00682FF2" w:rsidRDefault="00682FF2" w:rsidP="00B90F43">
      <w:pPr>
        <w:spacing w:after="0"/>
      </w:pPr>
      <w:r>
        <w:separator/>
      </w:r>
    </w:p>
  </w:endnote>
  <w:endnote w:type="continuationSeparator" w:id="0">
    <w:p w14:paraId="35CB4682" w14:textId="77777777" w:rsidR="00682FF2" w:rsidRDefault="00682FF2" w:rsidP="00B9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B40B2" w14:textId="77777777" w:rsidR="00682FF2" w:rsidRDefault="00682FF2" w:rsidP="00B90F43">
      <w:pPr>
        <w:spacing w:after="0"/>
      </w:pPr>
      <w:r>
        <w:separator/>
      </w:r>
    </w:p>
  </w:footnote>
  <w:footnote w:type="continuationSeparator" w:id="0">
    <w:p w14:paraId="4AC24B5E" w14:textId="77777777" w:rsidR="00682FF2" w:rsidRDefault="00682FF2" w:rsidP="00B90F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E0FF2"/>
  <w15:docId w15:val="{F04E6A82-8351-604F-B65E-77B43035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30B60C52-50F4-48B2-83DB-9CFD125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4594</Words>
  <Characters>26187</Characters>
  <Application>Microsoft Office Word</Application>
  <DocSecurity>0</DocSecurity>
  <Lines>218</Lines>
  <Paragraphs>61</Paragraphs>
  <ScaleCrop>false</ScaleCrop>
  <Company>Ericsson</Company>
  <LinksUpToDate>false</LinksUpToDate>
  <CharactersWithSpaces>30720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13</cp:revision>
  <cp:lastPrinted>2008-02-01T05:09:00Z</cp:lastPrinted>
  <dcterms:created xsi:type="dcterms:W3CDTF">2021-05-20T15:55:00Z</dcterms:created>
  <dcterms:modified xsi:type="dcterms:W3CDTF">2021-05-21T02:38:00Z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