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#114-e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May 17-27, 2021</w:t>
      </w:r>
      <w:r>
        <w:rPr>
          <w:rFonts w:ascii="Arial" w:hAnsi="Arial" w:eastAsia="Malgun Gothic"/>
          <w:b/>
          <w:sz w:val="24"/>
        </w:rPr>
        <w:tab/>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[AT114-e][010][NR15] UE cap I - BCS for fallback BC (Huawei)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numPr>
          <w:ilvl w:val="0"/>
          <w:numId w:val="7"/>
        </w:numPr>
        <w:tabs>
          <w:tab w:val="left" w:pos="1619"/>
          <w:tab w:val="clear" w:pos="1710"/>
        </w:tabs>
        <w:spacing w:before="40" w:after="0" w:line="240" w:lineRule="auto"/>
        <w:ind w:left="1619"/>
        <w:jc w:val="left"/>
        <w:rPr>
          <w:rFonts w:ascii="Arial" w:hAnsi="Arial" w:eastAsia="MS Mincho"/>
          <w:b/>
          <w:szCs w:val="24"/>
          <w:lang w:eastAsia="en-GB"/>
        </w:rPr>
      </w:pPr>
      <w:r>
        <w:rPr>
          <w:rFonts w:ascii="Arial" w:hAnsi="Arial" w:eastAsia="MS Mincho"/>
          <w:b/>
          <w:szCs w:val="24"/>
          <w:lang w:eastAsia="en-GB"/>
        </w:rPr>
        <w:t>[AT114-e][010][NR15] UE cap I - BCS for fallback BC (Huawei)</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Await on-line, then treat remaining parts of R2-2105941, R2-2106119, R2-2105171, R2-2105066, R2-2106120, R2-2106121, R2-2106122, R2-2106123, R2-2106360, R2-2105173</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Phase 1, determine agreeable parts, Phase 2, for agreeable parts Work on CRs.</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Report and Agreed CRs. </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Schedule A</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MediaTek</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hint="default" w:ascii="CG Times (WN)" w:hAnsi="CG Times (WN)" w:eastAsia="等线"/>
                <w:bCs/>
                <w:szCs w:val="21"/>
                <w:lang w:val="en-US" w:eastAsia="zh-CN"/>
              </w:rPr>
            </w:pPr>
            <w:r>
              <w:rPr>
                <w:rFonts w:hint="eastAsia" w:ascii="CG Times (WN)" w:hAnsi="CG Times (WN)" w:eastAsia="等线"/>
                <w:bCs/>
                <w:szCs w:val="21"/>
                <w:lang w:val="en-US" w:eastAsia="zh-CN"/>
              </w:rPr>
              <w:t>ZTE</w:t>
            </w:r>
          </w:p>
        </w:tc>
        <w:tc>
          <w:tcPr>
            <w:tcW w:w="6119" w:type="dxa"/>
            <w:shd w:val="clear" w:color="auto" w:fill="auto"/>
          </w:tcPr>
          <w:p>
            <w:pPr>
              <w:widowControl w:val="0"/>
              <w:spacing w:after="160"/>
              <w:rPr>
                <w:rFonts w:hint="default" w:ascii="CG Times (WN)" w:hAnsi="CG Times (WN)" w:eastAsia="等线"/>
                <w:bCs/>
                <w:szCs w:val="21"/>
                <w:lang w:val="en-US" w:eastAsia="zh-CN"/>
              </w:rPr>
            </w:pPr>
            <w:r>
              <w:rPr>
                <w:rFonts w:hint="eastAsia" w:ascii="CG Times (WN)" w:hAnsi="CG Times (WN)" w:eastAsia="等线"/>
                <w:bCs/>
                <w:szCs w:val="21"/>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CR on the BCS fallback</w:t>
      </w:r>
    </w:p>
    <w:p>
      <w:pPr>
        <w:pStyle w:val="145"/>
      </w:pPr>
      <w:r>
        <w:fldChar w:fldCharType="begin"/>
      </w:r>
      <w:r>
        <w:instrText xml:space="preserve"> HYPERLINK "file:///D:\\Documents\\3GPP\\tsg_ran\\WG2\\TSGR2_114-e\\Docs\\R2-2106120.zip" \o "D:Documents3GPPtsg_ranWG2TSGR2_114-eDocsR2-2106120.zip" </w:instrText>
      </w:r>
      <w:r>
        <w:fldChar w:fldCharType="separate"/>
      </w:r>
      <w:r>
        <w:rPr>
          <w:rStyle w:val="48"/>
        </w:rPr>
        <w:t>R2-2106120</w:t>
      </w:r>
      <w:r>
        <w:rPr>
          <w:rStyle w:val="48"/>
        </w:rPr>
        <w:fldChar w:fldCharType="end"/>
      </w:r>
      <w:r>
        <w:tab/>
      </w:r>
      <w:r>
        <w:t>Clarification on BCS of a fallback band combination</w:t>
      </w:r>
      <w:r>
        <w:tab/>
      </w:r>
      <w:r>
        <w:t>Huawei, HiSilicon</w:t>
      </w:r>
      <w:r>
        <w:tab/>
      </w:r>
      <w:r>
        <w:t>CR</w:t>
      </w:r>
      <w:r>
        <w:tab/>
      </w:r>
      <w:r>
        <w:t>Rel-15</w:t>
      </w:r>
      <w:r>
        <w:tab/>
      </w:r>
      <w:r>
        <w:t>38.306</w:t>
      </w:r>
      <w:r>
        <w:tab/>
      </w:r>
      <w:r>
        <w:t>15.13.0</w:t>
      </w:r>
      <w:r>
        <w:tab/>
      </w:r>
      <w:r>
        <w:t>0595</w:t>
      </w:r>
      <w:r>
        <w:tab/>
      </w:r>
      <w:r>
        <w:t>-</w:t>
      </w:r>
      <w:r>
        <w:tab/>
      </w:r>
      <w:r>
        <w:t>F</w:t>
      </w:r>
      <w:r>
        <w:tab/>
      </w:r>
      <w:r>
        <w:t>NR_newRAT-Core</w:t>
      </w:r>
    </w:p>
    <w:p>
      <w:pPr>
        <w:pStyle w:val="145"/>
      </w:pPr>
      <w:r>
        <w:fldChar w:fldCharType="begin"/>
      </w:r>
      <w:r>
        <w:instrText xml:space="preserve"> HYPERLINK "file:///D:\\Documents\\3GPP\\tsg_ran\\WG2\\TSGR2_114-e\\Docs\\R2-2106121.zip" \o "D:Documents3GPPtsg_ranWG2TSGR2_114-eDocsR2-2106121.zip" </w:instrText>
      </w:r>
      <w:r>
        <w:fldChar w:fldCharType="separate"/>
      </w:r>
      <w:r>
        <w:rPr>
          <w:rStyle w:val="48"/>
        </w:rPr>
        <w:t>R2-2106121</w:t>
      </w:r>
      <w:r>
        <w:rPr>
          <w:rStyle w:val="48"/>
        </w:rPr>
        <w:fldChar w:fldCharType="end"/>
      </w:r>
      <w:r>
        <w:tab/>
      </w:r>
      <w:r>
        <w:t>Clarification on BCS of a fallback band combination</w:t>
      </w:r>
      <w:r>
        <w:tab/>
      </w:r>
      <w:r>
        <w:t>Huawei, HiSilicon</w:t>
      </w:r>
      <w:r>
        <w:tab/>
      </w:r>
      <w:r>
        <w:t>CR</w:t>
      </w:r>
      <w:r>
        <w:tab/>
      </w:r>
      <w:r>
        <w:t>Rel-16</w:t>
      </w:r>
      <w:r>
        <w:tab/>
      </w:r>
      <w:r>
        <w:t>38.306</w:t>
      </w:r>
      <w:r>
        <w:tab/>
      </w:r>
      <w:r>
        <w:t>16.4.0</w:t>
      </w:r>
      <w:r>
        <w:tab/>
      </w:r>
      <w:r>
        <w:t>0596</w:t>
      </w:r>
      <w:r>
        <w:tab/>
      </w:r>
      <w:r>
        <w:t>-</w:t>
      </w:r>
      <w:r>
        <w:tab/>
      </w:r>
      <w:r>
        <w:t>A</w:t>
      </w:r>
      <w:r>
        <w:tab/>
      </w:r>
      <w:r>
        <w:t>NR_newRAT-Core</w:t>
      </w:r>
    </w:p>
    <w:p>
      <w:pPr>
        <w:rPr>
          <w:lang w:eastAsia="zh-CN"/>
        </w:rPr>
      </w:pPr>
    </w:p>
    <w:p>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Style w:val="43"/>
        <w:tblW w:w="961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1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11" w:type="dxa"/>
          </w:tcPr>
          <w:p>
            <w:pPr>
              <w:keepNext/>
              <w:keepLines/>
              <w:overflowPunct w:val="0"/>
              <w:autoSpaceDE w:val="0"/>
              <w:autoSpaceDN w:val="0"/>
              <w:adjustRightInd w:val="0"/>
              <w:spacing w:after="0" w:line="240" w:lineRule="auto"/>
              <w:jc w:val="left"/>
              <w:textAlignment w:val="baseline"/>
              <w:rPr>
                <w:rFonts w:ascii="Arial" w:hAnsi="Arial" w:eastAsia="MS Mincho"/>
                <w:b/>
                <w:bCs/>
                <w:i/>
                <w:iCs/>
                <w:sz w:val="18"/>
              </w:rPr>
            </w:pPr>
            <w:r>
              <w:rPr>
                <w:rFonts w:ascii="Arial" w:hAnsi="Arial" w:eastAsia="MS Mincho"/>
                <w:b/>
                <w:bCs/>
                <w:i/>
                <w:iCs/>
                <w:sz w:val="18"/>
              </w:rPr>
              <w:t>supportedBandwidthDL</w:t>
            </w:r>
          </w:p>
          <w:p>
            <w:pPr>
              <w:keepNext/>
              <w:keepLines/>
              <w:overflowPunct w:val="0"/>
              <w:autoSpaceDE w:val="0"/>
              <w:autoSpaceDN w:val="0"/>
              <w:adjustRightInd w:val="0"/>
              <w:spacing w:after="0" w:line="240" w:lineRule="auto"/>
              <w:jc w:val="left"/>
              <w:textAlignment w:val="baseline"/>
              <w:rPr>
                <w:rFonts w:ascii="Arial" w:hAnsi="Arial" w:eastAsia="MS Mincho"/>
                <w:sz w:val="18"/>
              </w:rPr>
            </w:pPr>
            <w:r>
              <w:rPr>
                <w:rFonts w:ascii="Arial" w:hAnsi="Arial" w:eastAsia="MS Mincho"/>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pPr>
              <w:keepNext/>
              <w:keepLines/>
              <w:overflowPunct w:val="0"/>
              <w:autoSpaceDE w:val="0"/>
              <w:autoSpaceDN w:val="0"/>
              <w:adjustRightInd w:val="0"/>
              <w:spacing w:after="0" w:line="240" w:lineRule="auto"/>
              <w:jc w:val="left"/>
              <w:textAlignment w:val="baseline"/>
              <w:rPr>
                <w:rFonts w:ascii="Arial" w:hAnsi="Arial" w:eastAsia="MS Mincho"/>
                <w:sz w:val="18"/>
              </w:rPr>
            </w:pPr>
            <w:r>
              <w:rPr>
                <w:rFonts w:ascii="Arial" w:hAnsi="Arial" w:eastAsia="MS Mincho"/>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keepNext/>
              <w:keepLines/>
              <w:overflowPunct w:val="0"/>
              <w:autoSpaceDE w:val="0"/>
              <w:autoSpaceDN w:val="0"/>
              <w:adjustRightInd w:val="0"/>
              <w:spacing w:after="0" w:line="240" w:lineRule="auto"/>
              <w:jc w:val="left"/>
              <w:textAlignment w:val="baseline"/>
              <w:rPr>
                <w:rFonts w:ascii="Arial" w:hAnsi="Arial" w:eastAsia="MS Mincho"/>
                <w:sz w:val="18"/>
              </w:rPr>
            </w:pPr>
          </w:p>
          <w:p>
            <w:pPr>
              <w:keepNext/>
              <w:keepLines/>
              <w:overflowPunct w:val="0"/>
              <w:autoSpaceDE w:val="0"/>
              <w:autoSpaceDN w:val="0"/>
              <w:adjustRightInd w:val="0"/>
              <w:spacing w:after="0" w:line="240" w:lineRule="auto"/>
              <w:ind w:left="851" w:hanging="851"/>
              <w:jc w:val="left"/>
              <w:textAlignment w:val="baseline"/>
              <w:rPr>
                <w:rFonts w:ascii="Arial" w:hAnsi="Arial" w:eastAsia="MS Mincho"/>
                <w:sz w:val="18"/>
              </w:rPr>
            </w:pPr>
            <w:r>
              <w:rPr>
                <w:rFonts w:ascii="Arial" w:hAnsi="Arial" w:eastAsia="MS Mincho"/>
                <w:sz w:val="18"/>
              </w:rPr>
              <w:t>NOTE:</w:t>
            </w:r>
            <w:r>
              <w:rPr>
                <w:rFonts w:ascii="Arial" w:hAnsi="Arial" w:eastAsia="MS Mincho"/>
                <w:sz w:val="18"/>
              </w:rPr>
              <w:tab/>
            </w:r>
            <w:r>
              <w:rPr>
                <w:rFonts w:ascii="Arial" w:hAnsi="Arial" w:eastAsia="MS Mincho"/>
                <w:sz w:val="18"/>
              </w:rPr>
              <w:t xml:space="preserve">To determine whether the UE supports a channel bandwidth of 90 MHz, the network may ignore this capability and validate instead the </w:t>
            </w:r>
            <w:r>
              <w:rPr>
                <w:rFonts w:ascii="Arial" w:hAnsi="Arial" w:eastAsia="MS Mincho"/>
                <w:i/>
                <w:iCs/>
                <w:sz w:val="18"/>
              </w:rPr>
              <w:t>channelBW-90mhz</w:t>
            </w:r>
            <w:r>
              <w:rPr>
                <w:rFonts w:ascii="Arial" w:hAnsi="Arial" w:eastAsia="MS Mincho"/>
                <w:sz w:val="18"/>
              </w:rPr>
              <w:t xml:space="preserve"> and the </w:t>
            </w:r>
            <w:r>
              <w:rPr>
                <w:rFonts w:ascii="Arial" w:hAnsi="Arial" w:eastAsia="MS Mincho"/>
                <w:i/>
                <w:iCs/>
                <w:sz w:val="18"/>
              </w:rPr>
              <w:t>supportedBandwidthCombinationSet</w:t>
            </w:r>
            <w:r>
              <w:rPr>
                <w:rFonts w:ascii="Arial" w:hAnsi="Arial" w:eastAsia="MS Mincho"/>
                <w:sz w:val="18"/>
              </w:rPr>
              <w:t xml:space="preserve">. For serving cell(s) with other channel bandwidths </w:t>
            </w:r>
            <w:r>
              <w:rPr>
                <w:rFonts w:ascii="Arial" w:hAnsi="Arial" w:eastAsia="MS Mincho"/>
                <w:sz w:val="18"/>
                <w:highlight w:val="yellow"/>
              </w:rPr>
              <w:t>the network validates</w:t>
            </w:r>
            <w:r>
              <w:rPr>
                <w:rFonts w:ascii="Arial" w:hAnsi="Arial" w:eastAsia="MS Mincho"/>
                <w:sz w:val="18"/>
              </w:rPr>
              <w:t xml:space="preserve"> the </w:t>
            </w:r>
            <w:r>
              <w:rPr>
                <w:rFonts w:ascii="Arial" w:hAnsi="Arial" w:eastAsia="MS Mincho"/>
                <w:i/>
                <w:iCs/>
                <w:sz w:val="18"/>
              </w:rPr>
              <w:t>channelBWs-DL</w:t>
            </w:r>
            <w:r>
              <w:rPr>
                <w:rFonts w:ascii="Arial" w:hAnsi="Arial" w:eastAsia="MS Mincho"/>
                <w:sz w:val="18"/>
              </w:rPr>
              <w:t xml:space="preserve">, </w:t>
            </w:r>
            <w:r>
              <w:rPr>
                <w:rFonts w:ascii="Arial" w:hAnsi="Arial" w:eastAsia="MS Mincho"/>
                <w:sz w:val="18"/>
                <w:highlight w:val="yellow"/>
              </w:rPr>
              <w:t xml:space="preserve">the </w:t>
            </w:r>
            <w:r>
              <w:rPr>
                <w:rFonts w:ascii="Arial" w:hAnsi="Arial" w:eastAsia="MS Mincho"/>
                <w:i/>
                <w:iCs/>
                <w:sz w:val="18"/>
                <w:highlight w:val="yellow"/>
              </w:rPr>
              <w:t>supportedBandwidthCombinationSet</w:t>
            </w:r>
            <w:r>
              <w:rPr>
                <w:rFonts w:ascii="Arial" w:hAnsi="Arial" w:eastAsia="MS Mincho"/>
                <w:sz w:val="18"/>
                <w:highlight w:val="yellow"/>
              </w:rPr>
              <w:t xml:space="preserve">, the </w:t>
            </w:r>
            <w:r>
              <w:rPr>
                <w:rFonts w:ascii="Arial" w:hAnsi="Arial" w:eastAsia="MS Mincho"/>
                <w:i/>
                <w:iCs/>
                <w:sz w:val="18"/>
                <w:highlight w:val="yellow"/>
              </w:rPr>
              <w:t>supportedBandwidthCombinationSetIntraENDC</w:t>
            </w:r>
            <w:r>
              <w:rPr>
                <w:rFonts w:ascii="Arial" w:hAnsi="Arial" w:eastAsia="MS Mincho"/>
                <w:sz w:val="18"/>
                <w:highlight w:val="yellow"/>
              </w:rPr>
              <w:t xml:space="preserve">, the </w:t>
            </w:r>
            <w:r>
              <w:rPr>
                <w:rFonts w:ascii="Arial" w:hAnsi="Arial" w:eastAsia="MS Mincho"/>
                <w:i/>
                <w:iCs/>
                <w:sz w:val="18"/>
                <w:highlight w:val="yellow"/>
              </w:rPr>
              <w:t>asymmetricBandwidthCombinationSet</w:t>
            </w:r>
            <w:r>
              <w:rPr>
                <w:rFonts w:ascii="Arial" w:hAnsi="Arial" w:eastAsia="MS Mincho"/>
                <w:sz w:val="18"/>
              </w:rPr>
              <w:t xml:space="preserve"> (for a band supporting asymmetric channel bandwidth as defined in clause 5.3.6 of TS 38.101-1 [2]) and </w:t>
            </w:r>
            <w:r>
              <w:rPr>
                <w:rFonts w:ascii="Arial" w:hAnsi="Arial" w:eastAsia="MS Mincho"/>
                <w:i/>
                <w:iCs/>
                <w:sz w:val="18"/>
              </w:rPr>
              <w:t>supportedBandwidthDL</w:t>
            </w:r>
            <w:r>
              <w:rPr>
                <w:rFonts w:ascii="Arial" w:hAnsi="Arial" w:eastAsia="MS Mincho"/>
                <w:sz w:val="18"/>
              </w:rPr>
              <w:t>.</w:t>
            </w:r>
          </w:p>
        </w:tc>
      </w:tr>
    </w:tbl>
    <w:p>
      <w:pPr>
        <w:spacing w:after="0"/>
        <w:rPr>
          <w:lang w:eastAsia="zh-CN"/>
        </w:rPr>
      </w:pPr>
    </w:p>
    <w:tbl>
      <w:tblPr>
        <w:tblStyle w:val="43"/>
        <w:tblW w:w="961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1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11" w:type="dxa"/>
          </w:tcPr>
          <w:p>
            <w:pPr>
              <w:keepNext/>
              <w:keepLines/>
              <w:overflowPunct w:val="0"/>
              <w:autoSpaceDE w:val="0"/>
              <w:autoSpaceDN w:val="0"/>
              <w:adjustRightInd w:val="0"/>
              <w:spacing w:after="0" w:line="240" w:lineRule="auto"/>
              <w:jc w:val="left"/>
              <w:textAlignment w:val="baseline"/>
              <w:rPr>
                <w:rFonts w:ascii="Arial" w:hAnsi="Arial" w:eastAsia="MS Mincho"/>
                <w:b/>
                <w:i/>
                <w:sz w:val="18"/>
              </w:rPr>
            </w:pPr>
            <w:r>
              <w:rPr>
                <w:rFonts w:ascii="Arial" w:hAnsi="Arial" w:eastAsia="MS Mincho"/>
                <w:b/>
                <w:i/>
                <w:sz w:val="18"/>
              </w:rPr>
              <w:t>channelBWs-DL</w:t>
            </w:r>
          </w:p>
          <w:p>
            <w:pPr>
              <w:keepNext/>
              <w:keepLines/>
              <w:overflowPunct w:val="0"/>
              <w:autoSpaceDE w:val="0"/>
              <w:autoSpaceDN w:val="0"/>
              <w:adjustRightInd w:val="0"/>
              <w:spacing w:after="0" w:line="240" w:lineRule="auto"/>
              <w:jc w:val="left"/>
              <w:textAlignment w:val="baseline"/>
              <w:rPr>
                <w:rFonts w:ascii="Arial" w:hAnsi="Arial" w:eastAsia="MS Mincho"/>
                <w:sz w:val="18"/>
              </w:rPr>
            </w:pPr>
            <w:r>
              <w:rPr>
                <w:rFonts w:ascii="Arial" w:hAnsi="Arial" w:eastAsia="MS Mincho"/>
                <w:sz w:val="18"/>
              </w:rPr>
              <w:t>Indicates for each subcarrier spacing the UE supported channel bandwidths.</w:t>
            </w:r>
            <w:r>
              <w:rPr>
                <w:rFonts w:ascii="Arial" w:hAnsi="Arial" w:eastAsia="MS Mincho"/>
                <w:sz w:val="18"/>
              </w:rPr>
              <w:br w:type="textWrapping"/>
            </w:r>
            <w:r>
              <w:rPr>
                <w:rFonts w:ascii="Arial" w:hAnsi="Arial" w:eastAsia="MS Mincho"/>
                <w:sz w:val="18"/>
              </w:rPr>
              <w:t xml:space="preserve">Absence of the </w:t>
            </w:r>
            <w:r>
              <w:rPr>
                <w:rFonts w:ascii="Arial" w:hAnsi="Arial" w:eastAsia="MS Mincho"/>
                <w:i/>
                <w:sz w:val="18"/>
              </w:rPr>
              <w:t>channelBWs-DL</w:t>
            </w:r>
            <w:r>
              <w:rPr>
                <w:rFonts w:ascii="Arial" w:hAnsi="Arial" w:eastAsia="MS Mincho"/>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hAnsi="Arial" w:eastAsia="MS Mincho" w:cs="Arial"/>
                <w:sz w:val="18"/>
                <w:szCs w:val="18"/>
              </w:rPr>
              <w:t>o determine whether the IAB-MT supports a channel bandwidth of 100 MHz, the network checks c</w:t>
            </w:r>
            <w:r>
              <w:rPr>
                <w:rFonts w:ascii="Arial" w:hAnsi="Arial" w:eastAsia="MS Mincho" w:cs="Arial"/>
                <w:i/>
                <w:iCs/>
                <w:sz w:val="18"/>
                <w:szCs w:val="18"/>
              </w:rPr>
              <w:t>hannelBW-DL-IAB-r16</w:t>
            </w:r>
            <w:r>
              <w:rPr>
                <w:rFonts w:ascii="Arial" w:hAnsi="Arial" w:eastAsia="MS Mincho" w:cs="Arial"/>
                <w:sz w:val="18"/>
                <w:szCs w:val="18"/>
              </w:rPr>
              <w:t>.</w:t>
            </w:r>
          </w:p>
          <w:p>
            <w:pPr>
              <w:keepNext/>
              <w:keepLines/>
              <w:overflowPunct w:val="0"/>
              <w:autoSpaceDE w:val="0"/>
              <w:autoSpaceDN w:val="0"/>
              <w:adjustRightInd w:val="0"/>
              <w:spacing w:after="0" w:line="240" w:lineRule="auto"/>
              <w:jc w:val="left"/>
              <w:textAlignment w:val="baseline"/>
              <w:rPr>
                <w:rFonts w:ascii="Arial" w:hAnsi="Arial" w:eastAsia="MS Mincho"/>
                <w:sz w:val="18"/>
              </w:rPr>
            </w:pPr>
            <w:r>
              <w:rPr>
                <w:rFonts w:ascii="Arial" w:hAnsi="Arial" w:eastAsia="MS Mincho"/>
                <w:sz w:val="18"/>
              </w:rPr>
              <w:t xml:space="preserve">For FR1, the bits in </w:t>
            </w:r>
            <w:r>
              <w:rPr>
                <w:rFonts w:ascii="Arial" w:hAnsi="Arial" w:eastAsia="MS Mincho"/>
                <w:i/>
                <w:iCs/>
                <w:sz w:val="18"/>
              </w:rPr>
              <w:t xml:space="preserve">channelBWs-DL </w:t>
            </w:r>
            <w:r>
              <w:rPr>
                <w:rFonts w:ascii="Arial" w:hAnsi="Arial" w:eastAsia="MS Mincho"/>
                <w:sz w:val="18"/>
              </w:rPr>
              <w:t xml:space="preserve">(without suffix) starting from the leading / leftmost bit indicate 5, 10, 15, 20, 25, 30, 40, 50, 60 and 80MHz. For FR2, the bits in </w:t>
            </w:r>
            <w:r>
              <w:rPr>
                <w:rFonts w:ascii="Arial" w:hAnsi="Arial" w:eastAsia="MS Mincho"/>
                <w:i/>
                <w:sz w:val="18"/>
              </w:rPr>
              <w:t xml:space="preserve">channelBWs-DL </w:t>
            </w:r>
            <w:r>
              <w:rPr>
                <w:rFonts w:ascii="Arial" w:hAnsi="Arial" w:eastAsia="MS Mincho"/>
                <w:sz w:val="18"/>
              </w:rPr>
              <w:t xml:space="preserve">(without suffix) starting from the leading / leftmost bit indicate 50, 100 and 200MHz. </w:t>
            </w:r>
            <w:r>
              <w:rPr>
                <w:rFonts w:ascii="Arial" w:hAnsi="Arial" w:eastAsia="MS Mincho" w:cs="Arial"/>
                <w:sz w:val="18"/>
                <w:szCs w:val="18"/>
              </w:rPr>
              <w:t>The third / rightmost bit (for 200MHz) shall be set to 1</w:t>
            </w:r>
            <w:r>
              <w:rPr>
                <w:rFonts w:ascii="Arial" w:hAnsi="Arial" w:eastAsia="MS Mincho"/>
                <w:sz w:val="18"/>
              </w:rPr>
              <w:t xml:space="preserve">. </w:t>
            </w:r>
            <w:r>
              <w:rPr>
                <w:rFonts w:ascii="Arial" w:hAnsi="Arial" w:eastAsia="MS Mincho" w:cs="Arial"/>
                <w:sz w:val="18"/>
                <w:szCs w:val="18"/>
              </w:rPr>
              <w:t xml:space="preserve">For IAB-MT the third / rightmost bit (for 200MHz) is ignored. To determine whether the IAB-MT supports a channel bandwidth of 200 MHz, the network checks </w:t>
            </w:r>
            <w:r>
              <w:rPr>
                <w:rFonts w:ascii="Arial" w:hAnsi="Arial" w:eastAsia="MS Mincho" w:cs="Arial"/>
                <w:i/>
                <w:iCs/>
                <w:sz w:val="18"/>
                <w:szCs w:val="18"/>
              </w:rPr>
              <w:t>channelBW-DL-IAB-r16</w:t>
            </w:r>
            <w:r>
              <w:rPr>
                <w:rFonts w:ascii="Arial" w:hAnsi="Arial" w:eastAsia="MS Mincho" w:cs="Arial"/>
                <w:sz w:val="18"/>
                <w:szCs w:val="18"/>
              </w:rPr>
              <w:t>.</w:t>
            </w:r>
          </w:p>
          <w:p>
            <w:pPr>
              <w:keepNext/>
              <w:keepLines/>
              <w:overflowPunct w:val="0"/>
              <w:autoSpaceDE w:val="0"/>
              <w:autoSpaceDN w:val="0"/>
              <w:adjustRightInd w:val="0"/>
              <w:spacing w:after="0" w:line="240" w:lineRule="auto"/>
              <w:jc w:val="left"/>
              <w:textAlignment w:val="baseline"/>
              <w:rPr>
                <w:rFonts w:ascii="Arial" w:hAnsi="Arial" w:eastAsia="MS Mincho"/>
                <w:sz w:val="18"/>
              </w:rPr>
            </w:pPr>
            <w:r>
              <w:rPr>
                <w:rFonts w:ascii="Arial" w:hAnsi="Arial" w:eastAsia="MS Mincho"/>
                <w:sz w:val="18"/>
              </w:rPr>
              <w:t xml:space="preserve">For FR1, the leading/leftmost bit in </w:t>
            </w:r>
            <w:r>
              <w:rPr>
                <w:rFonts w:ascii="Arial" w:hAnsi="Arial" w:eastAsia="MS Mincho"/>
                <w:i/>
                <w:sz w:val="18"/>
              </w:rPr>
              <w:t>channelBWs-DL-v1590</w:t>
            </w:r>
            <w:r>
              <w:rPr>
                <w:rFonts w:ascii="Arial" w:hAnsi="Arial" w:eastAsia="MS Mincho"/>
                <w:sz w:val="18"/>
              </w:rPr>
              <w:t xml:space="preserve"> indicates 70MHz, the second leftmost bit indicates 45MHz, the third leftmost bit indicates 35MHz and all the remaining bits in </w:t>
            </w:r>
            <w:r>
              <w:rPr>
                <w:rFonts w:ascii="Arial" w:hAnsi="Arial" w:eastAsia="MS Mincho"/>
                <w:i/>
                <w:sz w:val="18"/>
              </w:rPr>
              <w:t>channelBWs-DL-v1590</w:t>
            </w:r>
            <w:r>
              <w:rPr>
                <w:rFonts w:ascii="Arial" w:hAnsi="Arial" w:eastAsia="MS Mincho"/>
                <w:sz w:val="18"/>
              </w:rPr>
              <w:t xml:space="preserve"> shall be set to 0.</w:t>
            </w:r>
          </w:p>
          <w:p>
            <w:pPr>
              <w:keepNext/>
              <w:keepLines/>
              <w:overflowPunct w:val="0"/>
              <w:autoSpaceDE w:val="0"/>
              <w:autoSpaceDN w:val="0"/>
              <w:adjustRightInd w:val="0"/>
              <w:spacing w:after="0" w:line="240" w:lineRule="auto"/>
              <w:jc w:val="left"/>
              <w:textAlignment w:val="baseline"/>
              <w:rPr>
                <w:rFonts w:ascii="Arial" w:hAnsi="Arial" w:eastAsia="MS Mincho"/>
                <w:sz w:val="18"/>
              </w:rPr>
            </w:pPr>
          </w:p>
          <w:p>
            <w:pPr>
              <w:keepNext/>
              <w:keepLines/>
              <w:overflowPunct w:val="0"/>
              <w:autoSpaceDE w:val="0"/>
              <w:autoSpaceDN w:val="0"/>
              <w:adjustRightInd w:val="0"/>
              <w:spacing w:after="0" w:line="240" w:lineRule="auto"/>
              <w:ind w:left="851" w:hanging="851"/>
              <w:jc w:val="left"/>
              <w:textAlignment w:val="baseline"/>
              <w:rPr>
                <w:rFonts w:ascii="Arial" w:hAnsi="Arial" w:eastAsia="MS Mincho"/>
                <w:sz w:val="18"/>
              </w:rPr>
            </w:pPr>
            <w:r>
              <w:rPr>
                <w:rFonts w:ascii="Arial" w:hAnsi="Arial" w:eastAsia="MS Mincho"/>
                <w:sz w:val="18"/>
              </w:rPr>
              <w:t>NOTE:</w:t>
            </w:r>
            <w:r>
              <w:rPr>
                <w:rFonts w:ascii="Arial" w:hAnsi="Arial" w:eastAsia="MS Mincho"/>
                <w:sz w:val="18"/>
              </w:rPr>
              <w:tab/>
            </w:r>
            <w:r>
              <w:rPr>
                <w:rFonts w:ascii="Arial" w:hAnsi="Arial" w:eastAsia="MS Mincho"/>
                <w:sz w:val="18"/>
              </w:rPr>
              <w:t xml:space="preserve">To determine whether the UE supports a specific SCS for a given band, the network validates the </w:t>
            </w:r>
            <w:r>
              <w:rPr>
                <w:rFonts w:ascii="Arial" w:hAnsi="Arial" w:eastAsia="MS Mincho"/>
                <w:i/>
                <w:sz w:val="18"/>
              </w:rPr>
              <w:t>supportedSubCarrierSpacingDL</w:t>
            </w:r>
            <w:r>
              <w:rPr>
                <w:rFonts w:ascii="Arial" w:hAnsi="Arial" w:eastAsia="MS Mincho"/>
                <w:sz w:val="18"/>
              </w:rPr>
              <w:t xml:space="preserve"> and the </w:t>
            </w:r>
            <w:r>
              <w:rPr>
                <w:rFonts w:ascii="Arial" w:hAnsi="Arial" w:eastAsia="MS Mincho"/>
                <w:i/>
                <w:sz w:val="18"/>
              </w:rPr>
              <w:t>scs-60kHz</w:t>
            </w:r>
            <w:r>
              <w:rPr>
                <w:rFonts w:ascii="Arial" w:hAnsi="Arial" w:eastAsia="MS Mincho"/>
                <w:sz w:val="18"/>
              </w:rPr>
              <w:t>.</w:t>
            </w:r>
            <w:r>
              <w:rPr>
                <w:rFonts w:ascii="Arial" w:hAnsi="Arial" w:eastAsia="MS Mincho"/>
                <w:sz w:val="18"/>
              </w:rPr>
              <w:br w:type="textWrapping"/>
            </w:r>
            <w:r>
              <w:rPr>
                <w:rFonts w:ascii="Arial" w:hAnsi="Arial" w:eastAsia="MS Mincho"/>
                <w:sz w:val="18"/>
              </w:rPr>
              <w:t xml:space="preserve">To determine whether the UE supports a channel bandwidth of 90 MHz, the network may ignore this capability and validate instead the </w:t>
            </w:r>
            <w:r>
              <w:rPr>
                <w:rFonts w:ascii="Arial" w:hAnsi="Arial" w:eastAsia="MS Mincho"/>
                <w:i/>
                <w:sz w:val="18"/>
              </w:rPr>
              <w:t>channelBW-90mhz</w:t>
            </w:r>
            <w:r>
              <w:rPr>
                <w:rFonts w:ascii="Arial" w:hAnsi="Arial" w:eastAsia="MS Mincho"/>
                <w:sz w:val="18"/>
              </w:rPr>
              <w:t xml:space="preserve"> and the </w:t>
            </w:r>
            <w:r>
              <w:rPr>
                <w:rFonts w:ascii="Arial" w:hAnsi="Arial" w:eastAsia="MS Mincho"/>
                <w:i/>
                <w:sz w:val="18"/>
              </w:rPr>
              <w:t>supportedBandwidthCombinationSet</w:t>
            </w:r>
            <w:r>
              <w:rPr>
                <w:rFonts w:ascii="Arial" w:hAnsi="Arial" w:eastAsia="MS Mincho"/>
                <w:sz w:val="18"/>
              </w:rPr>
              <w:t xml:space="preserve">. For serving cell(s) with other channel bandwidths </w:t>
            </w:r>
            <w:r>
              <w:rPr>
                <w:rFonts w:ascii="Arial" w:hAnsi="Arial" w:eastAsia="MS Mincho"/>
                <w:sz w:val="18"/>
                <w:highlight w:val="yellow"/>
              </w:rPr>
              <w:t>the network validates</w:t>
            </w:r>
            <w:r>
              <w:rPr>
                <w:rFonts w:ascii="Arial" w:hAnsi="Arial" w:eastAsia="MS Mincho"/>
                <w:sz w:val="18"/>
              </w:rPr>
              <w:t xml:space="preserve"> the </w:t>
            </w:r>
            <w:r>
              <w:rPr>
                <w:rFonts w:ascii="Arial" w:hAnsi="Arial" w:eastAsia="MS Mincho"/>
                <w:i/>
                <w:sz w:val="18"/>
              </w:rPr>
              <w:t>channelBWs-DL</w:t>
            </w:r>
            <w:r>
              <w:rPr>
                <w:rFonts w:ascii="Arial" w:hAnsi="Arial" w:eastAsia="MS Mincho"/>
                <w:sz w:val="18"/>
              </w:rPr>
              <w:t xml:space="preserve">, </w:t>
            </w:r>
            <w:r>
              <w:rPr>
                <w:rFonts w:ascii="Arial" w:hAnsi="Arial" w:eastAsia="MS Mincho"/>
                <w:sz w:val="18"/>
                <w:highlight w:val="yellow"/>
              </w:rPr>
              <w:t xml:space="preserve">the </w:t>
            </w:r>
            <w:r>
              <w:rPr>
                <w:rFonts w:ascii="Arial" w:hAnsi="Arial" w:eastAsia="MS Mincho"/>
                <w:i/>
                <w:sz w:val="18"/>
                <w:highlight w:val="yellow"/>
              </w:rPr>
              <w:t>supportedBandwidthCombinationSet</w:t>
            </w:r>
            <w:r>
              <w:rPr>
                <w:rFonts w:ascii="Arial" w:hAnsi="Arial" w:eastAsia="MS Mincho"/>
                <w:sz w:val="18"/>
                <w:highlight w:val="yellow"/>
              </w:rPr>
              <w:t xml:space="preserve">, the </w:t>
            </w:r>
            <w:r>
              <w:rPr>
                <w:rFonts w:ascii="Arial" w:hAnsi="Arial" w:eastAsia="MS Mincho"/>
                <w:i/>
                <w:iCs/>
                <w:sz w:val="18"/>
                <w:highlight w:val="yellow"/>
              </w:rPr>
              <w:t>supportedBandwidthCombinationSetIntraENDC</w:t>
            </w:r>
            <w:r>
              <w:rPr>
                <w:rFonts w:ascii="Arial" w:hAnsi="Arial" w:eastAsia="MS Mincho"/>
                <w:sz w:val="18"/>
                <w:highlight w:val="yellow"/>
              </w:rPr>
              <w:t xml:space="preserve">, the </w:t>
            </w:r>
            <w:r>
              <w:rPr>
                <w:rFonts w:ascii="Arial" w:hAnsi="Arial" w:eastAsia="MS Mincho"/>
                <w:i/>
                <w:sz w:val="18"/>
                <w:highlight w:val="yellow"/>
              </w:rPr>
              <w:t>asymmetricBandwidthCombinationSet</w:t>
            </w:r>
            <w:r>
              <w:rPr>
                <w:rFonts w:ascii="Arial" w:hAnsi="Arial" w:eastAsia="MS Mincho"/>
                <w:i/>
                <w:sz w:val="18"/>
              </w:rPr>
              <w:t xml:space="preserve"> </w:t>
            </w:r>
            <w:r>
              <w:rPr>
                <w:rFonts w:ascii="Arial" w:hAnsi="Arial" w:eastAsia="MS Mincho"/>
                <w:sz w:val="18"/>
              </w:rPr>
              <w:t xml:space="preserve">(for a band supporting asymmetric channel bandwidth as defined in clause 5.3.6 of TS 38.101-1 [2]) and </w:t>
            </w:r>
            <w:r>
              <w:rPr>
                <w:rFonts w:ascii="Arial" w:hAnsi="Arial" w:eastAsia="MS Mincho"/>
                <w:i/>
                <w:sz w:val="18"/>
              </w:rPr>
              <w:t>supportedBandwidthDL</w:t>
            </w:r>
            <w:r>
              <w:rPr>
                <w:rFonts w:ascii="Arial" w:hAnsi="Arial" w:eastAsia="MS Mincho"/>
                <w:sz w:val="18"/>
              </w:rPr>
              <w:t>.</w:t>
            </w:r>
          </w:p>
        </w:tc>
      </w:tr>
    </w:tbl>
    <w:p>
      <w:pPr>
        <w:rPr>
          <w:lang w:eastAsia="zh-CN"/>
        </w:rPr>
      </w:pPr>
    </w:p>
    <w:p>
      <w:pPr>
        <w:rPr>
          <w:lang w:eastAsia="zh-CN"/>
        </w:rPr>
      </w:pPr>
      <w:r>
        <w:rPr>
          <w:lang w:eastAsia="zh-CN"/>
        </w:rPr>
        <w:t>The corrections are listed as below.</w:t>
      </w:r>
    </w:p>
    <w:tbl>
      <w:tblPr>
        <w:tblStyle w:val="4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6"/>
              <w:rPr>
                <w:b/>
                <w:bCs/>
                <w:i/>
                <w:iCs/>
              </w:rPr>
            </w:pPr>
            <w:r>
              <w:rPr>
                <w:b/>
                <w:bCs/>
                <w:i/>
                <w:iCs/>
              </w:rPr>
              <w:t>supportedBandwidthCombinationSet</w:t>
            </w:r>
          </w:p>
          <w:p>
            <w:pPr>
              <w:pStyle w:val="56"/>
              <w:rPr>
                <w:szCs w:val="22"/>
              </w:rPr>
            </w:pPr>
            <w:r>
              <w:rPr>
                <w:lang w:eastAsia="en-GB"/>
              </w:rPr>
              <w:t xml:space="preserve">Defines the supported bandwidth combination set for a band combination </w:t>
            </w:r>
            <w:ins w:id="0" w:author="Sha Tong" w:date="2021-05-06T11:19:00Z">
              <w:r>
                <w:rPr>
                  <w:lang w:eastAsia="en-GB"/>
                </w:rPr>
                <w:t xml:space="preserve">signalled </w:t>
              </w:r>
            </w:ins>
            <w:ins w:id="1" w:author="Sha Tong" w:date="2021-05-06T11:23:00Z">
              <w:r>
                <w:rPr>
                  <w:lang w:eastAsia="en-GB"/>
                </w:rPr>
                <w:t>by t</w:t>
              </w:r>
            </w:ins>
            <w:ins w:id="2"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pPr>
              <w:pStyle w:val="56"/>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pPr>
              <w:pStyle w:val="56"/>
              <w:jc w:val="center"/>
            </w:pPr>
            <w:r>
              <w:rPr>
                <w:bCs/>
                <w:iCs/>
              </w:rPr>
              <w:t>BC</w:t>
            </w:r>
          </w:p>
        </w:tc>
        <w:tc>
          <w:tcPr>
            <w:tcW w:w="567" w:type="dxa"/>
          </w:tcPr>
          <w:p>
            <w:pPr>
              <w:pStyle w:val="56"/>
              <w:jc w:val="center"/>
            </w:pPr>
            <w:r>
              <w:rPr>
                <w:bCs/>
                <w:iCs/>
              </w:rPr>
              <w:t>CY</w:t>
            </w:r>
          </w:p>
        </w:tc>
        <w:tc>
          <w:tcPr>
            <w:tcW w:w="709" w:type="dxa"/>
          </w:tcPr>
          <w:p>
            <w:pPr>
              <w:pStyle w:val="56"/>
              <w:jc w:val="center"/>
            </w:pPr>
            <w:r>
              <w:t>N/A</w:t>
            </w:r>
          </w:p>
        </w:tc>
        <w:tc>
          <w:tcPr>
            <w:tcW w:w="728" w:type="dxa"/>
          </w:tcPr>
          <w:p>
            <w:pPr>
              <w:pStyle w:val="56"/>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6"/>
              <w:rPr>
                <w:b/>
                <w:bCs/>
                <w:i/>
                <w:iCs/>
              </w:rPr>
            </w:pPr>
            <w:r>
              <w:rPr>
                <w:b/>
                <w:bCs/>
                <w:i/>
                <w:iCs/>
              </w:rPr>
              <w:t>supportedBandwidthCombinationSetIntraENDC</w:t>
            </w:r>
          </w:p>
          <w:p>
            <w:pPr>
              <w:pStyle w:val="56"/>
              <w:rPr>
                <w:lang w:eastAsia="en-GB"/>
              </w:rPr>
            </w:pPr>
            <w:r>
              <w:rPr>
                <w:lang w:eastAsia="en-GB"/>
              </w:rPr>
              <w:t>Defines the supported bandwidth combination set for a band combination</w:t>
            </w:r>
            <w:ins w:id="3"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pPr>
              <w:pStyle w:val="105"/>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(NG)EN-DC with additional inter-band CA component(s) of LTE and/or NR, the field defines the bandwidth combinations for the intra-band (NG)EN-DC component.</w:t>
            </w:r>
          </w:p>
          <w:p>
            <w:pPr>
              <w:pStyle w:val="105"/>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NE-DC with additional inter-band CA component(s) of LTE and/or NR, the field defines the bandwidth combinations for the intra-band NE-DC component.</w:t>
            </w:r>
          </w:p>
          <w:p>
            <w:pPr>
              <w:pStyle w:val="56"/>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pPr>
              <w:pStyle w:val="105"/>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pPr>
              <w:pStyle w:val="105"/>
              <w:spacing w:after="0"/>
              <w:rPr>
                <w:b/>
                <w:bCs/>
                <w:i/>
                <w:iCs/>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pPr>
              <w:pStyle w:val="56"/>
              <w:jc w:val="center"/>
              <w:rPr>
                <w:bCs/>
                <w:iCs/>
              </w:rPr>
            </w:pPr>
            <w:r>
              <w:rPr>
                <w:bCs/>
                <w:iCs/>
              </w:rPr>
              <w:t>BC</w:t>
            </w:r>
          </w:p>
        </w:tc>
        <w:tc>
          <w:tcPr>
            <w:tcW w:w="567" w:type="dxa"/>
          </w:tcPr>
          <w:p>
            <w:pPr>
              <w:pStyle w:val="56"/>
              <w:jc w:val="center"/>
              <w:rPr>
                <w:bCs/>
                <w:iCs/>
              </w:rPr>
            </w:pPr>
            <w:r>
              <w:rPr>
                <w:bCs/>
                <w:iCs/>
              </w:rPr>
              <w:t>CY</w:t>
            </w:r>
          </w:p>
        </w:tc>
        <w:tc>
          <w:tcPr>
            <w:tcW w:w="709" w:type="dxa"/>
          </w:tcPr>
          <w:p>
            <w:pPr>
              <w:pStyle w:val="56"/>
              <w:jc w:val="center"/>
              <w:rPr>
                <w:bCs/>
                <w:iCs/>
              </w:rPr>
            </w:pPr>
            <w:r>
              <w:t>N/A</w:t>
            </w:r>
          </w:p>
        </w:tc>
        <w:tc>
          <w:tcPr>
            <w:tcW w:w="728" w:type="dxa"/>
          </w:tcPr>
          <w:p>
            <w:pPr>
              <w:pStyle w:val="56"/>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6"/>
              <w:rPr>
                <w:b/>
                <w:i/>
              </w:rPr>
            </w:pPr>
            <w:r>
              <w:rPr>
                <w:b/>
                <w:i/>
              </w:rPr>
              <w:t>supportedBandwidthCombinationSetEUTRA</w:t>
            </w:r>
          </w:p>
          <w:p>
            <w:pPr>
              <w:pStyle w:val="56"/>
            </w:pPr>
            <w:r>
              <w:t xml:space="preserve">Indicates the set of supported bandwidth combinations </w:t>
            </w:r>
            <w:ins w:id="4" w:author="Sha Tong" w:date="2021-05-06T11:27:00Z">
              <w:r>
                <w:rP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pPr>
              <w:pStyle w:val="56"/>
              <w:jc w:val="center"/>
            </w:pPr>
            <w:r>
              <w:t>BC</w:t>
            </w:r>
          </w:p>
        </w:tc>
        <w:tc>
          <w:tcPr>
            <w:tcW w:w="567" w:type="dxa"/>
          </w:tcPr>
          <w:p>
            <w:pPr>
              <w:pStyle w:val="56"/>
              <w:jc w:val="center"/>
            </w:pPr>
            <w:r>
              <w:t>CY</w:t>
            </w:r>
          </w:p>
        </w:tc>
        <w:tc>
          <w:tcPr>
            <w:tcW w:w="709" w:type="dxa"/>
          </w:tcPr>
          <w:p>
            <w:pPr>
              <w:pStyle w:val="56"/>
              <w:jc w:val="center"/>
            </w:pPr>
            <w:r>
              <w:t>N/A</w:t>
            </w:r>
          </w:p>
        </w:tc>
        <w:tc>
          <w:tcPr>
            <w:tcW w:w="728" w:type="dxa"/>
          </w:tcPr>
          <w:p>
            <w:pPr>
              <w:pStyle w:val="56"/>
              <w:jc w:val="center"/>
            </w:pPr>
            <w:r>
              <w:t>N/A</w:t>
            </w:r>
          </w:p>
        </w:tc>
      </w:tr>
    </w:tbl>
    <w:p>
      <w:pPr>
        <w:rPr>
          <w:lang w:eastAsia="zh-CN"/>
        </w:rPr>
      </w:pPr>
    </w:p>
    <w:p>
      <w:pPr>
        <w:widowControl w:val="0"/>
        <w:spacing w:after="160"/>
        <w:rPr>
          <w:rFonts w:ascii="CG Times (WN)" w:hAnsi="CG Times (WN)" w:eastAsia="等线"/>
          <w:b/>
          <w:bCs/>
          <w:lang w:eastAsia="zh-CN"/>
        </w:rPr>
      </w:pPr>
      <w:r>
        <w:rPr>
          <w:rFonts w:ascii="CG Times (WN)" w:hAnsi="CG Times (WN)" w:eastAsia="等线"/>
          <w:b/>
          <w:bCs/>
          <w:lang w:eastAsia="zh-CN"/>
        </w:rPr>
        <w:t>Q1-1 Do companies think the CRs are necessary? If the answer is Yes (CRs are necessary), do companies agree the changes in the CRs or any comments for the contents of the CRs?</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MediaTek</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Maybe</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 xml:space="preserve">The current proposed CR does not really clearly reflect the agreement. We are not sure whether anything is needed. Perhaps we should have an informative NOTE saying that same BCS values does not apply to fallback BC. The network determines the channel BW of fallback based on the BCS table of parent BC (with one or more carrier removed).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eastAsia="zh-CN"/>
              </w:rPr>
            </w:pPr>
            <w:r>
              <w:rPr>
                <w:rFonts w:hint="eastAsia" w:ascii="CG Times (WN)" w:hAnsi="CG Times (WN)"/>
                <w:szCs w:val="22"/>
                <w:lang w:eastAsia="zh-CN"/>
              </w:rPr>
              <w:t>CATT</w:t>
            </w:r>
          </w:p>
        </w:tc>
        <w:tc>
          <w:tcPr>
            <w:tcW w:w="821" w:type="pct"/>
          </w:tcPr>
          <w:p>
            <w:pPr>
              <w:spacing w:after="0" w:line="276" w:lineRule="auto"/>
              <w:jc w:val="center"/>
              <w:rPr>
                <w:rFonts w:ascii="CG Times (WN)" w:hAnsi="CG Times (WN)"/>
                <w:szCs w:val="22"/>
                <w:lang w:eastAsia="zh-CN"/>
              </w:rPr>
            </w:pPr>
            <w:r>
              <w:rPr>
                <w:rFonts w:hint="eastAsia" w:ascii="CG Times (WN)" w:hAnsi="CG Times (WN)"/>
                <w:szCs w:val="22"/>
                <w:lang w:eastAsia="zh-CN"/>
              </w:rPr>
              <w:t>maybe yes</w:t>
            </w:r>
          </w:p>
        </w:tc>
        <w:tc>
          <w:tcPr>
            <w:tcW w:w="2987" w:type="pct"/>
          </w:tcPr>
          <w:p>
            <w:pPr>
              <w:spacing w:after="0" w:line="276" w:lineRule="auto"/>
              <w:rPr>
                <w:rFonts w:hint="eastAsia" w:ascii="CG Times (WN)" w:hAnsi="CG Times (WN)"/>
                <w:szCs w:val="21"/>
                <w:lang w:eastAsia="zh-CN"/>
              </w:rPr>
            </w:pPr>
            <w:r>
              <w:rPr>
                <w:rFonts w:hint="eastAsia" w:ascii="CG Times (WN)" w:hAnsi="CG Times (WN)"/>
                <w:szCs w:val="21"/>
                <w:lang w:eastAsia="zh-CN"/>
              </w:rPr>
              <w:t xml:space="preserve">If we have changes then it should better be </w:t>
            </w:r>
            <w:r>
              <w:rPr>
                <w:rFonts w:ascii="CG Times (WN)" w:hAnsi="CG Times (WN)"/>
                <w:szCs w:val="21"/>
                <w:lang w:eastAsia="zh-CN"/>
              </w:rPr>
              <w:t>crystal</w:t>
            </w:r>
            <w:r>
              <w:rPr>
                <w:rFonts w:hint="eastAsia" w:ascii="CG Times (WN)" w:hAnsi="CG Times (WN)"/>
                <w:szCs w:val="21"/>
                <w:lang w:eastAsia="zh-CN"/>
              </w:rPr>
              <w:t xml:space="preserve"> clear. Maybe we could add a note after each filed, for the sake of </w:t>
            </w:r>
            <w:r>
              <w:rPr>
                <w:rFonts w:ascii="CG Times (WN)" w:hAnsi="CG Times (WN)"/>
                <w:szCs w:val="21"/>
                <w:lang w:eastAsia="zh-CN"/>
              </w:rPr>
              <w:t>clarity</w:t>
            </w:r>
            <w:r>
              <w:rPr>
                <w:rFonts w:hint="eastAsia" w:ascii="CG Times (WN)" w:hAnsi="CG Times (WN)"/>
                <w:szCs w:val="21"/>
                <w:lang w:eastAsia="zh-CN"/>
              </w:rPr>
              <w:t xml:space="preserve">, i.e., </w:t>
            </w:r>
            <w:r>
              <w:rPr>
                <w:rFonts w:ascii="CG Times (WN)" w:hAnsi="CG Times (WN)"/>
                <w:szCs w:val="21"/>
                <w:lang w:eastAsia="zh-CN"/>
              </w:rPr>
              <w:t>something</w:t>
            </w:r>
            <w:r>
              <w:rPr>
                <w:rFonts w:hint="eastAsia" w:ascii="CG Times (WN)" w:hAnsi="CG Times (WN)"/>
                <w:szCs w:val="21"/>
                <w:lang w:eastAsia="zh-CN"/>
              </w:rPr>
              <w:t xml:space="preserve"> like </w:t>
            </w:r>
          </w:p>
          <w:p>
            <w:pPr>
              <w:spacing w:after="0" w:line="276" w:lineRule="auto"/>
              <w:rPr>
                <w:rFonts w:hint="eastAsia" w:ascii="CG Times (WN)" w:hAnsi="CG Times (WN)"/>
                <w:szCs w:val="21"/>
                <w:lang w:eastAsia="zh-CN"/>
              </w:rPr>
            </w:pPr>
          </w:p>
          <w:p>
            <w:pPr>
              <w:spacing w:after="0" w:line="276" w:lineRule="auto"/>
              <w:rPr>
                <w:rFonts w:hint="eastAsia" w:ascii="CG Times (WN)" w:hAnsi="CG Times (WN)"/>
                <w:color w:val="4472C4" w:themeColor="accent1"/>
                <w:szCs w:val="21"/>
                <w:lang w:eastAsia="zh-CN"/>
                <w14:textFill>
                  <w14:solidFill>
                    <w14:schemeClr w14:val="accent1"/>
                  </w14:solidFill>
                </w14:textFill>
              </w:rPr>
            </w:pPr>
            <w:r>
              <w:rPr>
                <w:rFonts w:hint="eastAsia" w:ascii="CG Times (WN)" w:hAnsi="CG Times (WN)"/>
                <w:color w:val="4472C4" w:themeColor="accent1"/>
                <w:szCs w:val="21"/>
                <w:lang w:eastAsia="zh-CN"/>
                <w14:textFill>
                  <w14:solidFill>
                    <w14:schemeClr w14:val="accent1"/>
                  </w14:solidFill>
                </w14:textFill>
              </w:rPr>
              <w:t>N</w:t>
            </w:r>
            <w:r>
              <w:rPr>
                <w:rFonts w:ascii="CG Times (WN)" w:hAnsi="CG Times (WN)"/>
                <w:color w:val="4472C4" w:themeColor="accent1"/>
                <w:szCs w:val="21"/>
                <w:lang w:eastAsia="zh-CN"/>
                <w14:textFill>
                  <w14:solidFill>
                    <w14:schemeClr w14:val="accent1"/>
                  </w14:solidFill>
                </w14:textFill>
              </w:rPr>
              <w:t xml:space="preserve">ote: </w:t>
            </w:r>
            <w:r>
              <w:rPr>
                <w:rFonts w:hint="eastAsia" w:ascii="CG Times (WN)" w:hAnsi="CG Times (WN)"/>
                <w:color w:val="4472C4" w:themeColor="accent1"/>
                <w:szCs w:val="21"/>
                <w:lang w:eastAsia="zh-CN"/>
                <w14:textFill>
                  <w14:solidFill>
                    <w14:schemeClr w14:val="accent1"/>
                  </w14:solidFill>
                </w14:textFill>
              </w:rPr>
              <w:t>T</w:t>
            </w:r>
            <w:r>
              <w:rPr>
                <w:rFonts w:ascii="CG Times (WN)" w:hAnsi="CG Times (WN)"/>
                <w:color w:val="4472C4" w:themeColor="accent1"/>
                <w:szCs w:val="21"/>
                <w:lang w:eastAsia="zh-CN"/>
                <w14:textFill>
                  <w14:solidFill>
                    <w14:schemeClr w14:val="accent1"/>
                  </w14:solidFill>
                </w14:textFill>
              </w:rPr>
              <w:t xml:space="preserve">he filed only applies for the </w:t>
            </w:r>
            <w:r>
              <w:rPr>
                <w:rFonts w:hint="eastAsia" w:ascii="CG Times (WN)" w:hAnsi="CG Times (WN)"/>
                <w:color w:val="4472C4" w:themeColor="accent1"/>
                <w:szCs w:val="21"/>
                <w:lang w:eastAsia="zh-CN"/>
                <w14:textFill>
                  <w14:solidFill>
                    <w14:schemeClr w14:val="accent1"/>
                  </w14:solidFill>
                </w14:textFill>
              </w:rPr>
              <w:t>band combination</w:t>
            </w:r>
            <w:r>
              <w:rPr>
                <w:rFonts w:ascii="CG Times (WN)" w:hAnsi="CG Times (WN)"/>
                <w:color w:val="4472C4" w:themeColor="accent1"/>
                <w:szCs w:val="21"/>
                <w:lang w:eastAsia="zh-CN"/>
                <w14:textFill>
                  <w14:solidFill>
                    <w14:schemeClr w14:val="accent1"/>
                  </w14:solidFill>
                </w14:textFill>
              </w:rPr>
              <w:t>, but it does not appl</w:t>
            </w:r>
            <w:r>
              <w:rPr>
                <w:rFonts w:hint="eastAsia" w:ascii="CG Times (WN)" w:hAnsi="CG Times (WN)"/>
                <w:color w:val="4472C4" w:themeColor="accent1"/>
                <w:szCs w:val="21"/>
                <w:lang w:eastAsia="zh-CN"/>
                <w14:textFill>
                  <w14:solidFill>
                    <w14:schemeClr w14:val="accent1"/>
                  </w14:solidFill>
                </w14:textFill>
              </w:rPr>
              <w:t>y</w:t>
            </w:r>
            <w:r>
              <w:rPr>
                <w:rFonts w:ascii="CG Times (WN)" w:hAnsi="CG Times (WN)"/>
                <w:color w:val="4472C4" w:themeColor="accent1"/>
                <w:szCs w:val="21"/>
                <w:lang w:eastAsia="zh-CN"/>
                <w14:textFill>
                  <w14:solidFill>
                    <w14:schemeClr w14:val="accent1"/>
                  </w14:solidFill>
                </w14:textFill>
              </w:rPr>
              <w:t xml:space="preserve"> for its fallback </w:t>
            </w:r>
            <w:r>
              <w:rPr>
                <w:rFonts w:hint="eastAsia" w:ascii="CG Times (WN)" w:hAnsi="CG Times (WN)"/>
                <w:color w:val="4472C4" w:themeColor="accent1"/>
                <w:szCs w:val="21"/>
                <w:lang w:eastAsia="zh-CN"/>
                <w14:textFill>
                  <w14:solidFill>
                    <w14:schemeClr w14:val="accent1"/>
                  </w14:solidFill>
                </w14:textFill>
              </w:rPr>
              <w:t>band combination</w:t>
            </w:r>
            <w:r>
              <w:rPr>
                <w:rFonts w:ascii="CG Times (WN)" w:hAnsi="CG Times (WN)"/>
                <w:color w:val="4472C4" w:themeColor="accent1"/>
                <w:szCs w:val="21"/>
                <w:lang w:eastAsia="zh-CN"/>
                <w14:textFill>
                  <w14:solidFill>
                    <w14:schemeClr w14:val="accent1"/>
                  </w14:solidFill>
                </w14:textFill>
              </w:rPr>
              <w:t>(s).</w:t>
            </w:r>
          </w:p>
          <w:p>
            <w:pPr>
              <w:spacing w:after="0" w:line="276" w:lineRule="auto"/>
              <w:rPr>
                <w:rFonts w:hint="eastAsia" w:ascii="CG Times (WN)" w:hAnsi="CG Times (WN)"/>
                <w:szCs w:val="21"/>
                <w:lang w:eastAsia="zh-CN"/>
              </w:rPr>
            </w:pPr>
          </w:p>
          <w:p>
            <w:pPr>
              <w:spacing w:after="0" w:line="276" w:lineRule="auto"/>
              <w:rPr>
                <w:rFonts w:ascii="CG Times (WN)" w:hAnsi="CG Times (W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vAlign w:val="top"/>
          </w:tcPr>
          <w:p>
            <w:pPr>
              <w:spacing w:after="0" w:line="276" w:lineRule="auto"/>
              <w:jc w:val="center"/>
              <w:rPr>
                <w:rFonts w:ascii="CG Times (WN)" w:hAnsi="CG Times (WN)" w:eastAsia="等线"/>
                <w:szCs w:val="22"/>
                <w:lang w:eastAsia="zh-CN"/>
              </w:rPr>
            </w:pPr>
            <w:r>
              <w:rPr>
                <w:rFonts w:hint="eastAsia" w:ascii="CG Times (WN)" w:hAnsi="CG Times (WN)"/>
                <w:szCs w:val="22"/>
                <w:lang w:val="en-US" w:eastAsia="zh-CN"/>
              </w:rPr>
              <w:t>ZTE</w:t>
            </w:r>
          </w:p>
        </w:tc>
        <w:tc>
          <w:tcPr>
            <w:tcW w:w="1595" w:type="dxa"/>
            <w:vAlign w:val="top"/>
          </w:tcPr>
          <w:p>
            <w:pPr>
              <w:spacing w:after="0" w:line="276" w:lineRule="auto"/>
              <w:jc w:val="both"/>
              <w:rPr>
                <w:rFonts w:ascii="CG Times (WN)" w:hAnsi="CG Times (WN)" w:eastAsia="等线"/>
                <w:szCs w:val="22"/>
                <w:lang w:eastAsia="zh-CN"/>
              </w:rPr>
            </w:pPr>
            <w:r>
              <w:rPr>
                <w:rFonts w:hint="eastAsia" w:ascii="CG Times (WN)" w:hAnsi="CG Times (WN)"/>
                <w:szCs w:val="22"/>
                <w:lang w:val="en-US" w:eastAsia="zh-CN"/>
              </w:rPr>
              <w:t>FFS</w:t>
            </w:r>
          </w:p>
        </w:tc>
        <w:tc>
          <w:tcPr>
            <w:tcW w:w="5803" w:type="dxa"/>
            <w:vAlign w:val="top"/>
          </w:tcPr>
          <w:p>
            <w:pPr>
              <w:spacing w:after="0" w:line="276" w:lineRule="auto"/>
              <w:rPr>
                <w:rFonts w:ascii="CG Times (WN)" w:hAnsi="CG Times (WN)"/>
                <w:szCs w:val="22"/>
                <w:lang w:val="en-US" w:eastAsia="zh-CN"/>
              </w:rPr>
            </w:pPr>
            <w:r>
              <w:rPr>
                <w:rFonts w:hint="eastAsia" w:ascii="CG Times (WN)" w:hAnsi="CG Times (WN)"/>
                <w:szCs w:val="21"/>
                <w:lang w:val="en-US" w:eastAsia="zh-CN"/>
              </w:rPr>
              <w:t>We share the same understanding with MTK and CATT, maybe some clarification is needed but not in the current CR</w:t>
            </w:r>
            <w:r>
              <w:rPr>
                <w:rFonts w:hint="default" w:ascii="CG Times (WN)" w:hAnsi="CG Times (WN)"/>
                <w:szCs w:val="21"/>
                <w:lang w:val="en-US" w:eastAsia="zh-CN"/>
              </w:rPr>
              <w:t>’</w:t>
            </w:r>
            <w:r>
              <w:rPr>
                <w:rFonts w:hint="eastAsia" w:ascii="CG Times (WN)" w:hAnsi="CG Times (WN)"/>
                <w:szCs w:val="21"/>
                <w:lang w:val="en-US" w:eastAsia="zh-CN"/>
              </w:rPr>
              <w:t>s way, maybe a note can be added to include the on-line agreement, we are also open for discussion on whether and how to add such kind of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lang w:eastAsia="zh-CN"/>
        </w:rPr>
      </w:pPr>
    </w:p>
    <w:p>
      <w:pPr>
        <w:pStyle w:val="3"/>
        <w:numPr>
          <w:ilvl w:val="1"/>
          <w:numId w:val="10"/>
        </w:numPr>
        <w:rPr>
          <w:lang w:eastAsia="zh-CN"/>
        </w:rPr>
      </w:pPr>
      <w:r>
        <w:t>CR on the fallback Band Combination Removing</w:t>
      </w:r>
    </w:p>
    <w:p>
      <w:pPr>
        <w:pStyle w:val="145"/>
      </w:pPr>
      <w:r>
        <w:fldChar w:fldCharType="begin"/>
      </w:r>
      <w:r>
        <w:instrText xml:space="preserve"> HYPERLINK "file:///D:\\Documents\\3GPP\\tsg_ran\\WG2\\TSGR2_114-e\\Docs\\R2-2106360.zip" \o "D:Documents3GPPtsg_ranWG2TSGR2_114-eDocsR2-2106360.zip" </w:instrText>
      </w:r>
      <w:r>
        <w:fldChar w:fldCharType="separate"/>
      </w:r>
      <w:r>
        <w:rPr>
          <w:rStyle w:val="48"/>
        </w:rPr>
        <w:t>R2-2106360</w:t>
      </w:r>
      <w:r>
        <w:rPr>
          <w:rStyle w:val="48"/>
        </w:rPr>
        <w:fldChar w:fldCharType="end"/>
      </w:r>
      <w:r>
        <w:tab/>
      </w:r>
      <w:r>
        <w:t>CR on the fallback Band Combination Removing-R15</w:t>
      </w:r>
      <w:r>
        <w:tab/>
      </w:r>
      <w:r>
        <w:t>ZTE Corporation, Sanechips</w:t>
      </w:r>
      <w:r>
        <w:tab/>
      </w:r>
      <w:r>
        <w:t>CR</w:t>
      </w:r>
      <w:r>
        <w:tab/>
      </w:r>
      <w:r>
        <w:t>Rel-15</w:t>
      </w:r>
      <w:r>
        <w:tab/>
      </w:r>
      <w:r>
        <w:t>38.306</w:t>
      </w:r>
      <w:r>
        <w:tab/>
      </w:r>
      <w:r>
        <w:t>15.13.0</w:t>
      </w:r>
      <w:r>
        <w:tab/>
      </w:r>
      <w:r>
        <w:t>0606</w:t>
      </w:r>
      <w:r>
        <w:tab/>
      </w:r>
      <w:r>
        <w:t>-</w:t>
      </w:r>
      <w:r>
        <w:tab/>
      </w:r>
      <w:r>
        <w:t>F</w:t>
      </w:r>
      <w:r>
        <w:tab/>
      </w:r>
      <w:r>
        <w:t>NR_newRAT-Core</w:t>
      </w:r>
    </w:p>
    <w:p>
      <w:pPr>
        <w:pStyle w:val="145"/>
      </w:pPr>
      <w:r>
        <w:fldChar w:fldCharType="begin"/>
      </w:r>
      <w:r>
        <w:instrText xml:space="preserve"> HYPERLINK "file:///D:\\Documents\\3GPP\\tsg_ran\\WG2\\TSGR2_114-e\\Docs\\R2-2105173.zip" \o "D:Documents3GPPtsg_ranWG2TSGR2_114-eDocsR2-2105173.zip" </w:instrText>
      </w:r>
      <w:r>
        <w:fldChar w:fldCharType="separate"/>
      </w:r>
      <w:r>
        <w:rPr>
          <w:rStyle w:val="48"/>
        </w:rPr>
        <w:t>R2-2105173</w:t>
      </w:r>
      <w:r>
        <w:rPr>
          <w:rStyle w:val="48"/>
        </w:rPr>
        <w:fldChar w:fldCharType="end"/>
      </w:r>
      <w:r>
        <w:tab/>
      </w:r>
      <w:r>
        <w:t>CR on the fallback Band Combination Removing-R16</w:t>
      </w:r>
      <w:r>
        <w:tab/>
      </w:r>
      <w:r>
        <w:t>ZTE Corporation, Sanechips</w:t>
      </w:r>
      <w:r>
        <w:tab/>
      </w:r>
      <w:r>
        <w:t>CR</w:t>
      </w:r>
      <w:r>
        <w:tab/>
      </w:r>
      <w:r>
        <w:t>Rel-16</w:t>
      </w:r>
      <w:r>
        <w:tab/>
      </w:r>
      <w:r>
        <w:t>38.306</w:t>
      </w:r>
      <w:r>
        <w:tab/>
      </w:r>
      <w:r>
        <w:t>16.4.0</w:t>
      </w:r>
      <w:r>
        <w:tab/>
      </w:r>
      <w:r>
        <w:t>0580</w:t>
      </w:r>
      <w:r>
        <w:tab/>
      </w:r>
      <w:r>
        <w:t>-</w:t>
      </w:r>
      <w:r>
        <w:tab/>
      </w:r>
      <w:r>
        <w:t>A</w:t>
      </w:r>
      <w:r>
        <w:tab/>
      </w:r>
      <w:r>
        <w:t>NR_newRAT-Core</w:t>
      </w:r>
    </w:p>
    <w:p>
      <w:pPr>
        <w:widowControl w:val="0"/>
        <w:spacing w:after="160"/>
        <w:rPr>
          <w:lang w:eastAsia="zh-CN"/>
        </w:rPr>
      </w:pPr>
    </w:p>
    <w:p>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pPr>
        <w:pStyle w:val="127"/>
        <w:rPr>
          <w:lang w:val="en-US"/>
        </w:rPr>
      </w:pPr>
      <w:r>
        <w:rPr>
          <w:lang w:val="en-US"/>
        </w:rPr>
        <w:t>2&gt;</w:t>
      </w:r>
      <w:r>
        <w:rPr>
          <w:lang w:val="en-US"/>
        </w:rPr>
        <w:tab/>
      </w:r>
      <w:r>
        <w:rPr>
          <w:lang w:val="en-US"/>
        </w:rPr>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pPr>
        <w:pStyle w:val="127"/>
        <w:rPr>
          <w:lang w:val="en-US"/>
        </w:rPr>
      </w:pPr>
      <w:r>
        <w:rPr>
          <w:lang w:val="en-US"/>
        </w:rPr>
        <w:t>2&gt;</w:t>
      </w:r>
      <w:r>
        <w:rPr>
          <w:lang w:val="en-US"/>
        </w:rPr>
        <w:tab/>
      </w:r>
      <w:r>
        <w:rPr>
          <w:lang w:val="en-US"/>
        </w:rPr>
        <w:t>if this fallback band combination is generated by releasing at least one SCell or uplink configuration of SCell according to TS 38.306 [26]:</w:t>
      </w:r>
    </w:p>
    <w:p>
      <w:pPr>
        <w:pStyle w:val="168"/>
      </w:pPr>
      <w:r>
        <w:t>3&gt;</w:t>
      </w:r>
      <w:r>
        <w:tab/>
      </w:r>
      <w:r>
        <w:t>remove the band combination from the list of "candidate band combinations";</w:t>
      </w:r>
    </w:p>
    <w:p>
      <w:pPr>
        <w:pStyle w:val="168"/>
        <w:ind w:left="0" w:firstLine="0"/>
        <w:rPr>
          <w:lang w:val="en-US" w:eastAsia="zh-CN"/>
        </w:rPr>
      </w:pPr>
      <w:bookmarkStart w:id="1"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pPr>
        <w:pStyle w:val="127"/>
        <w:rPr>
          <w:rFonts w:ascii="CG Times (WN)" w:hAnsi="CG Times (WN)" w:eastAsia="MS Mincho"/>
          <w:bCs/>
          <w:sz w:val="21"/>
          <w:szCs w:val="21"/>
          <w:lang w:val="en-US" w:eastAsia="zh-CN"/>
        </w:rPr>
      </w:pPr>
      <w:r>
        <w:rPr>
          <w:lang w:val="en-US"/>
        </w:rPr>
        <w:t>2&gt;</w:t>
      </w:r>
      <w:r>
        <w:rPr>
          <w:lang w:val="en-US"/>
        </w:rPr>
        <w:tab/>
      </w:r>
      <w:r>
        <w:rPr>
          <w:lang w:val="en-US"/>
        </w:rPr>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1"/>
    <w:p>
      <w:pPr>
        <w:rPr>
          <w:lang w:val="en-US" w:eastAsia="zh-CN"/>
        </w:rPr>
      </w:pPr>
    </w:p>
    <w:p>
      <w:pPr>
        <w:rPr>
          <w:lang w:eastAsia="zh-CN"/>
        </w:rPr>
      </w:pPr>
      <w:r>
        <w:rPr>
          <w:lang w:eastAsia="zh-CN"/>
        </w:rPr>
        <w:t>The corrections are listed as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line="240" w:lineRule="auto"/>
              <w:jc w:val="left"/>
              <w:rPr>
                <w:rFonts w:ascii="Times New Roman" w:hAnsi="Times New Roman"/>
              </w:rPr>
            </w:pPr>
            <w:r>
              <w:rPr>
                <w:rFonts w:ascii="Times New Roman" w:hAnsi="Times New Roman"/>
              </w:rPr>
              <w:t>The UE shall:</w:t>
            </w:r>
          </w:p>
          <w:p>
            <w:pPr>
              <w:spacing w:line="240" w:lineRule="auto"/>
              <w:ind w:left="568" w:hanging="284"/>
              <w:jc w:val="left"/>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 xml:space="preserve">compile a list of "candidate band combinations" according to the filter criteria in </w:t>
            </w:r>
            <w:r>
              <w:rPr>
                <w:rFonts w:ascii="Times New Roman" w:hAnsi="Times New Roman"/>
                <w:i/>
              </w:rPr>
              <w:t xml:space="preserve">capabilityRequestFilterCommon </w:t>
            </w:r>
            <w:r>
              <w:rPr>
                <w:rFonts w:ascii="Times New Roman" w:hAnsi="Times New Roman"/>
              </w:rPr>
              <w:t xml:space="preserve">(if included), only consisting of bands included in </w:t>
            </w:r>
            <w:r>
              <w:rPr>
                <w:rFonts w:ascii="Times New Roman" w:hAnsi="Times New Roman"/>
                <w:i/>
              </w:rPr>
              <w:t>frequencyBandListFilter</w:t>
            </w:r>
            <w:r>
              <w:rPr>
                <w:rFonts w:ascii="Times New Roman" w:hAnsi="Times New Roman"/>
              </w:rPr>
              <w:t xml:space="preserve">, and prioritized in the order of </w:t>
            </w:r>
            <w:r>
              <w:rPr>
                <w:rFonts w:ascii="Times New Roman" w:hAnsi="Times New Roman"/>
                <w:i/>
              </w:rPr>
              <w:t>frequencyBandListFilter</w:t>
            </w:r>
            <w:r>
              <w:rPr>
                <w:rFonts w:ascii="Times New Roman" w:hAnsi="Times New Roman"/>
              </w:rPr>
              <w:t xml:space="preserve"> (i.e. first include band combinations containing the first-listed band, then include remaining band combinations containing the second-listed band, and so on), where for each band in the band combination, the parameters of the band do not exceed </w:t>
            </w:r>
            <w:r>
              <w:rPr>
                <w:rFonts w:ascii="Times New Roman" w:hAnsi="Times New Roman"/>
                <w:i/>
              </w:rPr>
              <w:t>maxBandwidthRequestedDL</w:t>
            </w:r>
            <w:r>
              <w:rPr>
                <w:rFonts w:ascii="Times New Roman" w:hAnsi="Times New Roman"/>
              </w:rPr>
              <w:t xml:space="preserve">, </w:t>
            </w:r>
            <w:r>
              <w:rPr>
                <w:rFonts w:ascii="Times New Roman" w:hAnsi="Times New Roman"/>
                <w:i/>
              </w:rPr>
              <w:t>maxBandwidthRequestedUL</w:t>
            </w:r>
            <w:r>
              <w:rPr>
                <w:rFonts w:ascii="Times New Roman" w:hAnsi="Times New Roman"/>
              </w:rPr>
              <w:t xml:space="preserve">, </w:t>
            </w:r>
            <w:r>
              <w:rPr>
                <w:rFonts w:ascii="Times New Roman" w:hAnsi="Times New Roman"/>
                <w:i/>
              </w:rPr>
              <w:t>maxCarriersRequestedDL</w:t>
            </w:r>
            <w:r>
              <w:rPr>
                <w:rFonts w:ascii="Times New Roman" w:hAnsi="Times New Roman"/>
              </w:rPr>
              <w:t xml:space="preserve">, </w:t>
            </w:r>
            <w:r>
              <w:rPr>
                <w:rFonts w:ascii="Times New Roman" w:hAnsi="Times New Roman"/>
                <w:i/>
              </w:rPr>
              <w:t>maxCarriersRequestedUL</w:t>
            </w:r>
            <w:r>
              <w:rPr>
                <w:rFonts w:ascii="Times New Roman" w:hAnsi="Times New Roman"/>
              </w:rPr>
              <w:t xml:space="preserve">, </w:t>
            </w:r>
            <w:r>
              <w:rPr>
                <w:rFonts w:ascii="Times New Roman" w:hAnsi="Times New Roman"/>
                <w:i/>
              </w:rPr>
              <w:t>ca-BandwidthClassDL-EUTRA</w:t>
            </w:r>
            <w:r>
              <w:rPr>
                <w:rFonts w:ascii="Times New Roman" w:hAnsi="Times New Roman"/>
              </w:rPr>
              <w:t xml:space="preserve"> or </w:t>
            </w:r>
            <w:r>
              <w:rPr>
                <w:rFonts w:ascii="Times New Roman" w:hAnsi="Times New Roman"/>
                <w:i/>
              </w:rPr>
              <w:t>ca-BandwidthClassUL-EUTRA</w:t>
            </w:r>
            <w:r>
              <w:rPr>
                <w:rFonts w:ascii="Times New Roman" w:hAnsi="Times New Roman"/>
              </w:rPr>
              <w:t>, whichever are received;</w:t>
            </w:r>
          </w:p>
          <w:p>
            <w:pPr>
              <w:spacing w:line="240" w:lineRule="auto"/>
              <w:ind w:left="568" w:hanging="284"/>
              <w:jc w:val="left"/>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for each band combination included in the list of "candidate band combinations":</w:t>
            </w:r>
          </w:p>
          <w:p>
            <w:pPr>
              <w:spacing w:line="240" w:lineRule="auto"/>
              <w:ind w:left="851" w:hanging="284"/>
              <w:jc w:val="left"/>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 xml:space="preserve">if the network (E-UTRA) included the </w:t>
            </w:r>
            <w:r>
              <w:rPr>
                <w:rFonts w:ascii="Times New Roman" w:hAnsi="Times New Roman"/>
                <w:i/>
              </w:rPr>
              <w:t>eutra-nr-only</w:t>
            </w:r>
            <w:r>
              <w:rPr>
                <w:rFonts w:ascii="Times New Roman" w:hAnsi="Times New Roman"/>
              </w:rPr>
              <w:t xml:space="preserve"> field, or</w:t>
            </w:r>
          </w:p>
          <w:p>
            <w:pPr>
              <w:spacing w:line="240" w:lineRule="auto"/>
              <w:ind w:left="851" w:hanging="284"/>
              <w:jc w:val="left"/>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 xml:space="preserve">if the requested </w:t>
            </w:r>
            <w:r>
              <w:rPr>
                <w:rFonts w:ascii="Times New Roman" w:hAnsi="Times New Roman"/>
                <w:i/>
              </w:rPr>
              <w:t>rat-Type</w:t>
            </w:r>
            <w:r>
              <w:rPr>
                <w:rFonts w:ascii="Times New Roman" w:hAnsi="Times New Roman"/>
              </w:rPr>
              <w:t xml:space="preserve"> is </w:t>
            </w:r>
            <w:r>
              <w:rPr>
                <w:rFonts w:ascii="Times New Roman" w:hAnsi="Times New Roman"/>
                <w:i/>
              </w:rPr>
              <w:t>eutra</w:t>
            </w:r>
            <w:r>
              <w:rPr>
                <w:rFonts w:ascii="Times New Roman" w:hAnsi="Times New Roman"/>
              </w:rPr>
              <w:t>:</w:t>
            </w:r>
          </w:p>
          <w:p>
            <w:pPr>
              <w:spacing w:line="240" w:lineRule="auto"/>
              <w:ind w:left="1135" w:hanging="284"/>
              <w:jc w:val="left"/>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remove the NR-only band combination from the list of "candidate band combinations";</w:t>
            </w:r>
          </w:p>
          <w:p>
            <w:pPr>
              <w:keepLines/>
              <w:spacing w:line="240" w:lineRule="auto"/>
              <w:ind w:left="1135" w:hanging="851"/>
              <w:jc w:val="left"/>
              <w:rPr>
                <w:rFonts w:ascii="Times New Roman" w:hAnsi="Times New Roman"/>
              </w:rPr>
            </w:pPr>
            <w:r>
              <w:rPr>
                <w:rFonts w:ascii="Times New Roman" w:hAnsi="Times New Roman"/>
              </w:rPr>
              <w:t>NOTE 4:</w:t>
            </w:r>
            <w:r>
              <w:rPr>
                <w:rFonts w:ascii="Times New Roman" w:hAnsi="Times New Roman"/>
              </w:rPr>
              <w:tab/>
            </w:r>
            <w:r>
              <w:rPr>
                <w:rFonts w:ascii="Times New Roman" w:hAnsi="Times New Roman"/>
              </w:rPr>
              <w:t xml:space="preserve">The (E-UTRA) network may request capabilities for </w:t>
            </w:r>
            <w:r>
              <w:rPr>
                <w:rFonts w:ascii="Times New Roman" w:hAnsi="Times New Roman"/>
                <w:i/>
              </w:rPr>
              <w:t>nr</w:t>
            </w:r>
            <w:r>
              <w:rPr>
                <w:rFonts w:ascii="Times New Roman" w:hAnsi="Times New Roman"/>
              </w:rPr>
              <w:t xml:space="preserve"> but indicate with the </w:t>
            </w:r>
            <w:r>
              <w:rPr>
                <w:rFonts w:ascii="Times New Roman" w:hAnsi="Times New Roman"/>
                <w:i/>
              </w:rPr>
              <w:t>eutra-nr-only</w:t>
            </w:r>
            <w:r>
              <w:rPr>
                <w:rFonts w:ascii="Times New Roman" w:hAnsi="Times New Roman"/>
              </w:rPr>
              <w:t xml:space="preserve"> flag that the UE shall not include any NR band combinations in the </w:t>
            </w:r>
            <w:r>
              <w:rPr>
                <w:rFonts w:ascii="Times New Roman" w:hAnsi="Times New Roman"/>
                <w:i/>
              </w:rPr>
              <w:t>UE-NR-Capability</w:t>
            </w:r>
            <w:r>
              <w:rPr>
                <w:rFonts w:ascii="Times New Roman" w:hAnsi="Times New Roman"/>
              </w:rPr>
              <w:t>. In this case the procedural text above removes all NR-only band combinations from the candidate list and thereby also avoids inclusion of corresponding feature set combinations and feature sets below.</w:t>
            </w:r>
          </w:p>
          <w:p>
            <w:pPr>
              <w:spacing w:line="240" w:lineRule="auto"/>
              <w:ind w:left="851" w:hanging="284"/>
              <w:jc w:val="left"/>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 xml:space="preserve">if it is regarded as a fallback band combination with the same </w:t>
            </w:r>
            <w:ins w:id="5" w:author="ZTE(Wenting)" w:date="2021-05-09T10:53:00Z">
              <w:r>
                <w:rPr>
                  <w:rFonts w:ascii="Times New Roman" w:hAnsi="Times New Roman"/>
                  <w:lang w:val="en-US" w:eastAsia="zh-CN"/>
                </w:rPr>
                <w:t xml:space="preserve">or lower </w:t>
              </w:r>
            </w:ins>
            <w:r>
              <w:rPr>
                <w:rFonts w:ascii="Times New Roman" w:hAnsi="Times New Roman"/>
              </w:rPr>
              <w:t>capabilities of another band combination included in the list of "candidate band combinations", and</w:t>
            </w:r>
          </w:p>
          <w:p>
            <w:pPr>
              <w:spacing w:line="240" w:lineRule="auto"/>
              <w:ind w:left="851" w:hanging="284"/>
              <w:jc w:val="left"/>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if this fallback band combination is generated by releasing at least one SCell or uplink configuration of SCell according to TS 38.306 [26]:</w:t>
            </w:r>
          </w:p>
          <w:p>
            <w:pPr>
              <w:spacing w:line="240" w:lineRule="auto"/>
              <w:ind w:left="1135" w:hanging="284"/>
              <w:jc w:val="left"/>
              <w:rPr>
                <w:rFonts w:ascii="CG Times (WN)" w:hAnsi="CG Times (WN)"/>
              </w:rPr>
            </w:pPr>
            <w:r>
              <w:rPr>
                <w:rFonts w:ascii="Times New Roman" w:hAnsi="Times New Roman"/>
              </w:rPr>
              <w:t>3&gt;</w:t>
            </w:r>
            <w:r>
              <w:rPr>
                <w:rFonts w:ascii="Times New Roman" w:hAnsi="Times New Roman"/>
              </w:rPr>
              <w:tab/>
            </w:r>
            <w:r>
              <w:rPr>
                <w:rFonts w:ascii="Times New Roman" w:hAnsi="Times New Roman"/>
              </w:rPr>
              <w:t>remove the band combination from the list of "candidate band combinations";</w:t>
            </w:r>
          </w:p>
        </w:tc>
      </w:tr>
    </w:tbl>
    <w:p>
      <w:pPr>
        <w:rPr>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Q2-1 Do companies think the CRs are necessary? If the answer is Yes (CRs are necessary), do companies agree the changes in the CRs or any comments for the contents of the CRs?</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MediaTek</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bookmarkStart w:id="2" w:name="OLE_LINK1"/>
            <w:r>
              <w:rPr>
                <w:rFonts w:ascii="CG Times (WN)" w:hAnsi="CG Times (WN)" w:eastAsiaTheme="minorEastAsia"/>
                <w:szCs w:val="22"/>
                <w:lang w:eastAsia="ja-JP"/>
              </w:rPr>
              <w:t>UE should be allowed to indicate different capability for different BC</w:t>
            </w:r>
            <w:bookmarkEnd w:id="2"/>
            <w:r>
              <w:rPr>
                <w:rFonts w:ascii="CG Times (WN)" w:hAnsi="CG Times (WN)" w:eastAsiaTheme="minorEastAsia"/>
                <w:szCs w:val="22"/>
                <w:lang w:eastAsia="ja-JP"/>
              </w:rPr>
              <w:t>. Otherwise, NW might configure the resource exceed UE's capability. The change here is NBC for us and it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eastAsia="zh-CN"/>
              </w:rPr>
            </w:pPr>
            <w:r>
              <w:rPr>
                <w:rFonts w:hint="eastAsia" w:ascii="CG Times (WN)" w:hAnsi="CG Times (WN)"/>
                <w:szCs w:val="22"/>
                <w:lang w:eastAsia="zh-CN"/>
              </w:rPr>
              <w:t>CATT</w:t>
            </w:r>
          </w:p>
        </w:tc>
        <w:tc>
          <w:tcPr>
            <w:tcW w:w="821" w:type="pct"/>
          </w:tcPr>
          <w:p>
            <w:pPr>
              <w:spacing w:after="0" w:line="276" w:lineRule="auto"/>
              <w:jc w:val="center"/>
              <w:rPr>
                <w:rFonts w:ascii="CG Times (WN)" w:hAnsi="CG Times (WN)"/>
                <w:szCs w:val="22"/>
                <w:lang w:eastAsia="zh-CN"/>
              </w:rPr>
            </w:pPr>
            <w:r>
              <w:rPr>
                <w:rFonts w:hint="eastAsia" w:ascii="CG Times (WN)" w:hAnsi="CG Times (WN)"/>
                <w:szCs w:val="22"/>
                <w:lang w:eastAsia="zh-CN"/>
              </w:rPr>
              <w:t>maybe yes</w:t>
            </w:r>
          </w:p>
        </w:tc>
        <w:tc>
          <w:tcPr>
            <w:tcW w:w="2987" w:type="pct"/>
          </w:tcPr>
          <w:p>
            <w:pPr>
              <w:spacing w:after="0" w:line="276" w:lineRule="auto"/>
              <w:rPr>
                <w:rFonts w:ascii="CG Times (WN)" w:hAnsi="CG Times (WN)"/>
                <w:szCs w:val="21"/>
                <w:lang w:eastAsia="zh-CN"/>
              </w:rPr>
            </w:pPr>
            <w:r>
              <w:rPr>
                <w:rFonts w:hint="eastAsia" w:ascii="CG Times (WN)" w:hAnsi="CG Times (WN)"/>
                <w:szCs w:val="21"/>
                <w:lang w:eastAsia="zh-CN"/>
              </w:rPr>
              <w:t xml:space="preserve">The </w:t>
            </w:r>
            <w:r>
              <w:rPr>
                <w:rFonts w:ascii="CG Times (WN)" w:hAnsi="CG Times (WN)"/>
                <w:szCs w:val="21"/>
                <w:lang w:eastAsia="zh-CN"/>
              </w:rPr>
              <w:t>intention of these CRs seems</w:t>
            </w:r>
            <w:r>
              <w:rPr>
                <w:rFonts w:hint="eastAsia" w:ascii="CG Times (WN)" w:hAnsi="CG Times (WN)"/>
                <w:szCs w:val="21"/>
                <w:lang w:eastAsia="zh-CN"/>
              </w:rPr>
              <w:t xml:space="preserve"> correct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ind w:firstLine="800" w:firstLineChars="400"/>
              <w:jc w:val="both"/>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 (proponent)</w:t>
            </w:r>
          </w:p>
        </w:tc>
        <w:tc>
          <w:tcPr>
            <w:tcW w:w="2987" w:type="pct"/>
          </w:tcPr>
          <w:p>
            <w:pPr>
              <w:spacing w:after="0" w:line="276" w:lineRule="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To MTK, our understanding is that with this CR, the UE is still allowed to</w:t>
            </w:r>
            <w:r>
              <w:rPr>
                <w:rFonts w:hint="default" w:ascii="Times New Roman" w:hAnsi="Times New Roman" w:cs="Times New Roman" w:eastAsiaTheme="minorEastAsia"/>
                <w:szCs w:val="22"/>
                <w:lang w:eastAsia="ja-JP"/>
              </w:rPr>
              <w:t xml:space="preserve"> indicate different capability for different BC</w:t>
            </w:r>
            <w:r>
              <w:rPr>
                <w:rFonts w:hint="default" w:ascii="Times New Roman" w:hAnsi="Times New Roman" w:cs="Times New Roman"/>
                <w:szCs w:val="22"/>
                <w:lang w:val="en-US" w:eastAsia="zh-CN"/>
              </w:rPr>
              <w:t xml:space="preserve"> as specified in 38331</w:t>
            </w:r>
          </w:p>
          <w:p>
            <w:pPr>
              <w:pStyle w:val="59"/>
            </w:pPr>
            <w:r>
              <w:t>NOTE 1:</w:t>
            </w:r>
            <w:r>
              <w:tab/>
            </w:r>
            <w:r>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pPr>
              <w:spacing w:after="0" w:line="276" w:lineRule="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Here we add “or lower” just to keep it align with the other places. E.g.</w:t>
            </w:r>
          </w:p>
          <w:p>
            <w:pPr>
              <w:pStyle w:val="168"/>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pPr>
              <w:pStyle w:val="127"/>
              <w:rPr>
                <w:rFonts w:hint="default" w:ascii="CG Times (WN)" w:hAnsi="CG Times (WN)" w:eastAsiaTheme="minorEastAsia"/>
                <w:szCs w:val="22"/>
                <w:lang w:val="en-US" w:eastAsia="zh-CN"/>
              </w:rPr>
            </w:pPr>
            <w:r>
              <w:rPr>
                <w:lang w:val="en-US"/>
              </w:rPr>
              <w:t>2&gt;</w:t>
            </w:r>
            <w:r>
              <w:rPr>
                <w:lang w:val="en-US"/>
              </w:rPr>
              <w:tab/>
            </w:r>
            <w:r>
              <w:rPr>
                <w:lang w:val="en-US"/>
              </w:rPr>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rPr>
          <w:sz w:val="20"/>
        </w:rPr>
      </w:pPr>
      <w:r>
        <w:rPr>
          <w:sz w:val="20"/>
        </w:rPr>
        <w:t>R2-2105941</w:t>
      </w:r>
      <w:r>
        <w:rPr>
          <w:sz w:val="20"/>
        </w:rPr>
        <w:tab/>
      </w:r>
      <w:r>
        <w:rPr>
          <w:sz w:val="20"/>
        </w:rPr>
        <w:t>BCS fallback behaviour</w:t>
      </w:r>
      <w:r>
        <w:rPr>
          <w:sz w:val="20"/>
        </w:rPr>
        <w:tab/>
      </w:r>
      <w:r>
        <w:rPr>
          <w:sz w:val="20"/>
        </w:rPr>
        <w:t>Ericsson</w:t>
      </w:r>
      <w:r>
        <w:rPr>
          <w:sz w:val="20"/>
        </w:rPr>
        <w:tab/>
      </w:r>
      <w:r>
        <w:rPr>
          <w:sz w:val="20"/>
        </w:rPr>
        <w:t>discussion</w:t>
      </w:r>
      <w:r>
        <w:rPr>
          <w:sz w:val="20"/>
        </w:rPr>
        <w:tab/>
      </w:r>
      <w:r>
        <w:rPr>
          <w:sz w:val="20"/>
        </w:rPr>
        <w:t>Rel-15</w:t>
      </w:r>
      <w:r>
        <w:rPr>
          <w:sz w:val="20"/>
        </w:rPr>
        <w:tab/>
      </w:r>
      <w:r>
        <w:rPr>
          <w:sz w:val="20"/>
        </w:rPr>
        <w:t>NR_newRAT-Core</w:t>
      </w:r>
    </w:p>
    <w:p>
      <w:pPr>
        <w:pStyle w:val="67"/>
        <w:rPr>
          <w:sz w:val="20"/>
        </w:rPr>
      </w:pPr>
      <w:r>
        <w:rPr>
          <w:sz w:val="20"/>
        </w:rPr>
        <w:t>R2-2106119</w:t>
      </w:r>
      <w:r>
        <w:rPr>
          <w:sz w:val="20"/>
        </w:rPr>
        <w:tab/>
      </w:r>
      <w:r>
        <w:rPr>
          <w:sz w:val="20"/>
        </w:rPr>
        <w:t>Discussion on BCS of a fallback band combination</w:t>
      </w:r>
      <w:r>
        <w:rPr>
          <w:sz w:val="20"/>
        </w:rPr>
        <w:tab/>
      </w:r>
      <w:r>
        <w:rPr>
          <w:sz w:val="20"/>
        </w:rPr>
        <w:t>Huawei, HiSilicon</w:t>
      </w:r>
      <w:r>
        <w:rPr>
          <w:sz w:val="20"/>
        </w:rPr>
        <w:tab/>
      </w:r>
      <w:r>
        <w:rPr>
          <w:sz w:val="20"/>
        </w:rPr>
        <w:t>discussion</w:t>
      </w:r>
      <w:r>
        <w:rPr>
          <w:sz w:val="20"/>
        </w:rPr>
        <w:tab/>
      </w:r>
      <w:r>
        <w:rPr>
          <w:sz w:val="20"/>
        </w:rPr>
        <w:t>Rel-15</w:t>
      </w:r>
      <w:r>
        <w:rPr>
          <w:sz w:val="20"/>
        </w:rPr>
        <w:tab/>
      </w:r>
      <w:r>
        <w:rPr>
          <w:sz w:val="20"/>
        </w:rPr>
        <w:t>NR_newRAT-Core</w:t>
      </w:r>
    </w:p>
    <w:p>
      <w:pPr>
        <w:pStyle w:val="67"/>
        <w:rPr>
          <w:sz w:val="20"/>
        </w:rPr>
      </w:pPr>
      <w:r>
        <w:rPr>
          <w:sz w:val="20"/>
        </w:rPr>
        <w:t>R2-2105171</w:t>
      </w:r>
      <w:r>
        <w:rPr>
          <w:sz w:val="20"/>
        </w:rPr>
        <w:tab/>
      </w:r>
      <w:r>
        <w:rPr>
          <w:sz w:val="20"/>
        </w:rPr>
        <w:t>Further Discussion on the BCS with Different Supported Bandwidths</w:t>
      </w:r>
      <w:r>
        <w:rPr>
          <w:sz w:val="20"/>
        </w:rPr>
        <w:tab/>
      </w:r>
      <w:r>
        <w:rPr>
          <w:sz w:val="20"/>
        </w:rPr>
        <w:t>ZTE Corporation, Sanechips</w:t>
      </w:r>
      <w:r>
        <w:rPr>
          <w:sz w:val="20"/>
        </w:rPr>
        <w:tab/>
      </w:r>
      <w:r>
        <w:rPr>
          <w:sz w:val="20"/>
        </w:rPr>
        <w:t>discussion</w:t>
      </w:r>
      <w:r>
        <w:rPr>
          <w:sz w:val="20"/>
        </w:rPr>
        <w:tab/>
      </w:r>
      <w:r>
        <w:rPr>
          <w:sz w:val="20"/>
        </w:rPr>
        <w:t>Rel-15</w:t>
      </w:r>
    </w:p>
    <w:p>
      <w:pPr>
        <w:pStyle w:val="67"/>
        <w:rPr>
          <w:sz w:val="20"/>
        </w:rPr>
      </w:pPr>
      <w:r>
        <w:rPr>
          <w:sz w:val="20"/>
        </w:rPr>
        <w:t>R2-2105066</w:t>
      </w:r>
      <w:r>
        <w:rPr>
          <w:sz w:val="20"/>
        </w:rPr>
        <w:tab/>
      </w:r>
      <w:r>
        <w:rPr>
          <w:sz w:val="20"/>
        </w:rPr>
        <w:t>Left issue on fallback BC</w:t>
      </w:r>
      <w:r>
        <w:rPr>
          <w:sz w:val="20"/>
        </w:rPr>
        <w:tab/>
      </w:r>
      <w:r>
        <w:rPr>
          <w:sz w:val="20"/>
        </w:rPr>
        <w:t>OPPO</w:t>
      </w:r>
      <w:r>
        <w:rPr>
          <w:sz w:val="20"/>
        </w:rPr>
        <w:tab/>
      </w:r>
      <w:r>
        <w:rPr>
          <w:sz w:val="20"/>
        </w:rPr>
        <w:t>discussion</w:t>
      </w:r>
      <w:r>
        <w:rPr>
          <w:sz w:val="20"/>
        </w:rPr>
        <w:tab/>
      </w:r>
      <w:r>
        <w:rPr>
          <w:sz w:val="20"/>
        </w:rPr>
        <w:t>Rel-15</w:t>
      </w:r>
      <w:r>
        <w:rPr>
          <w:sz w:val="20"/>
        </w:rPr>
        <w:tab/>
      </w:r>
      <w:r>
        <w:rPr>
          <w:sz w:val="20"/>
        </w:rPr>
        <w:t>NR_newRAT-Core</w:t>
      </w:r>
    </w:p>
    <w:p>
      <w:pPr>
        <w:pStyle w:val="67"/>
        <w:rPr>
          <w:sz w:val="20"/>
        </w:rPr>
      </w:pPr>
      <w:r>
        <w:rPr>
          <w:sz w:val="20"/>
        </w:rPr>
        <w:t>R2-2106120</w:t>
      </w:r>
      <w:r>
        <w:rPr>
          <w:sz w:val="20"/>
        </w:rPr>
        <w:tab/>
      </w:r>
      <w:r>
        <w:rPr>
          <w:sz w:val="20"/>
        </w:rPr>
        <w:t>Clarification on BCS of a fallback band combination</w:t>
      </w:r>
      <w:r>
        <w:rPr>
          <w:sz w:val="20"/>
        </w:rPr>
        <w:tab/>
      </w:r>
      <w:r>
        <w:rPr>
          <w:sz w:val="20"/>
        </w:rPr>
        <w:t>Huawei, HiSilicon</w:t>
      </w:r>
      <w:r>
        <w:rPr>
          <w:sz w:val="20"/>
        </w:rPr>
        <w:tab/>
      </w:r>
      <w:r>
        <w:rPr>
          <w:sz w:val="20"/>
        </w:rPr>
        <w:t>CR</w:t>
      </w:r>
      <w:r>
        <w:rPr>
          <w:sz w:val="20"/>
        </w:rPr>
        <w:tab/>
      </w:r>
      <w:r>
        <w:rPr>
          <w:sz w:val="20"/>
        </w:rPr>
        <w:t>Rel-15</w:t>
      </w:r>
      <w:r>
        <w:rPr>
          <w:sz w:val="20"/>
        </w:rPr>
        <w:tab/>
      </w:r>
      <w:r>
        <w:rPr>
          <w:sz w:val="20"/>
        </w:rPr>
        <w:t>38.306</w:t>
      </w:r>
      <w:r>
        <w:rPr>
          <w:sz w:val="20"/>
        </w:rPr>
        <w:tab/>
      </w:r>
      <w:r>
        <w:rPr>
          <w:sz w:val="20"/>
        </w:rPr>
        <w:t>15.13.0</w:t>
      </w:r>
      <w:r>
        <w:rPr>
          <w:sz w:val="20"/>
        </w:rPr>
        <w:tab/>
      </w:r>
      <w:r>
        <w:rPr>
          <w:sz w:val="20"/>
        </w:rPr>
        <w:t>0595</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R2-2106121</w:t>
      </w:r>
      <w:r>
        <w:rPr>
          <w:sz w:val="20"/>
        </w:rPr>
        <w:tab/>
      </w:r>
      <w:r>
        <w:rPr>
          <w:sz w:val="20"/>
        </w:rPr>
        <w:t>Clarification on BCS of a fallback band combination</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16.4.0</w:t>
      </w:r>
      <w:r>
        <w:rPr>
          <w:sz w:val="20"/>
        </w:rPr>
        <w:tab/>
      </w:r>
      <w:r>
        <w:rPr>
          <w:sz w:val="20"/>
        </w:rPr>
        <w:t>0596</w:t>
      </w:r>
      <w:r>
        <w:rPr>
          <w:sz w:val="20"/>
        </w:rPr>
        <w:tab/>
      </w:r>
      <w:r>
        <w:rPr>
          <w:sz w:val="20"/>
        </w:rPr>
        <w:t>-</w:t>
      </w:r>
      <w:r>
        <w:rPr>
          <w:sz w:val="20"/>
        </w:rPr>
        <w:tab/>
      </w:r>
      <w:r>
        <w:rPr>
          <w:sz w:val="20"/>
        </w:rPr>
        <w:t>A</w:t>
      </w:r>
      <w:r>
        <w:rPr>
          <w:sz w:val="20"/>
        </w:rPr>
        <w:tab/>
      </w:r>
      <w:r>
        <w:rPr>
          <w:sz w:val="20"/>
        </w:rPr>
        <w:t>NR_newRAT-Core</w:t>
      </w:r>
    </w:p>
    <w:p>
      <w:pPr>
        <w:pStyle w:val="67"/>
        <w:rPr>
          <w:sz w:val="20"/>
        </w:rPr>
      </w:pPr>
      <w:r>
        <w:rPr>
          <w:sz w:val="20"/>
        </w:rPr>
        <w:t>R2-2106122</w:t>
      </w:r>
      <w:r>
        <w:rPr>
          <w:sz w:val="20"/>
        </w:rPr>
        <w:tab/>
      </w:r>
      <w:r>
        <w:rPr>
          <w:sz w:val="20"/>
        </w:rPr>
        <w:t>Introduction of indication for BCS of a fallback band combination</w:t>
      </w:r>
      <w:r>
        <w:rPr>
          <w:sz w:val="20"/>
        </w:rPr>
        <w:tab/>
      </w:r>
      <w:r>
        <w:rPr>
          <w:sz w:val="20"/>
        </w:rPr>
        <w:t>Huawei, HiSilicon</w:t>
      </w:r>
      <w:r>
        <w:rPr>
          <w:sz w:val="20"/>
        </w:rPr>
        <w:tab/>
      </w:r>
      <w:r>
        <w:rPr>
          <w:sz w:val="20"/>
        </w:rPr>
        <w:t>CR</w:t>
      </w:r>
      <w:r>
        <w:rPr>
          <w:sz w:val="20"/>
        </w:rPr>
        <w:tab/>
      </w:r>
      <w:r>
        <w:rPr>
          <w:sz w:val="20"/>
        </w:rPr>
        <w:t>Rel-15</w:t>
      </w:r>
      <w:r>
        <w:rPr>
          <w:sz w:val="20"/>
        </w:rPr>
        <w:tab/>
      </w:r>
      <w:r>
        <w:rPr>
          <w:sz w:val="20"/>
        </w:rPr>
        <w:t>38.306</w:t>
      </w:r>
      <w:r>
        <w:rPr>
          <w:sz w:val="20"/>
        </w:rPr>
        <w:tab/>
      </w:r>
      <w:r>
        <w:rPr>
          <w:sz w:val="20"/>
        </w:rPr>
        <w:t>15.13.0</w:t>
      </w:r>
      <w:r>
        <w:rPr>
          <w:sz w:val="20"/>
        </w:rPr>
        <w:tab/>
      </w:r>
      <w:r>
        <w:rPr>
          <w:sz w:val="20"/>
        </w:rPr>
        <w:t>0597</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R2-2106123</w:t>
      </w:r>
      <w:r>
        <w:rPr>
          <w:sz w:val="20"/>
        </w:rPr>
        <w:tab/>
      </w:r>
      <w:r>
        <w:rPr>
          <w:sz w:val="20"/>
        </w:rPr>
        <w:t>Introduction of indication for BCS of a fallback band combination</w:t>
      </w:r>
      <w:r>
        <w:rPr>
          <w:sz w:val="20"/>
        </w:rPr>
        <w:tab/>
      </w:r>
      <w:r>
        <w:rPr>
          <w:sz w:val="20"/>
        </w:rPr>
        <w:t>Huawei, HiSilicon</w:t>
      </w:r>
      <w:r>
        <w:rPr>
          <w:sz w:val="20"/>
        </w:rPr>
        <w:tab/>
      </w:r>
      <w:r>
        <w:rPr>
          <w:sz w:val="20"/>
        </w:rPr>
        <w:t>CR</w:t>
      </w:r>
      <w:r>
        <w:rPr>
          <w:sz w:val="20"/>
        </w:rPr>
        <w:tab/>
      </w:r>
      <w:r>
        <w:rPr>
          <w:sz w:val="20"/>
        </w:rPr>
        <w:t>Rel-15</w:t>
      </w:r>
      <w:r>
        <w:rPr>
          <w:sz w:val="20"/>
        </w:rPr>
        <w:tab/>
      </w:r>
      <w:r>
        <w:rPr>
          <w:sz w:val="20"/>
        </w:rPr>
        <w:t>38.331</w:t>
      </w:r>
      <w:r>
        <w:rPr>
          <w:sz w:val="20"/>
        </w:rPr>
        <w:tab/>
      </w:r>
      <w:r>
        <w:rPr>
          <w:sz w:val="20"/>
        </w:rPr>
        <w:t>15.13.0</w:t>
      </w:r>
      <w:r>
        <w:rPr>
          <w:sz w:val="20"/>
        </w:rPr>
        <w:tab/>
      </w:r>
      <w:r>
        <w:rPr>
          <w:sz w:val="20"/>
        </w:rPr>
        <w:t>2668</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R2-2106360</w:t>
      </w:r>
      <w:r>
        <w:rPr>
          <w:sz w:val="20"/>
        </w:rPr>
        <w:tab/>
      </w:r>
      <w:r>
        <w:rPr>
          <w:sz w:val="20"/>
        </w:rPr>
        <w:t>CR on the fallback Band Combination Removing-R15</w:t>
      </w:r>
      <w:r>
        <w:rPr>
          <w:sz w:val="20"/>
        </w:rPr>
        <w:tab/>
      </w:r>
      <w:r>
        <w:rPr>
          <w:sz w:val="20"/>
        </w:rPr>
        <w:t>ZTE Corporation, Sanechips</w:t>
      </w:r>
      <w:r>
        <w:rPr>
          <w:sz w:val="20"/>
        </w:rPr>
        <w:tab/>
      </w:r>
      <w:r>
        <w:rPr>
          <w:sz w:val="20"/>
        </w:rPr>
        <w:t>CR</w:t>
      </w:r>
      <w:r>
        <w:rPr>
          <w:sz w:val="20"/>
        </w:rPr>
        <w:tab/>
      </w:r>
      <w:r>
        <w:rPr>
          <w:sz w:val="20"/>
        </w:rPr>
        <w:t>Rel-15</w:t>
      </w:r>
      <w:r>
        <w:rPr>
          <w:sz w:val="20"/>
        </w:rPr>
        <w:tab/>
      </w:r>
      <w:r>
        <w:rPr>
          <w:sz w:val="20"/>
        </w:rPr>
        <w:t>38.306</w:t>
      </w:r>
      <w:r>
        <w:rPr>
          <w:sz w:val="20"/>
        </w:rPr>
        <w:tab/>
      </w:r>
      <w:r>
        <w:rPr>
          <w:sz w:val="20"/>
        </w:rPr>
        <w:t>15.13.0</w:t>
      </w:r>
      <w:r>
        <w:rPr>
          <w:sz w:val="20"/>
        </w:rPr>
        <w:tab/>
      </w:r>
      <w:r>
        <w:rPr>
          <w:sz w:val="20"/>
        </w:rPr>
        <w:t>0606</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R2-2105173</w:t>
      </w:r>
      <w:r>
        <w:rPr>
          <w:sz w:val="20"/>
        </w:rPr>
        <w:tab/>
      </w:r>
      <w:r>
        <w:rPr>
          <w:sz w:val="20"/>
        </w:rPr>
        <w:t>CR on the fallback Band Combination Removing-R16</w:t>
      </w:r>
      <w:r>
        <w:rPr>
          <w:sz w:val="20"/>
        </w:rPr>
        <w:tab/>
      </w:r>
      <w:r>
        <w:rPr>
          <w:sz w:val="20"/>
        </w:rPr>
        <w:t>ZTE Corporation, Sanechips</w:t>
      </w:r>
      <w:r>
        <w:rPr>
          <w:sz w:val="20"/>
        </w:rPr>
        <w:tab/>
      </w:r>
      <w:r>
        <w:rPr>
          <w:sz w:val="20"/>
        </w:rPr>
        <w:t>CR</w:t>
      </w:r>
      <w:r>
        <w:rPr>
          <w:sz w:val="20"/>
        </w:rPr>
        <w:tab/>
      </w:r>
      <w:r>
        <w:rPr>
          <w:sz w:val="20"/>
        </w:rPr>
        <w:t>Rel-16</w:t>
      </w:r>
      <w:r>
        <w:rPr>
          <w:sz w:val="20"/>
        </w:rPr>
        <w:tab/>
      </w:r>
      <w:r>
        <w:rPr>
          <w:sz w:val="20"/>
        </w:rPr>
        <w:t>38.306</w:t>
      </w:r>
      <w:r>
        <w:rPr>
          <w:sz w:val="20"/>
        </w:rPr>
        <w:tab/>
      </w:r>
      <w:r>
        <w:rPr>
          <w:sz w:val="20"/>
        </w:rPr>
        <w:t>16.4.0</w:t>
      </w:r>
      <w:r>
        <w:rPr>
          <w:sz w:val="20"/>
        </w:rPr>
        <w:tab/>
      </w:r>
      <w:r>
        <w:rPr>
          <w:sz w:val="20"/>
        </w:rPr>
        <w:t>0580</w:t>
      </w:r>
      <w:r>
        <w:rPr>
          <w:sz w:val="20"/>
        </w:rPr>
        <w:tab/>
      </w:r>
      <w:r>
        <w:rPr>
          <w:sz w:val="20"/>
        </w:rPr>
        <w:t>-</w:t>
      </w:r>
      <w:r>
        <w:rPr>
          <w:sz w:val="20"/>
        </w:rPr>
        <w:tab/>
      </w:r>
      <w:r>
        <w:rPr>
          <w:sz w:val="20"/>
        </w:rPr>
        <w:t>A</w:t>
      </w:r>
      <w:r>
        <w:rPr>
          <w:sz w:val="20"/>
        </w:rPr>
        <w:tab/>
      </w:r>
      <w:r>
        <w:rPr>
          <w:sz w:val="20"/>
        </w:rPr>
        <w:t>NR_newRAT-Core</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宋体"/>
    <w:panose1 w:val="00000000000000000000"/>
    <w:charset w:val="86"/>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游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8">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9">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3"/>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 Tong">
    <w15:presenceInfo w15:providerId="None" w15:userId="Sha Tong"/>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标题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uiPriority w:val="0"/>
  </w:style>
  <w:style w:type="character" w:customStyle="1" w:styleId="84">
    <w:name w:val="列表 Char"/>
    <w:link w:val="14"/>
    <w:uiPriority w:val="0"/>
    <w:rPr>
      <w:rFonts w:eastAsia="宋体"/>
      <w:lang w:val="en-GB" w:eastAsia="en-US" w:bidi="ar-SA"/>
    </w:rPr>
  </w:style>
  <w:style w:type="character" w:customStyle="1" w:styleId="85">
    <w:name w:val="样式 列表 + (西文) MS Mincho Char"/>
    <w:basedOn w:val="84"/>
    <w:link w:val="83"/>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标题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正文文本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纯文本 Char"/>
    <w:link w:val="29"/>
    <w:qFormat/>
    <w:uiPriority w:val="99"/>
    <w:rPr>
      <w:rFonts w:ascii="Calibri" w:hAnsi="Calibri" w:eastAsia="宋体"/>
      <w:sz w:val="22"/>
      <w:szCs w:val="21"/>
      <w:lang w:val="en-US" w:eastAsia="zh-CN" w:bidi="ar-SA"/>
    </w:rPr>
  </w:style>
  <w:style w:type="character" w:customStyle="1" w:styleId="138">
    <w:name w:val="页眉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列出段落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23FA6-B7C1-4780-9460-BB0F2E41B59F}">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1B188F01-69A5-48DC-935D-5191D4EC8CC0}">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6</Pages>
  <Words>2279</Words>
  <Characters>12991</Characters>
  <Lines>108</Lines>
  <Paragraphs>30</Paragraphs>
  <TotalTime>1</TotalTime>
  <ScaleCrop>false</ScaleCrop>
  <LinksUpToDate>false</LinksUpToDate>
  <CharactersWithSpaces>15240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2021-02-03T01:03:00Z</dcterms:created>
  <dc:creator>Huawei</dc:creator>
  <cp:lastModifiedBy>ZTE(Wenting)</cp:lastModifiedBy>
  <cp:lastPrinted>2009-04-22T00:01:00Z</cp:lastPrinted>
  <dcterms:modified xsi:type="dcterms:W3CDTF">2021-05-21T04:41:31Z</dcterms:modified>
  <dc:title>3GPP TSG-RAN WG3</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