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94E0" w14:textId="5A33CE12" w:rsidR="008327D8" w:rsidRDefault="003D0F93">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w:t>
      </w:r>
      <w:r w:rsidR="00CB7DDE">
        <w:rPr>
          <w:rFonts w:eastAsia="SimSun" w:cs="Arial"/>
          <w:b/>
          <w:kern w:val="0"/>
          <w:sz w:val="28"/>
          <w:szCs w:val="28"/>
          <w:lang w:val="en-US" w:eastAsia="en-US"/>
        </w:rPr>
        <w:t>2#114e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proofErr w:type="gramStart"/>
      <w:r w:rsidR="003662C2">
        <w:rPr>
          <w:rFonts w:eastAsia="SimSun" w:cs="Arial"/>
          <w:b/>
          <w:kern w:val="0"/>
          <w:sz w:val="28"/>
          <w:szCs w:val="28"/>
          <w:lang w:val="en-US" w:eastAsia="en-US"/>
        </w:rPr>
        <w:tab/>
        <w:t xml:space="preserve">  </w:t>
      </w:r>
      <w:r w:rsidR="00D06868">
        <w:rPr>
          <w:rFonts w:eastAsia="SimSun" w:cs="Arial"/>
          <w:b/>
          <w:kern w:val="0"/>
          <w:sz w:val="28"/>
          <w:szCs w:val="28"/>
          <w:lang w:val="en-US" w:eastAsia="en-US"/>
        </w:rPr>
        <w:tab/>
      </w:r>
      <w:proofErr w:type="gramEnd"/>
      <w:r w:rsidR="00D06868">
        <w:rPr>
          <w:rFonts w:eastAsia="SimSun" w:cs="Arial"/>
          <w:b/>
          <w:kern w:val="0"/>
          <w:sz w:val="28"/>
          <w:szCs w:val="28"/>
          <w:lang w:val="en-US" w:eastAsia="en-US"/>
        </w:rPr>
        <w:tab/>
      </w:r>
      <w:r w:rsidR="00D06868">
        <w:rPr>
          <w:rFonts w:eastAsia="SimSun" w:cs="Arial"/>
          <w:b/>
          <w:kern w:val="0"/>
          <w:sz w:val="28"/>
          <w:szCs w:val="28"/>
          <w:lang w:val="en-US" w:eastAsia="en-US"/>
        </w:rPr>
        <w:tab/>
      </w:r>
      <w:r w:rsidR="00D06868">
        <w:rPr>
          <w:rFonts w:eastAsia="SimSun" w:cs="Arial"/>
          <w:b/>
          <w:kern w:val="0"/>
          <w:sz w:val="28"/>
          <w:szCs w:val="28"/>
          <w:lang w:val="en-US" w:eastAsia="en-US"/>
        </w:rPr>
        <w:tab/>
      </w:r>
      <w:r w:rsidR="00D06868">
        <w:rPr>
          <w:rFonts w:eastAsia="SimSun" w:cs="Arial"/>
          <w:b/>
          <w:kern w:val="0"/>
          <w:sz w:val="28"/>
          <w:szCs w:val="28"/>
          <w:lang w:val="en-US" w:eastAsia="en-US"/>
        </w:rPr>
        <w:tab/>
      </w:r>
      <w:r w:rsidR="00D06868">
        <w:rPr>
          <w:rFonts w:eastAsia="SimSun" w:cs="Arial"/>
          <w:b/>
          <w:kern w:val="0"/>
          <w:sz w:val="28"/>
          <w:szCs w:val="28"/>
          <w:lang w:val="en-US" w:eastAsia="en-US"/>
        </w:rPr>
        <w:tab/>
      </w:r>
      <w:r w:rsidR="00D06868">
        <w:rPr>
          <w:rFonts w:eastAsia="SimSun" w:cs="Arial"/>
          <w:b/>
          <w:kern w:val="0"/>
          <w:sz w:val="28"/>
          <w:szCs w:val="28"/>
          <w:lang w:val="en-US" w:eastAsia="en-US"/>
        </w:rPr>
        <w:tab/>
      </w:r>
      <w:r w:rsidR="00D06868">
        <w:rPr>
          <w:rFonts w:eastAsia="SimSun" w:cs="Arial"/>
          <w:b/>
          <w:kern w:val="0"/>
          <w:sz w:val="28"/>
          <w:szCs w:val="28"/>
          <w:lang w:val="en-US" w:eastAsia="en-US"/>
        </w:rPr>
        <w:tab/>
      </w:r>
      <w:r w:rsidR="00D06868">
        <w:rPr>
          <w:rFonts w:eastAsia="SimSun" w:cs="Arial"/>
          <w:b/>
          <w:kern w:val="0"/>
          <w:sz w:val="28"/>
          <w:szCs w:val="28"/>
          <w:lang w:val="en-US" w:eastAsia="en-US"/>
        </w:rPr>
        <w:tab/>
      </w:r>
      <w:r w:rsidR="00CC7F10" w:rsidRPr="00CC7F10">
        <w:rPr>
          <w:rFonts w:eastAsia="SimSun" w:cs="Arial"/>
          <w:b/>
          <w:kern w:val="0"/>
          <w:sz w:val="28"/>
          <w:szCs w:val="28"/>
          <w:lang w:val="en-US" w:eastAsia="en-US"/>
        </w:rPr>
        <w:t>R2-2106452</w:t>
      </w:r>
    </w:p>
    <w:p w14:paraId="083A39EF" w14:textId="2729218C" w:rsidR="008327D8" w:rsidRDefault="003D0F93">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CB7DDE">
        <w:rPr>
          <w:rFonts w:eastAsia="SimSun" w:cs="Arial"/>
          <w:b/>
          <w:kern w:val="0"/>
          <w:sz w:val="28"/>
          <w:szCs w:val="28"/>
          <w:lang w:val="en-US" w:eastAsia="en-US"/>
        </w:rPr>
        <w:t xml:space="preserve">May 19 – 27 </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3CCD3029" w14:textId="40DBBDB3" w:rsidR="008327D8" w:rsidRDefault="003D0F93">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w:t>
      </w:r>
      <w:r w:rsidR="00BE44D8">
        <w:rPr>
          <w:rFonts w:cs="Arial"/>
          <w:b/>
          <w:bCs/>
          <w:snapToGrid w:val="0"/>
          <w:kern w:val="0"/>
          <w:sz w:val="28"/>
          <w:szCs w:val="28"/>
        </w:rPr>
        <w:t xml:space="preserve"> </w:t>
      </w:r>
    </w:p>
    <w:p w14:paraId="26BD606D" w14:textId="12818D1C" w:rsidR="008327D8" w:rsidRDefault="003D0F93">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BE44D8">
        <w:rPr>
          <w:rFonts w:cs="Arial"/>
          <w:b/>
          <w:bCs/>
          <w:snapToGrid w:val="0"/>
          <w:kern w:val="0"/>
          <w:sz w:val="28"/>
          <w:szCs w:val="28"/>
        </w:rPr>
        <w:t>SDT RACH resource configuration and coordination with other WIs</w:t>
      </w:r>
      <w:r w:rsidR="0077468E">
        <w:rPr>
          <w:rFonts w:cs="Arial"/>
          <w:b/>
          <w:bCs/>
          <w:snapToGrid w:val="0"/>
          <w:kern w:val="0"/>
          <w:sz w:val="28"/>
          <w:szCs w:val="28"/>
        </w:rPr>
        <w:t xml:space="preserve"> (REDCAP, Coverage-</w:t>
      </w:r>
      <w:proofErr w:type="spellStart"/>
      <w:r w:rsidR="0077468E">
        <w:rPr>
          <w:rFonts w:cs="Arial"/>
          <w:b/>
          <w:bCs/>
          <w:snapToGrid w:val="0"/>
          <w:kern w:val="0"/>
          <w:sz w:val="28"/>
          <w:szCs w:val="28"/>
        </w:rPr>
        <w:t>ext</w:t>
      </w:r>
      <w:proofErr w:type="spellEnd"/>
      <w:r w:rsidR="0077468E">
        <w:rPr>
          <w:rFonts w:cs="Arial"/>
          <w:b/>
          <w:bCs/>
          <w:snapToGrid w:val="0"/>
          <w:kern w:val="0"/>
          <w:sz w:val="28"/>
          <w:szCs w:val="28"/>
        </w:rPr>
        <w:t>, RAN-Slicing)</w:t>
      </w:r>
      <w:r>
        <w:rPr>
          <w:rFonts w:cs="Arial"/>
          <w:b/>
          <w:bCs/>
          <w:snapToGrid w:val="0"/>
          <w:kern w:val="0"/>
          <w:sz w:val="28"/>
          <w:szCs w:val="28"/>
        </w:rPr>
        <w:t xml:space="preserve"> </w:t>
      </w:r>
    </w:p>
    <w:p w14:paraId="4A28ECAB" w14:textId="329FF8EF"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CB7DDE">
        <w:rPr>
          <w:rFonts w:cs="Arial"/>
          <w:b/>
          <w:bCs/>
          <w:snapToGrid w:val="0"/>
          <w:kern w:val="0"/>
          <w:sz w:val="28"/>
          <w:szCs w:val="28"/>
        </w:rPr>
        <w:t>8.</w:t>
      </w:r>
      <w:r w:rsidR="0077468E">
        <w:rPr>
          <w:rFonts w:cs="Arial"/>
          <w:b/>
          <w:bCs/>
          <w:snapToGrid w:val="0"/>
          <w:kern w:val="0"/>
          <w:sz w:val="28"/>
          <w:szCs w:val="28"/>
        </w:rPr>
        <w:t>18</w:t>
      </w:r>
    </w:p>
    <w:p w14:paraId="1F0C495E" w14:textId="2AE36888"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676E8B"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r>
        <w:rPr>
          <w:rFonts w:cs="Arial"/>
          <w:b w:val="0"/>
          <w:bCs w:val="0"/>
          <w:kern w:val="0"/>
          <w:sz w:val="32"/>
          <w:szCs w:val="36"/>
        </w:rPr>
        <w:t>Introduction</w:t>
      </w:r>
      <w:bookmarkEnd w:id="2"/>
      <w:bookmarkEnd w:id="3"/>
      <w:bookmarkEnd w:id="4"/>
    </w:p>
    <w:p w14:paraId="63FDCD61" w14:textId="77777777" w:rsidR="003662C2" w:rsidRDefault="003662C2">
      <w:pPr>
        <w:pStyle w:val="NormalWeb"/>
        <w:spacing w:before="75" w:beforeAutospacing="0" w:after="75" w:afterAutospacing="0" w:line="315" w:lineRule="atLeast"/>
        <w:rPr>
          <w:rFonts w:cs="Arial"/>
          <w:color w:val="000000"/>
          <w:sz w:val="21"/>
        </w:rPr>
      </w:pPr>
      <w:r>
        <w:rPr>
          <w:rFonts w:cs="Arial"/>
          <w:color w:val="000000"/>
          <w:sz w:val="21"/>
        </w:rPr>
        <w:t>In Rel-17, a number of WIs will likely need RACH resource partitioning</w:t>
      </w:r>
      <w:r w:rsidR="003D0F93">
        <w:rPr>
          <w:rFonts w:cs="Arial"/>
          <w:color w:val="000000"/>
          <w:sz w:val="21"/>
        </w:rPr>
        <w:t>.</w:t>
      </w:r>
      <w:r>
        <w:rPr>
          <w:rFonts w:cs="Arial"/>
          <w:color w:val="000000"/>
          <w:sz w:val="21"/>
        </w:rPr>
        <w:t xml:space="preserve"> As of now, these WIs are: </w:t>
      </w:r>
    </w:p>
    <w:p w14:paraId="006382AD" w14:textId="77777777" w:rsidR="00891C82" w:rsidRPr="00891C82" w:rsidRDefault="00891C82" w:rsidP="00891C82">
      <w:pPr>
        <w:pStyle w:val="NormalWeb"/>
        <w:numPr>
          <w:ilvl w:val="0"/>
          <w:numId w:val="12"/>
        </w:numPr>
        <w:spacing w:before="75" w:beforeAutospacing="0" w:after="75" w:afterAutospacing="0" w:line="315" w:lineRule="atLeast"/>
      </w:pPr>
      <w:r>
        <w:rPr>
          <w:rFonts w:cs="Arial"/>
          <w:color w:val="000000"/>
          <w:sz w:val="21"/>
        </w:rPr>
        <w:t>SDT</w:t>
      </w:r>
    </w:p>
    <w:p w14:paraId="0498D60E" w14:textId="77777777" w:rsidR="00891C82" w:rsidRPr="00891C82" w:rsidRDefault="00891C82" w:rsidP="00891C82">
      <w:pPr>
        <w:pStyle w:val="NormalWeb"/>
        <w:numPr>
          <w:ilvl w:val="1"/>
          <w:numId w:val="12"/>
        </w:numPr>
        <w:spacing w:before="75" w:beforeAutospacing="0" w:after="75" w:afterAutospacing="0" w:line="315" w:lineRule="atLeast"/>
      </w:pPr>
      <w:r>
        <w:rPr>
          <w:rFonts w:cs="Arial"/>
          <w:color w:val="000000"/>
          <w:sz w:val="21"/>
        </w:rPr>
        <w:t>To identify SDT cause and provide larger MSG3/MSGA payload size</w:t>
      </w:r>
    </w:p>
    <w:p w14:paraId="33D81899" w14:textId="48FE64AF" w:rsidR="003662C2" w:rsidRPr="003662C2" w:rsidRDefault="003662C2" w:rsidP="003662C2">
      <w:pPr>
        <w:pStyle w:val="NormalWeb"/>
        <w:numPr>
          <w:ilvl w:val="0"/>
          <w:numId w:val="12"/>
        </w:numPr>
        <w:spacing w:before="75" w:beforeAutospacing="0" w:after="75" w:afterAutospacing="0" w:line="315" w:lineRule="atLeast"/>
      </w:pPr>
      <w:r>
        <w:rPr>
          <w:rFonts w:cs="Arial"/>
          <w:color w:val="000000"/>
          <w:sz w:val="21"/>
        </w:rPr>
        <w:t>RAN slicing</w:t>
      </w:r>
    </w:p>
    <w:p w14:paraId="61C20D72" w14:textId="77777777" w:rsidR="00891C82" w:rsidRDefault="000504E1" w:rsidP="00891C82">
      <w:pPr>
        <w:pStyle w:val="NormalWeb"/>
        <w:numPr>
          <w:ilvl w:val="1"/>
          <w:numId w:val="12"/>
        </w:numPr>
        <w:spacing w:before="75" w:beforeAutospacing="0" w:after="75" w:afterAutospacing="0" w:line="315" w:lineRule="atLeast"/>
      </w:pPr>
      <w:r>
        <w:rPr>
          <w:rFonts w:cs="Arial"/>
          <w:color w:val="000000"/>
          <w:sz w:val="21"/>
        </w:rPr>
        <w:t>For RA resource prioritisation and slice isolation</w:t>
      </w:r>
    </w:p>
    <w:p w14:paraId="6C8AAF85" w14:textId="28EE3F09" w:rsidR="00891C82" w:rsidRPr="003662C2" w:rsidRDefault="00891C82" w:rsidP="00891C82">
      <w:pPr>
        <w:pStyle w:val="NormalWeb"/>
        <w:numPr>
          <w:ilvl w:val="0"/>
          <w:numId w:val="12"/>
        </w:numPr>
        <w:spacing w:before="75" w:beforeAutospacing="0" w:after="75" w:afterAutospacing="0" w:line="315" w:lineRule="atLeast"/>
      </w:pPr>
      <w:r>
        <w:rPr>
          <w:rFonts w:cs="Arial"/>
          <w:color w:val="000000"/>
          <w:sz w:val="21"/>
        </w:rPr>
        <w:t>REDCAP</w:t>
      </w:r>
    </w:p>
    <w:p w14:paraId="6D106BC9" w14:textId="77777777" w:rsidR="00891C82" w:rsidRPr="00891C82" w:rsidRDefault="00891C82" w:rsidP="00CC2DD1">
      <w:pPr>
        <w:pStyle w:val="NormalWeb"/>
        <w:numPr>
          <w:ilvl w:val="1"/>
          <w:numId w:val="12"/>
        </w:numPr>
        <w:spacing w:before="75" w:beforeAutospacing="0" w:after="75" w:afterAutospacing="0" w:line="315" w:lineRule="atLeast"/>
      </w:pPr>
      <w:r w:rsidRPr="00891C82">
        <w:rPr>
          <w:rFonts w:cs="Arial"/>
          <w:color w:val="000000"/>
          <w:sz w:val="21"/>
        </w:rPr>
        <w:t>For network to know the REDCAP UE at MSG1 level</w:t>
      </w:r>
    </w:p>
    <w:p w14:paraId="466BF9EE" w14:textId="69A26A46" w:rsidR="00891C82" w:rsidRPr="003662C2" w:rsidRDefault="00891C82" w:rsidP="00891C82">
      <w:pPr>
        <w:pStyle w:val="NormalWeb"/>
        <w:numPr>
          <w:ilvl w:val="0"/>
          <w:numId w:val="12"/>
        </w:numPr>
        <w:spacing w:before="75" w:beforeAutospacing="0" w:after="75" w:afterAutospacing="0" w:line="315" w:lineRule="atLeast"/>
      </w:pPr>
      <w:r>
        <w:rPr>
          <w:rFonts w:cs="Arial"/>
          <w:color w:val="000000"/>
          <w:sz w:val="21"/>
        </w:rPr>
        <w:t>Coverage extension</w:t>
      </w:r>
    </w:p>
    <w:p w14:paraId="65D12ED8" w14:textId="77777777" w:rsidR="00891C82" w:rsidRPr="00891C82" w:rsidRDefault="00891C82" w:rsidP="004B432B">
      <w:pPr>
        <w:pStyle w:val="NormalWeb"/>
        <w:numPr>
          <w:ilvl w:val="1"/>
          <w:numId w:val="12"/>
        </w:numPr>
        <w:spacing w:before="75" w:beforeAutospacing="0" w:after="75" w:afterAutospacing="0" w:line="315" w:lineRule="atLeast"/>
      </w:pPr>
      <w:r w:rsidRPr="00891C82">
        <w:rPr>
          <w:rFonts w:cs="Arial"/>
          <w:color w:val="000000"/>
          <w:sz w:val="21"/>
        </w:rPr>
        <w:t>To identify the coverage extension UE at MSG1 level and to use coverage extension mechanisms from MSG3 onwards</w:t>
      </w:r>
    </w:p>
    <w:p w14:paraId="5C08AAB4" w14:textId="5BAEB639" w:rsidR="008327D8" w:rsidRDefault="00891C82" w:rsidP="00891C82">
      <w:pPr>
        <w:pStyle w:val="NormalWeb"/>
        <w:spacing w:before="75" w:beforeAutospacing="0" w:after="75" w:afterAutospacing="0" w:line="315" w:lineRule="atLeast"/>
      </w:pPr>
      <w:r>
        <w:rPr>
          <w:rFonts w:cs="Arial"/>
          <w:color w:val="000000"/>
          <w:sz w:val="21"/>
        </w:rPr>
        <w:t>In this contribution we discuss the cross WI and cross WG aspects of configuring separate RACH resources for the above use cases</w:t>
      </w:r>
    </w:p>
    <w:p w14:paraId="53899DEC" w14:textId="29A17DF8" w:rsidR="008327D8" w:rsidRDefault="00EC353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Feature combinations</w:t>
      </w:r>
    </w:p>
    <w:p w14:paraId="24D1B25E" w14:textId="4422C228" w:rsidR="00891C82" w:rsidRDefault="00891C82" w:rsidP="00891C82">
      <w:r>
        <w:t>Until Rel-16, MSG1</w:t>
      </w:r>
      <w:r w:rsidR="00CE4B13">
        <w:t>/MSGA preamble</w:t>
      </w:r>
      <w:r>
        <w:t xml:space="preserve"> indicates the following information: </w:t>
      </w:r>
    </w:p>
    <w:p w14:paraId="047F5A18" w14:textId="566EA491" w:rsidR="00141214" w:rsidRPr="00141214" w:rsidRDefault="00141214" w:rsidP="00891C82">
      <w:pPr>
        <w:rPr>
          <w:b/>
          <w:bCs/>
          <w:u w:val="single"/>
        </w:rPr>
      </w:pPr>
      <w:r w:rsidRPr="00141214">
        <w:rPr>
          <w:b/>
          <w:bCs/>
          <w:u w:val="single"/>
        </w:rPr>
        <w:t>Rel-16 Info</w:t>
      </w:r>
      <w:r>
        <w:rPr>
          <w:b/>
          <w:bCs/>
          <w:u w:val="single"/>
        </w:rPr>
        <w:t xml:space="preserve"> </w:t>
      </w:r>
      <w:r w:rsidRPr="00141214">
        <w:rPr>
          <w:b/>
          <w:bCs/>
          <w:u w:val="single"/>
        </w:rPr>
        <w:t>set</w:t>
      </w:r>
    </w:p>
    <w:p w14:paraId="6D7698CE" w14:textId="4D0CC4DD" w:rsidR="00891C82" w:rsidRDefault="00891C82" w:rsidP="00891C82">
      <w:pPr>
        <w:pStyle w:val="ListParagraph"/>
        <w:numPr>
          <w:ilvl w:val="0"/>
          <w:numId w:val="13"/>
        </w:numPr>
        <w:ind w:firstLineChars="0"/>
      </w:pPr>
      <w:r>
        <w:t xml:space="preserve">Selected SSB </w:t>
      </w:r>
    </w:p>
    <w:p w14:paraId="337C927E" w14:textId="47CCFCA5" w:rsidR="00891C82" w:rsidRDefault="00891C82" w:rsidP="00891C82">
      <w:pPr>
        <w:pStyle w:val="ListParagraph"/>
        <w:numPr>
          <w:ilvl w:val="0"/>
          <w:numId w:val="13"/>
        </w:numPr>
        <w:ind w:firstLineChars="0"/>
      </w:pPr>
      <w:r>
        <w:t>CFRA or CBRA cause</w:t>
      </w:r>
    </w:p>
    <w:p w14:paraId="1E0514FE" w14:textId="05124B36" w:rsidR="00891C82" w:rsidRDefault="00891C82" w:rsidP="00891C82">
      <w:pPr>
        <w:pStyle w:val="ListParagraph"/>
        <w:numPr>
          <w:ilvl w:val="0"/>
          <w:numId w:val="13"/>
        </w:numPr>
        <w:ind w:firstLineChars="0"/>
      </w:pPr>
      <w:r>
        <w:t>Payload size (preamble group B configured or not)</w:t>
      </w:r>
    </w:p>
    <w:p w14:paraId="29DBFDBB" w14:textId="1AABDCC7" w:rsidR="00891C82" w:rsidRDefault="00891C82" w:rsidP="00891C82">
      <w:pPr>
        <w:pStyle w:val="ListParagraph"/>
        <w:numPr>
          <w:ilvl w:val="0"/>
          <w:numId w:val="13"/>
        </w:numPr>
        <w:ind w:firstLineChars="0"/>
      </w:pPr>
      <w:r>
        <w:t>Random access type (2-step vs 4-step RA)</w:t>
      </w:r>
    </w:p>
    <w:p w14:paraId="0DCBC989" w14:textId="1DB80D9A" w:rsidR="00891C82" w:rsidRDefault="00891C82" w:rsidP="00891C82">
      <w:r>
        <w:t xml:space="preserve">The above indication can be conveyed by either the selected </w:t>
      </w:r>
      <w:proofErr w:type="gramStart"/>
      <w:r>
        <w:t>Random access</w:t>
      </w:r>
      <w:proofErr w:type="gramEnd"/>
      <w:r>
        <w:t xml:space="preserve"> Occasion (RO) or the selected preamble or a combination of the RO + preamble. </w:t>
      </w:r>
    </w:p>
    <w:p w14:paraId="38EE9B19" w14:textId="355FA482" w:rsidR="00891C82" w:rsidRDefault="00CE4B13" w:rsidP="00891C82">
      <w:r>
        <w:t>With Rel-17 the RO or Preamble or RO + Preamble combination will need to indicate the following in addition:</w:t>
      </w:r>
    </w:p>
    <w:p w14:paraId="04EAEFF8" w14:textId="18E7F727" w:rsidR="00141214" w:rsidRPr="00141214" w:rsidRDefault="00141214" w:rsidP="00141214">
      <w:pPr>
        <w:rPr>
          <w:b/>
          <w:bCs/>
          <w:u w:val="single"/>
        </w:rPr>
      </w:pPr>
      <w:r w:rsidRPr="00141214">
        <w:rPr>
          <w:b/>
          <w:bCs/>
          <w:u w:val="single"/>
        </w:rPr>
        <w:t>Rel-17 Info set</w:t>
      </w:r>
    </w:p>
    <w:p w14:paraId="532F9F6E" w14:textId="6DAC4549" w:rsidR="00CE4B13" w:rsidRDefault="00CE4B13" w:rsidP="00CE4B13">
      <w:pPr>
        <w:pStyle w:val="ListParagraph"/>
        <w:numPr>
          <w:ilvl w:val="0"/>
          <w:numId w:val="12"/>
        </w:numPr>
        <w:ind w:firstLineChars="0"/>
      </w:pPr>
      <w:r>
        <w:t>SDT cause</w:t>
      </w:r>
    </w:p>
    <w:p w14:paraId="6C0B1309" w14:textId="57AC1880" w:rsidR="00CE4B13" w:rsidRDefault="00CE4B13" w:rsidP="00CE4B13">
      <w:pPr>
        <w:pStyle w:val="ListParagraph"/>
        <w:numPr>
          <w:ilvl w:val="1"/>
          <w:numId w:val="12"/>
        </w:numPr>
        <w:ind w:firstLineChars="0"/>
      </w:pPr>
      <w:r>
        <w:t>This is a binary indication (</w:t>
      </w:r>
      <w:proofErr w:type="gramStart"/>
      <w:r>
        <w:t>i.e.</w:t>
      </w:r>
      <w:proofErr w:type="gramEnd"/>
      <w:r>
        <w:t xml:space="preserve"> the access is either for SDT or for non-SDT)</w:t>
      </w:r>
    </w:p>
    <w:p w14:paraId="0034CDD5" w14:textId="4C9A3C48" w:rsidR="00CE4B13" w:rsidRDefault="00CE4B13" w:rsidP="00CE4B13">
      <w:pPr>
        <w:pStyle w:val="ListParagraph"/>
        <w:numPr>
          <w:ilvl w:val="0"/>
          <w:numId w:val="12"/>
        </w:numPr>
        <w:ind w:firstLineChars="0"/>
      </w:pPr>
      <w:r>
        <w:t>RAN slicing</w:t>
      </w:r>
    </w:p>
    <w:p w14:paraId="299B0545" w14:textId="04C3B21A" w:rsidR="00CE4B13" w:rsidRDefault="00CE4B13" w:rsidP="00CE4B13">
      <w:pPr>
        <w:pStyle w:val="ListParagraph"/>
        <w:numPr>
          <w:ilvl w:val="1"/>
          <w:numId w:val="12"/>
        </w:numPr>
        <w:ind w:firstLineChars="0"/>
      </w:pPr>
      <w:r>
        <w:t xml:space="preserve">The selected RAN slice has </w:t>
      </w:r>
      <w:proofErr w:type="gramStart"/>
      <w:r>
        <w:t>be</w:t>
      </w:r>
      <w:proofErr w:type="gramEnd"/>
      <w:r>
        <w:t xml:space="preserve"> indicated </w:t>
      </w:r>
    </w:p>
    <w:p w14:paraId="62944AF0" w14:textId="7FC63108" w:rsidR="00CE4B13" w:rsidRDefault="00CE4B13" w:rsidP="00CE4B13">
      <w:pPr>
        <w:pStyle w:val="ListParagraph"/>
        <w:numPr>
          <w:ilvl w:val="1"/>
          <w:numId w:val="12"/>
        </w:numPr>
        <w:ind w:firstLineChars="0"/>
      </w:pPr>
      <w:r>
        <w:t>The number of RAN slices available may be configured</w:t>
      </w:r>
    </w:p>
    <w:p w14:paraId="7153FC36" w14:textId="65312958" w:rsidR="00CE4B13" w:rsidRDefault="00CE4B13" w:rsidP="00CE4B13">
      <w:pPr>
        <w:pStyle w:val="ListParagraph"/>
        <w:numPr>
          <w:ilvl w:val="1"/>
          <w:numId w:val="12"/>
        </w:numPr>
        <w:ind w:firstLineChars="0"/>
      </w:pPr>
      <w:r>
        <w:t>It is not yet clear whether there is a one-to-one mapping between the RAN slices and RACH resource partitioning or not (</w:t>
      </w:r>
      <w:proofErr w:type="gramStart"/>
      <w:r>
        <w:t>i.e.</w:t>
      </w:r>
      <w:proofErr w:type="gramEnd"/>
      <w:r>
        <w:t xml:space="preserve"> can more than one slice use the same RACH partition or does each slice need a different RACH partition)</w:t>
      </w:r>
    </w:p>
    <w:p w14:paraId="561997B1" w14:textId="49747FFC" w:rsidR="00CE4B13" w:rsidRDefault="00CE4B13" w:rsidP="00CE4B13">
      <w:pPr>
        <w:pStyle w:val="ListParagraph"/>
        <w:numPr>
          <w:ilvl w:val="1"/>
          <w:numId w:val="12"/>
        </w:numPr>
        <w:ind w:firstLineChars="0"/>
      </w:pPr>
      <w:r>
        <w:lastRenderedPageBreak/>
        <w:t xml:space="preserve">In the worst case, if there are N slices, we need N partitions </w:t>
      </w:r>
    </w:p>
    <w:p w14:paraId="155EB227" w14:textId="152ED62E" w:rsidR="00CE4B13" w:rsidRDefault="00CE4B13" w:rsidP="00CE4B13">
      <w:pPr>
        <w:pStyle w:val="ListParagraph"/>
        <w:numPr>
          <w:ilvl w:val="0"/>
          <w:numId w:val="12"/>
        </w:numPr>
        <w:ind w:firstLineChars="0"/>
      </w:pPr>
      <w:r>
        <w:t>REDCAP</w:t>
      </w:r>
    </w:p>
    <w:p w14:paraId="40DB5969" w14:textId="65D33CE2" w:rsidR="00CE4B13" w:rsidRDefault="00CE4B13" w:rsidP="00CE4B13">
      <w:pPr>
        <w:pStyle w:val="ListParagraph"/>
        <w:numPr>
          <w:ilvl w:val="1"/>
          <w:numId w:val="12"/>
        </w:numPr>
        <w:ind w:firstLineChars="0"/>
      </w:pPr>
      <w:r>
        <w:t>Assuming there are no sub-categories for the REDCAP UES, this is also likely to be a binary indication (i.e., the UE either is a REDCAP UE or not)</w:t>
      </w:r>
    </w:p>
    <w:p w14:paraId="73D3A668" w14:textId="21FC2E4E" w:rsidR="00CE4B13" w:rsidRDefault="00CE4B13" w:rsidP="00CE4B13">
      <w:pPr>
        <w:pStyle w:val="ListParagraph"/>
        <w:numPr>
          <w:ilvl w:val="0"/>
          <w:numId w:val="12"/>
        </w:numPr>
        <w:ind w:firstLineChars="0"/>
      </w:pPr>
      <w:r>
        <w:t>Coverage extension</w:t>
      </w:r>
    </w:p>
    <w:p w14:paraId="62892640" w14:textId="0FE9B882" w:rsidR="00CE4B13" w:rsidRDefault="00CE4B13" w:rsidP="00CE4B13">
      <w:pPr>
        <w:pStyle w:val="ListParagraph"/>
        <w:numPr>
          <w:ilvl w:val="1"/>
          <w:numId w:val="12"/>
        </w:numPr>
        <w:ind w:firstLineChars="0"/>
      </w:pPr>
      <w:r>
        <w:t>Depending on number of coverage extension levels to be indicated, this may be either a binary indication or an indication of more than two levels</w:t>
      </w:r>
    </w:p>
    <w:p w14:paraId="145812D8" w14:textId="44B6F20C" w:rsidR="00CE4B13" w:rsidRDefault="00CE4B13" w:rsidP="00CE4B13">
      <w:r>
        <w:t xml:space="preserve">Given the above situation, we need a holistic analysis of RACH resource configuration to accommodate all the above use cases. </w:t>
      </w:r>
    </w:p>
    <w:p w14:paraId="0C88DCB2" w14:textId="74D92FCC" w:rsidR="00CE4B13" w:rsidRDefault="00CE4B13" w:rsidP="00CE4B13">
      <w:r>
        <w:t>The first question is whether all the ROs should satisfy all the above use cases. The ROs provide random access resources (</w:t>
      </w:r>
      <w:proofErr w:type="gramStart"/>
      <w:r>
        <w:t>i.e.</w:t>
      </w:r>
      <w:proofErr w:type="gramEnd"/>
      <w:r>
        <w:t xml:space="preserve"> preambles) and are generally evenly spread in time/frequency domain to cater for a </w:t>
      </w:r>
      <w:r w:rsidR="00141214">
        <w:t xml:space="preserve">required random access latency. Some services may be time critical and may require a more frequent RO opportunity whilst the other services may be tolerant to a </w:t>
      </w:r>
      <w:r w:rsidR="00FF1096">
        <w:t>sparser</w:t>
      </w:r>
      <w:r w:rsidR="00141214">
        <w:t xml:space="preserve"> resource</w:t>
      </w:r>
      <w:r w:rsidR="00FF1096">
        <w:t xml:space="preserve"> configuration</w:t>
      </w:r>
      <w:r w:rsidR="00141214">
        <w:t xml:space="preserve"> as these are more delay tolerant. Ideally, if all ROs can accommodate all the above information, then there would be no issue, however, we should keep in mind that there is only a limited preamble space (64 preambles in general) and even in the simplistic example below, it is clear that not all ROs can accommodate all the use cases. </w:t>
      </w:r>
    </w:p>
    <w:p w14:paraId="2D6E5A2A" w14:textId="1062F57F" w:rsidR="00141214" w:rsidRPr="00141214" w:rsidRDefault="00141214" w:rsidP="00CE4B13">
      <w:pPr>
        <w:rPr>
          <w:i/>
          <w:iCs/>
        </w:rPr>
      </w:pPr>
      <w:proofErr w:type="spellStart"/>
      <w:r w:rsidRPr="00141214">
        <w:rPr>
          <w:i/>
          <w:iCs/>
        </w:rPr>
        <w:t>e.g</w:t>
      </w:r>
      <w:proofErr w:type="spellEnd"/>
      <w:r w:rsidRPr="00141214">
        <w:rPr>
          <w:i/>
          <w:iCs/>
        </w:rPr>
        <w:t xml:space="preserve">: Number of SSBs (2) x group B configured (2) x 2-step and 4-step RA (2) x SDT allowed (2) x #Slices (2) x REDCAP (2) x Coverage </w:t>
      </w:r>
      <w:proofErr w:type="spellStart"/>
      <w:r w:rsidRPr="00141214">
        <w:rPr>
          <w:i/>
          <w:iCs/>
        </w:rPr>
        <w:t>ext</w:t>
      </w:r>
      <w:proofErr w:type="spellEnd"/>
      <w:r w:rsidRPr="00141214">
        <w:rPr>
          <w:i/>
          <w:iCs/>
        </w:rPr>
        <w:t xml:space="preserve"> (2) = 128! </w:t>
      </w:r>
    </w:p>
    <w:p w14:paraId="3F70D231" w14:textId="380F5571" w:rsidR="00141214" w:rsidRPr="00141214" w:rsidRDefault="00141214" w:rsidP="00CE4B13">
      <w:pPr>
        <w:rPr>
          <w:b/>
          <w:bCs/>
        </w:rPr>
      </w:pPr>
      <w:r w:rsidRPr="00141214">
        <w:rPr>
          <w:b/>
          <w:bCs/>
        </w:rPr>
        <w:t>Observation 1: In order to cater for the RA resources, some services will not be available on some of the ROs</w:t>
      </w:r>
    </w:p>
    <w:p w14:paraId="193CAFB9" w14:textId="492E2642" w:rsidR="00141214" w:rsidRDefault="00141214" w:rsidP="00891C82">
      <w:r>
        <w:t xml:space="preserve">Then, we can look into detail on which combination of the services make sense from logical perspective. It can be assumed that the features until Rel-16 are the baseline and are likely needed to be supported possibly on all ROs (note this doesn’t necessarily mean that they will have to be configured on all ROs, but the signalling should support combination of them on all ROs). </w:t>
      </w:r>
      <w:r w:rsidR="004B5417">
        <w:t xml:space="preserve">With respect to Rel-17 features, this is not yet completely clear. The following table shows some possible considerations that need to be discussed: </w:t>
      </w:r>
    </w:p>
    <w:p w14:paraId="0A7E9F13" w14:textId="36A9615D" w:rsidR="00840E98" w:rsidRDefault="00840E98" w:rsidP="00891C82"/>
    <w:p w14:paraId="1B08EEE0" w14:textId="77777777" w:rsidR="00840E98" w:rsidRDefault="00840E98" w:rsidP="00891C82"/>
    <w:tbl>
      <w:tblPr>
        <w:tblW w:w="13887" w:type="dxa"/>
        <w:tblLook w:val="04A0" w:firstRow="1" w:lastRow="0" w:firstColumn="1" w:lastColumn="0" w:noHBand="0" w:noVBand="1"/>
      </w:tblPr>
      <w:tblGrid>
        <w:gridCol w:w="1103"/>
        <w:gridCol w:w="3003"/>
        <w:gridCol w:w="3119"/>
        <w:gridCol w:w="3260"/>
        <w:gridCol w:w="3402"/>
      </w:tblGrid>
      <w:tr w:rsidR="004B5417" w:rsidRPr="004B5417" w14:paraId="0EAF928F" w14:textId="77777777" w:rsidTr="00840E98">
        <w:trPr>
          <w:trHeight w:val="290"/>
        </w:trPr>
        <w:tc>
          <w:tcPr>
            <w:tcW w:w="1388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0E528471" w14:textId="01A65473" w:rsidR="004B5417" w:rsidRPr="004B5417" w:rsidRDefault="004B5417" w:rsidP="004B5417">
            <w:pPr>
              <w:widowControl/>
              <w:spacing w:after="0" w:line="240" w:lineRule="auto"/>
              <w:jc w:val="center"/>
              <w:rPr>
                <w:rFonts w:ascii="Calibri" w:eastAsia="Times New Roman" w:hAnsi="Calibri" w:cs="Calibri"/>
                <w:b/>
                <w:bCs/>
                <w:color w:val="000000"/>
                <w:kern w:val="0"/>
                <w:sz w:val="22"/>
                <w:szCs w:val="22"/>
                <w:u w:val="single"/>
              </w:rPr>
            </w:pPr>
            <w:r w:rsidRPr="004B5417">
              <w:rPr>
                <w:rFonts w:ascii="Calibri" w:eastAsia="Times New Roman" w:hAnsi="Calibri" w:cs="Calibri"/>
                <w:b/>
                <w:bCs/>
                <w:color w:val="000000"/>
                <w:kern w:val="0"/>
                <w:sz w:val="22"/>
                <w:szCs w:val="22"/>
                <w:u w:val="single"/>
              </w:rPr>
              <w:lastRenderedPageBreak/>
              <w:t>Analysis of feature combinations</w:t>
            </w:r>
            <w:r w:rsidR="00A26C12">
              <w:rPr>
                <w:rFonts w:ascii="Calibri" w:eastAsia="Times New Roman" w:hAnsi="Calibri" w:cs="Calibri"/>
                <w:b/>
                <w:bCs/>
                <w:color w:val="000000"/>
                <w:kern w:val="0"/>
                <w:sz w:val="22"/>
                <w:szCs w:val="22"/>
                <w:u w:val="single"/>
              </w:rPr>
              <w:t xml:space="preserve"> for Rel-17</w:t>
            </w:r>
          </w:p>
        </w:tc>
      </w:tr>
      <w:tr w:rsidR="00A26C12" w:rsidRPr="004B5417" w14:paraId="2296EF13" w14:textId="77777777" w:rsidTr="001D3292">
        <w:trPr>
          <w:trHeight w:val="290"/>
        </w:trPr>
        <w:tc>
          <w:tcPr>
            <w:tcW w:w="11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430FCDCF" w14:textId="77777777" w:rsidR="004B5417" w:rsidRPr="004B5417" w:rsidRDefault="004B5417" w:rsidP="004B5417">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000000"/>
                <w:kern w:val="0"/>
                <w:sz w:val="22"/>
                <w:szCs w:val="22"/>
              </w:rPr>
              <w:t> </w:t>
            </w:r>
          </w:p>
        </w:tc>
        <w:tc>
          <w:tcPr>
            <w:tcW w:w="3003"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0574A7A" w14:textId="77777777" w:rsidR="004B5417" w:rsidRPr="004B5417" w:rsidRDefault="004B5417" w:rsidP="004B5417">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000000"/>
                <w:kern w:val="0"/>
                <w:sz w:val="22"/>
                <w:szCs w:val="22"/>
              </w:rPr>
              <w:t>SDT</w:t>
            </w:r>
          </w:p>
        </w:tc>
        <w:tc>
          <w:tcPr>
            <w:tcW w:w="3119"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3FD100B7" w14:textId="77777777" w:rsidR="004B5417" w:rsidRPr="004B5417" w:rsidRDefault="004B5417" w:rsidP="004B5417">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000000"/>
                <w:kern w:val="0"/>
                <w:sz w:val="22"/>
                <w:szCs w:val="22"/>
              </w:rPr>
              <w:t>Redcap</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0153084" w14:textId="77777777" w:rsidR="004B5417" w:rsidRPr="004B5417" w:rsidRDefault="004B5417" w:rsidP="004B5417">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000000"/>
                <w:kern w:val="0"/>
                <w:sz w:val="22"/>
                <w:szCs w:val="22"/>
              </w:rPr>
              <w:t xml:space="preserve">coverage </w:t>
            </w:r>
            <w:proofErr w:type="spellStart"/>
            <w:r w:rsidRPr="004B5417">
              <w:rPr>
                <w:rFonts w:ascii="Calibri" w:eastAsia="Times New Roman" w:hAnsi="Calibri" w:cs="Calibri"/>
                <w:color w:val="000000"/>
                <w:kern w:val="0"/>
                <w:sz w:val="22"/>
                <w:szCs w:val="22"/>
              </w:rPr>
              <w:t>ext</w:t>
            </w:r>
            <w:proofErr w:type="spellEnd"/>
          </w:p>
        </w:tc>
        <w:tc>
          <w:tcPr>
            <w:tcW w:w="3402"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7F30F18" w14:textId="77777777" w:rsidR="004B5417" w:rsidRPr="004B5417" w:rsidRDefault="004B5417" w:rsidP="004B5417">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000000"/>
                <w:kern w:val="0"/>
                <w:sz w:val="22"/>
                <w:szCs w:val="22"/>
              </w:rPr>
              <w:t>slice indication</w:t>
            </w:r>
          </w:p>
        </w:tc>
      </w:tr>
      <w:tr w:rsidR="00A26C12" w:rsidRPr="004B5417" w14:paraId="6DAFB691" w14:textId="77777777" w:rsidTr="001D3292">
        <w:trPr>
          <w:trHeight w:val="58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135E8033" w14:textId="77777777" w:rsidR="004B5417" w:rsidRPr="004B5417" w:rsidRDefault="004B5417" w:rsidP="004B5417">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000000"/>
                <w:kern w:val="0"/>
                <w:sz w:val="22"/>
                <w:szCs w:val="22"/>
              </w:rPr>
              <w:t>SDT</w:t>
            </w:r>
          </w:p>
        </w:tc>
        <w:tc>
          <w:tcPr>
            <w:tcW w:w="3003" w:type="dxa"/>
            <w:tcBorders>
              <w:top w:val="nil"/>
              <w:left w:val="nil"/>
              <w:bottom w:val="single" w:sz="4" w:space="0" w:color="auto"/>
              <w:right w:val="single" w:sz="4" w:space="0" w:color="auto"/>
            </w:tcBorders>
            <w:shd w:val="clear" w:color="auto" w:fill="auto"/>
            <w:noWrap/>
            <w:vAlign w:val="center"/>
            <w:hideMark/>
          </w:tcPr>
          <w:p w14:paraId="2B68E544" w14:textId="77777777" w:rsidR="004B5417" w:rsidRPr="004B5417" w:rsidRDefault="004B5417" w:rsidP="004B5417">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BFBFBF" w:themeColor="background1" w:themeShade="BF"/>
                <w:kern w:val="0"/>
                <w:sz w:val="22"/>
                <w:szCs w:val="22"/>
              </w:rPr>
              <w:t>X</w:t>
            </w:r>
          </w:p>
        </w:tc>
        <w:tc>
          <w:tcPr>
            <w:tcW w:w="3119" w:type="dxa"/>
            <w:tcBorders>
              <w:top w:val="nil"/>
              <w:left w:val="nil"/>
              <w:bottom w:val="single" w:sz="4" w:space="0" w:color="auto"/>
              <w:right w:val="single" w:sz="4" w:space="0" w:color="auto"/>
            </w:tcBorders>
            <w:shd w:val="clear" w:color="auto" w:fill="92D050"/>
            <w:hideMark/>
          </w:tcPr>
          <w:p w14:paraId="7E662752" w14:textId="7A72FAFA" w:rsidR="004B5417" w:rsidRPr="004B5417" w:rsidRDefault="004B5417" w:rsidP="004B5417">
            <w:pPr>
              <w:widowControl/>
              <w:spacing w:after="0" w:line="240" w:lineRule="auto"/>
              <w:jc w:val="left"/>
              <w:rPr>
                <w:rFonts w:ascii="Calibri" w:eastAsia="Times New Roman" w:hAnsi="Calibri" w:cs="Calibri"/>
                <w:b/>
                <w:bCs/>
                <w:color w:val="000000"/>
                <w:kern w:val="0"/>
                <w:sz w:val="22"/>
                <w:szCs w:val="22"/>
                <w:u w:val="single"/>
              </w:rPr>
            </w:pPr>
            <w:r w:rsidRPr="004B5417">
              <w:rPr>
                <w:rFonts w:ascii="Calibri" w:eastAsia="Times New Roman" w:hAnsi="Calibri" w:cs="Calibri"/>
                <w:b/>
                <w:bCs/>
                <w:color w:val="000000"/>
                <w:kern w:val="0"/>
                <w:sz w:val="22"/>
                <w:szCs w:val="22"/>
                <w:u w:val="single"/>
              </w:rPr>
              <w:t>Needed</w:t>
            </w:r>
          </w:p>
          <w:p w14:paraId="72303924" w14:textId="06E79C5C" w:rsidR="004B5417" w:rsidRPr="004B5417" w:rsidRDefault="004B5417" w:rsidP="004B5417">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Devices such as wearables will benefit from reduced signalling overhead/power saving for small data packets in INACTIVE</w:t>
            </w:r>
          </w:p>
        </w:tc>
        <w:tc>
          <w:tcPr>
            <w:tcW w:w="3260" w:type="dxa"/>
            <w:tcBorders>
              <w:top w:val="nil"/>
              <w:left w:val="nil"/>
              <w:bottom w:val="single" w:sz="4" w:space="0" w:color="auto"/>
              <w:right w:val="single" w:sz="4" w:space="0" w:color="auto"/>
            </w:tcBorders>
            <w:shd w:val="clear" w:color="auto" w:fill="FF0000"/>
            <w:noWrap/>
            <w:hideMark/>
          </w:tcPr>
          <w:p w14:paraId="4F60AED7" w14:textId="39BBD703" w:rsidR="00A26C12" w:rsidRPr="00A26C12" w:rsidRDefault="00A26C12" w:rsidP="004B5417">
            <w:pPr>
              <w:widowControl/>
              <w:spacing w:after="0" w:line="240" w:lineRule="auto"/>
              <w:jc w:val="left"/>
              <w:rPr>
                <w:rFonts w:ascii="Calibri" w:eastAsia="Times New Roman" w:hAnsi="Calibri" w:cs="Calibri"/>
                <w:b/>
                <w:bCs/>
                <w:color w:val="000000"/>
                <w:kern w:val="0"/>
                <w:sz w:val="22"/>
                <w:szCs w:val="22"/>
                <w:u w:val="single"/>
              </w:rPr>
            </w:pPr>
            <w:r w:rsidRPr="00A26C12">
              <w:rPr>
                <w:rFonts w:ascii="Calibri" w:eastAsia="Times New Roman" w:hAnsi="Calibri" w:cs="Calibri"/>
                <w:b/>
                <w:bCs/>
                <w:color w:val="000000"/>
                <w:kern w:val="0"/>
                <w:sz w:val="22"/>
                <w:szCs w:val="22"/>
                <w:u w:val="single"/>
              </w:rPr>
              <w:t>Not needed</w:t>
            </w:r>
          </w:p>
          <w:p w14:paraId="3F0D194F" w14:textId="42DDBB21" w:rsidR="004B5417" w:rsidRPr="004B5417" w:rsidRDefault="004B5417" w:rsidP="004B5417">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If the device is in coverage limited scenario, SDT is not a useful mechanism</w:t>
            </w:r>
          </w:p>
        </w:tc>
        <w:tc>
          <w:tcPr>
            <w:tcW w:w="3402" w:type="dxa"/>
            <w:tcBorders>
              <w:top w:val="nil"/>
              <w:left w:val="nil"/>
              <w:bottom w:val="single" w:sz="4" w:space="0" w:color="auto"/>
              <w:right w:val="single" w:sz="4" w:space="0" w:color="auto"/>
            </w:tcBorders>
            <w:shd w:val="clear" w:color="auto" w:fill="92D050"/>
            <w:noWrap/>
            <w:hideMark/>
          </w:tcPr>
          <w:p w14:paraId="62CF5943" w14:textId="260235ED" w:rsidR="004B5417" w:rsidRDefault="004C57F8" w:rsidP="004B5417">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w:t>
            </w:r>
            <w:r w:rsidR="00A26C12" w:rsidRPr="00A26C12">
              <w:rPr>
                <w:rFonts w:ascii="Calibri" w:eastAsia="Times New Roman" w:hAnsi="Calibri" w:cs="Calibri"/>
                <w:b/>
                <w:bCs/>
                <w:color w:val="000000"/>
                <w:kern w:val="0"/>
                <w:sz w:val="22"/>
                <w:szCs w:val="22"/>
                <w:u w:val="single"/>
              </w:rPr>
              <w:t>eeded</w:t>
            </w:r>
          </w:p>
          <w:p w14:paraId="7490AFA8" w14:textId="4BB694C1" w:rsidR="00A26C12" w:rsidRPr="004B5417" w:rsidRDefault="00A26C12" w:rsidP="004B5417">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Some slices may benefit from SDT whilst others may not. Case by case analysis is needed and final configuration may be left to network implementation</w:t>
            </w:r>
          </w:p>
        </w:tc>
      </w:tr>
      <w:tr w:rsidR="00927D93" w:rsidRPr="004B5417" w14:paraId="6F52175C" w14:textId="77777777" w:rsidTr="001D3292">
        <w:trPr>
          <w:trHeight w:val="29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08FBC04E" w14:textId="469BAED7" w:rsidR="00927D93" w:rsidRPr="004B5417" w:rsidRDefault="00927D93" w:rsidP="00927D93">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000000"/>
                <w:kern w:val="0"/>
                <w:sz w:val="22"/>
                <w:szCs w:val="22"/>
              </w:rPr>
              <w:t>Redcap</w:t>
            </w:r>
          </w:p>
        </w:tc>
        <w:tc>
          <w:tcPr>
            <w:tcW w:w="3003" w:type="dxa"/>
            <w:tcBorders>
              <w:top w:val="nil"/>
              <w:left w:val="nil"/>
              <w:bottom w:val="single" w:sz="4" w:space="0" w:color="auto"/>
              <w:right w:val="single" w:sz="4" w:space="0" w:color="auto"/>
            </w:tcBorders>
            <w:shd w:val="clear" w:color="auto" w:fill="92D050"/>
            <w:noWrap/>
            <w:hideMark/>
          </w:tcPr>
          <w:p w14:paraId="5C8B1EAF" w14:textId="77777777" w:rsidR="00927D93" w:rsidRPr="004B5417" w:rsidRDefault="00927D93" w:rsidP="00927D93">
            <w:pPr>
              <w:widowControl/>
              <w:spacing w:after="0" w:line="240" w:lineRule="auto"/>
              <w:jc w:val="left"/>
              <w:rPr>
                <w:rFonts w:ascii="Calibri" w:eastAsia="Times New Roman" w:hAnsi="Calibri" w:cs="Calibri"/>
                <w:b/>
                <w:bCs/>
                <w:color w:val="000000"/>
                <w:kern w:val="0"/>
                <w:sz w:val="22"/>
                <w:szCs w:val="22"/>
                <w:u w:val="single"/>
              </w:rPr>
            </w:pPr>
            <w:r w:rsidRPr="004B5417">
              <w:rPr>
                <w:rFonts w:ascii="Calibri" w:eastAsia="Times New Roman" w:hAnsi="Calibri" w:cs="Calibri"/>
                <w:b/>
                <w:bCs/>
                <w:color w:val="000000"/>
                <w:kern w:val="0"/>
                <w:sz w:val="22"/>
                <w:szCs w:val="22"/>
                <w:u w:val="single"/>
              </w:rPr>
              <w:t>Needed</w:t>
            </w:r>
          </w:p>
          <w:p w14:paraId="3D0D2BE8" w14:textId="60251835" w:rsidR="00927D93" w:rsidRPr="004B5417" w:rsidRDefault="00927D93" w:rsidP="00927D93">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Devices such as wearables will benefit from reduced signalling overhead/power saving for small data packets in INACTIVE</w:t>
            </w:r>
          </w:p>
        </w:tc>
        <w:tc>
          <w:tcPr>
            <w:tcW w:w="3119" w:type="dxa"/>
            <w:tcBorders>
              <w:top w:val="nil"/>
              <w:left w:val="nil"/>
              <w:bottom w:val="single" w:sz="4" w:space="0" w:color="auto"/>
              <w:right w:val="single" w:sz="4" w:space="0" w:color="auto"/>
            </w:tcBorders>
            <w:shd w:val="clear" w:color="auto" w:fill="auto"/>
            <w:noWrap/>
            <w:vAlign w:val="center"/>
            <w:hideMark/>
          </w:tcPr>
          <w:p w14:paraId="3D5A2645" w14:textId="77777777" w:rsidR="00927D93" w:rsidRPr="004B5417" w:rsidRDefault="00927D93" w:rsidP="00927D93">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BFBFBF" w:themeColor="background1" w:themeShade="BF"/>
                <w:kern w:val="0"/>
                <w:sz w:val="22"/>
                <w:szCs w:val="22"/>
              </w:rPr>
              <w:t>X</w:t>
            </w:r>
          </w:p>
        </w:tc>
        <w:tc>
          <w:tcPr>
            <w:tcW w:w="3260" w:type="dxa"/>
            <w:tcBorders>
              <w:top w:val="nil"/>
              <w:left w:val="nil"/>
              <w:bottom w:val="single" w:sz="4" w:space="0" w:color="auto"/>
              <w:right w:val="single" w:sz="4" w:space="0" w:color="auto"/>
            </w:tcBorders>
            <w:shd w:val="clear" w:color="auto" w:fill="92D050"/>
            <w:noWrap/>
            <w:hideMark/>
          </w:tcPr>
          <w:p w14:paraId="243025C9" w14:textId="77777777" w:rsidR="00927D93" w:rsidRPr="004B5417" w:rsidRDefault="00927D93" w:rsidP="00927D93">
            <w:pPr>
              <w:widowControl/>
              <w:spacing w:after="0" w:line="240" w:lineRule="auto"/>
              <w:jc w:val="left"/>
              <w:rPr>
                <w:rFonts w:ascii="Calibri" w:eastAsia="Times New Roman" w:hAnsi="Calibri" w:cs="Calibri"/>
                <w:b/>
                <w:bCs/>
                <w:color w:val="000000"/>
                <w:kern w:val="0"/>
                <w:sz w:val="22"/>
                <w:szCs w:val="22"/>
                <w:u w:val="single"/>
              </w:rPr>
            </w:pPr>
            <w:r w:rsidRPr="004B5417">
              <w:rPr>
                <w:rFonts w:ascii="Calibri" w:eastAsia="Times New Roman" w:hAnsi="Calibri" w:cs="Calibri"/>
                <w:b/>
                <w:bCs/>
                <w:color w:val="000000"/>
                <w:kern w:val="0"/>
                <w:sz w:val="22"/>
                <w:szCs w:val="22"/>
                <w:u w:val="single"/>
              </w:rPr>
              <w:t>Needed</w:t>
            </w:r>
          </w:p>
          <w:p w14:paraId="467AE761" w14:textId="07B82B54" w:rsidR="00927D93" w:rsidRPr="004B5417" w:rsidRDefault="00472811" w:rsidP="00472811">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REDCAP devices need coverage extension to compensate for the coverage loss due to capability reduction</w:t>
            </w:r>
          </w:p>
        </w:tc>
        <w:tc>
          <w:tcPr>
            <w:tcW w:w="3402" w:type="dxa"/>
            <w:tcBorders>
              <w:top w:val="nil"/>
              <w:left w:val="nil"/>
              <w:bottom w:val="single" w:sz="4" w:space="0" w:color="auto"/>
              <w:right w:val="single" w:sz="4" w:space="0" w:color="auto"/>
            </w:tcBorders>
            <w:shd w:val="clear" w:color="auto" w:fill="92D050"/>
            <w:noWrap/>
            <w:hideMark/>
          </w:tcPr>
          <w:p w14:paraId="1D0792FD" w14:textId="77777777" w:rsidR="004C57F8" w:rsidRDefault="004C57F8" w:rsidP="004C57F8">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w:t>
            </w:r>
            <w:r w:rsidRPr="00A26C12">
              <w:rPr>
                <w:rFonts w:ascii="Calibri" w:eastAsia="Times New Roman" w:hAnsi="Calibri" w:cs="Calibri"/>
                <w:b/>
                <w:bCs/>
                <w:color w:val="000000"/>
                <w:kern w:val="0"/>
                <w:sz w:val="22"/>
                <w:szCs w:val="22"/>
                <w:u w:val="single"/>
              </w:rPr>
              <w:t>eeded</w:t>
            </w:r>
          </w:p>
          <w:p w14:paraId="740B448F" w14:textId="76703E25" w:rsidR="00927D93" w:rsidRPr="004B5417" w:rsidRDefault="004C57F8" w:rsidP="004C57F8">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xml:space="preserve">Some slices may </w:t>
            </w:r>
            <w:r w:rsidR="002E6DCB">
              <w:rPr>
                <w:rFonts w:ascii="Calibri" w:eastAsia="Times New Roman" w:hAnsi="Calibri" w:cs="Calibri"/>
                <w:color w:val="000000"/>
                <w:kern w:val="0"/>
                <w:sz w:val="22"/>
                <w:szCs w:val="22"/>
              </w:rPr>
              <w:t>allow REDCAP</w:t>
            </w:r>
            <w:r>
              <w:rPr>
                <w:rFonts w:ascii="Calibri" w:eastAsia="Times New Roman" w:hAnsi="Calibri" w:cs="Calibri"/>
                <w:color w:val="000000"/>
                <w:kern w:val="0"/>
                <w:sz w:val="22"/>
                <w:szCs w:val="22"/>
              </w:rPr>
              <w:t xml:space="preserve"> whilst others may not. Case by case analysis is needed and final configuration may be left to network implementation</w:t>
            </w:r>
          </w:p>
        </w:tc>
      </w:tr>
      <w:tr w:rsidR="00472811" w:rsidRPr="004B5417" w14:paraId="2C361217" w14:textId="77777777" w:rsidTr="001D3292">
        <w:trPr>
          <w:trHeight w:val="29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3B57168A" w14:textId="23F81CA0" w:rsidR="00472811" w:rsidRPr="004B5417" w:rsidRDefault="00472811" w:rsidP="00472811">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000000"/>
                <w:kern w:val="0"/>
                <w:sz w:val="22"/>
                <w:szCs w:val="22"/>
              </w:rPr>
              <w:t xml:space="preserve">coverage </w:t>
            </w:r>
            <w:proofErr w:type="spellStart"/>
            <w:r w:rsidRPr="004B5417">
              <w:rPr>
                <w:rFonts w:ascii="Calibri" w:eastAsia="Times New Roman" w:hAnsi="Calibri" w:cs="Calibri"/>
                <w:color w:val="000000"/>
                <w:kern w:val="0"/>
                <w:sz w:val="22"/>
                <w:szCs w:val="22"/>
              </w:rPr>
              <w:t>ext</w:t>
            </w:r>
            <w:proofErr w:type="spellEnd"/>
            <w:r w:rsidR="00322FD8">
              <w:rPr>
                <w:rFonts w:ascii="Calibri" w:eastAsia="Times New Roman" w:hAnsi="Calibri" w:cs="Calibri"/>
                <w:color w:val="000000"/>
                <w:kern w:val="0"/>
                <w:sz w:val="22"/>
                <w:szCs w:val="22"/>
              </w:rPr>
              <w:t xml:space="preserve"> *</w:t>
            </w:r>
          </w:p>
        </w:tc>
        <w:tc>
          <w:tcPr>
            <w:tcW w:w="3003" w:type="dxa"/>
            <w:tcBorders>
              <w:top w:val="nil"/>
              <w:left w:val="nil"/>
              <w:bottom w:val="single" w:sz="4" w:space="0" w:color="auto"/>
              <w:right w:val="single" w:sz="4" w:space="0" w:color="auto"/>
            </w:tcBorders>
            <w:shd w:val="clear" w:color="auto" w:fill="FF0000"/>
            <w:noWrap/>
            <w:hideMark/>
          </w:tcPr>
          <w:p w14:paraId="701D2057" w14:textId="77777777" w:rsidR="00472811" w:rsidRPr="00A26C12" w:rsidRDefault="00472811" w:rsidP="00472811">
            <w:pPr>
              <w:widowControl/>
              <w:spacing w:after="0" w:line="240" w:lineRule="auto"/>
              <w:jc w:val="left"/>
              <w:rPr>
                <w:rFonts w:ascii="Calibri" w:eastAsia="Times New Roman" w:hAnsi="Calibri" w:cs="Calibri"/>
                <w:b/>
                <w:bCs/>
                <w:color w:val="000000"/>
                <w:kern w:val="0"/>
                <w:sz w:val="22"/>
                <w:szCs w:val="22"/>
                <w:u w:val="single"/>
              </w:rPr>
            </w:pPr>
            <w:r w:rsidRPr="00A26C12">
              <w:rPr>
                <w:rFonts w:ascii="Calibri" w:eastAsia="Times New Roman" w:hAnsi="Calibri" w:cs="Calibri"/>
                <w:b/>
                <w:bCs/>
                <w:color w:val="000000"/>
                <w:kern w:val="0"/>
                <w:sz w:val="22"/>
                <w:szCs w:val="22"/>
                <w:u w:val="single"/>
              </w:rPr>
              <w:t>Not needed</w:t>
            </w:r>
          </w:p>
          <w:p w14:paraId="17087830" w14:textId="286EAC82" w:rsidR="00472811" w:rsidRPr="004B5417" w:rsidRDefault="00472811" w:rsidP="00472811">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If the device is in coverage limited scenario, SDT is not a useful mechanism</w:t>
            </w:r>
          </w:p>
        </w:tc>
        <w:tc>
          <w:tcPr>
            <w:tcW w:w="3119" w:type="dxa"/>
            <w:tcBorders>
              <w:top w:val="nil"/>
              <w:left w:val="nil"/>
              <w:bottom w:val="single" w:sz="4" w:space="0" w:color="auto"/>
              <w:right w:val="single" w:sz="4" w:space="0" w:color="auto"/>
            </w:tcBorders>
            <w:shd w:val="clear" w:color="auto" w:fill="92D050"/>
            <w:noWrap/>
            <w:hideMark/>
          </w:tcPr>
          <w:p w14:paraId="624AD350" w14:textId="77777777" w:rsidR="00472811" w:rsidRPr="004B5417" w:rsidRDefault="00472811" w:rsidP="00472811">
            <w:pPr>
              <w:widowControl/>
              <w:spacing w:after="0" w:line="240" w:lineRule="auto"/>
              <w:jc w:val="left"/>
              <w:rPr>
                <w:rFonts w:ascii="Calibri" w:eastAsia="Times New Roman" w:hAnsi="Calibri" w:cs="Calibri"/>
                <w:b/>
                <w:bCs/>
                <w:color w:val="000000"/>
                <w:kern w:val="0"/>
                <w:sz w:val="22"/>
                <w:szCs w:val="22"/>
                <w:u w:val="single"/>
              </w:rPr>
            </w:pPr>
            <w:r w:rsidRPr="004B5417">
              <w:rPr>
                <w:rFonts w:ascii="Calibri" w:eastAsia="Times New Roman" w:hAnsi="Calibri" w:cs="Calibri"/>
                <w:b/>
                <w:bCs/>
                <w:color w:val="000000"/>
                <w:kern w:val="0"/>
                <w:sz w:val="22"/>
                <w:szCs w:val="22"/>
                <w:u w:val="single"/>
              </w:rPr>
              <w:t>Needed</w:t>
            </w:r>
          </w:p>
          <w:p w14:paraId="3AF78AED" w14:textId="5DFFDE82" w:rsidR="00472811" w:rsidRPr="004B5417" w:rsidRDefault="00472811" w:rsidP="00472811">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REDCAP devices need coverage extension to compensate for the coverage loss due to capability reduction</w:t>
            </w:r>
          </w:p>
        </w:tc>
        <w:tc>
          <w:tcPr>
            <w:tcW w:w="3260" w:type="dxa"/>
            <w:tcBorders>
              <w:top w:val="nil"/>
              <w:left w:val="nil"/>
              <w:bottom w:val="single" w:sz="4" w:space="0" w:color="auto"/>
              <w:right w:val="single" w:sz="4" w:space="0" w:color="auto"/>
            </w:tcBorders>
            <w:shd w:val="clear" w:color="auto" w:fill="auto"/>
            <w:noWrap/>
            <w:vAlign w:val="center"/>
            <w:hideMark/>
          </w:tcPr>
          <w:p w14:paraId="4599767F" w14:textId="77777777" w:rsidR="00472811" w:rsidRPr="004B5417" w:rsidRDefault="00472811" w:rsidP="00472811">
            <w:pPr>
              <w:widowControl/>
              <w:spacing w:after="0" w:line="240" w:lineRule="auto"/>
              <w:jc w:val="center"/>
              <w:rPr>
                <w:rFonts w:ascii="Calibri" w:eastAsia="Times New Roman" w:hAnsi="Calibri" w:cs="Calibri"/>
                <w:color w:val="BFBFBF" w:themeColor="background1" w:themeShade="BF"/>
                <w:kern w:val="0"/>
                <w:sz w:val="22"/>
                <w:szCs w:val="22"/>
              </w:rPr>
            </w:pPr>
            <w:r w:rsidRPr="004B5417">
              <w:rPr>
                <w:rFonts w:ascii="Calibri" w:eastAsia="Times New Roman" w:hAnsi="Calibri" w:cs="Calibri"/>
                <w:color w:val="BFBFBF" w:themeColor="background1" w:themeShade="BF"/>
                <w:kern w:val="0"/>
                <w:sz w:val="22"/>
                <w:szCs w:val="22"/>
              </w:rPr>
              <w:t>X</w:t>
            </w:r>
          </w:p>
        </w:tc>
        <w:tc>
          <w:tcPr>
            <w:tcW w:w="3402" w:type="dxa"/>
            <w:tcBorders>
              <w:top w:val="nil"/>
              <w:left w:val="nil"/>
              <w:bottom w:val="single" w:sz="4" w:space="0" w:color="auto"/>
              <w:right w:val="single" w:sz="4" w:space="0" w:color="auto"/>
            </w:tcBorders>
            <w:shd w:val="clear" w:color="auto" w:fill="92D050"/>
            <w:noWrap/>
            <w:hideMark/>
          </w:tcPr>
          <w:p w14:paraId="5696A69B" w14:textId="77777777" w:rsidR="004C57F8" w:rsidRDefault="004C57F8" w:rsidP="004C57F8">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w:t>
            </w:r>
            <w:r w:rsidRPr="00A26C12">
              <w:rPr>
                <w:rFonts w:ascii="Calibri" w:eastAsia="Times New Roman" w:hAnsi="Calibri" w:cs="Calibri"/>
                <w:b/>
                <w:bCs/>
                <w:color w:val="000000"/>
                <w:kern w:val="0"/>
                <w:sz w:val="22"/>
                <w:szCs w:val="22"/>
                <w:u w:val="single"/>
              </w:rPr>
              <w:t>eeded</w:t>
            </w:r>
          </w:p>
          <w:p w14:paraId="2B63BC28" w14:textId="08ACD603" w:rsidR="00472811" w:rsidRPr="004B5417" w:rsidRDefault="004C57F8" w:rsidP="004C57F8">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xml:space="preserve">Some slices may benefit from </w:t>
            </w:r>
            <w:r w:rsidR="002E6DCB">
              <w:rPr>
                <w:rFonts w:ascii="Calibri" w:eastAsia="Times New Roman" w:hAnsi="Calibri" w:cs="Calibri"/>
                <w:color w:val="000000"/>
                <w:kern w:val="0"/>
                <w:sz w:val="22"/>
                <w:szCs w:val="22"/>
              </w:rPr>
              <w:t>coverage extension</w:t>
            </w:r>
            <w:r>
              <w:rPr>
                <w:rFonts w:ascii="Calibri" w:eastAsia="Times New Roman" w:hAnsi="Calibri" w:cs="Calibri"/>
                <w:color w:val="000000"/>
                <w:kern w:val="0"/>
                <w:sz w:val="22"/>
                <w:szCs w:val="22"/>
              </w:rPr>
              <w:t xml:space="preserve"> whilst others may not. Case by case analysis is needed and final configuration may be left to network implementation</w:t>
            </w:r>
          </w:p>
        </w:tc>
      </w:tr>
      <w:tr w:rsidR="00A26C12" w:rsidRPr="004B5417" w14:paraId="443D9FD6" w14:textId="77777777" w:rsidTr="001D3292">
        <w:trPr>
          <w:trHeight w:val="29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3160C1BE" w14:textId="77777777" w:rsidR="00A26C12" w:rsidRPr="004B5417" w:rsidRDefault="00A26C12" w:rsidP="00A26C12">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000000"/>
                <w:kern w:val="0"/>
                <w:sz w:val="22"/>
                <w:szCs w:val="22"/>
              </w:rPr>
              <w:t>slice indication</w:t>
            </w:r>
          </w:p>
        </w:tc>
        <w:tc>
          <w:tcPr>
            <w:tcW w:w="3003" w:type="dxa"/>
            <w:tcBorders>
              <w:top w:val="nil"/>
              <w:left w:val="nil"/>
              <w:bottom w:val="single" w:sz="4" w:space="0" w:color="auto"/>
              <w:right w:val="single" w:sz="4" w:space="0" w:color="auto"/>
            </w:tcBorders>
            <w:shd w:val="clear" w:color="auto" w:fill="92D050"/>
            <w:noWrap/>
            <w:hideMark/>
          </w:tcPr>
          <w:p w14:paraId="50D05BBC" w14:textId="77777777" w:rsidR="004C57F8" w:rsidRDefault="004C57F8" w:rsidP="004C57F8">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w:t>
            </w:r>
            <w:r w:rsidRPr="00A26C12">
              <w:rPr>
                <w:rFonts w:ascii="Calibri" w:eastAsia="Times New Roman" w:hAnsi="Calibri" w:cs="Calibri"/>
                <w:b/>
                <w:bCs/>
                <w:color w:val="000000"/>
                <w:kern w:val="0"/>
                <w:sz w:val="22"/>
                <w:szCs w:val="22"/>
                <w:u w:val="single"/>
              </w:rPr>
              <w:t>eeded</w:t>
            </w:r>
          </w:p>
          <w:p w14:paraId="67F55124" w14:textId="645C1476" w:rsidR="00A26C12" w:rsidRPr="004B5417" w:rsidRDefault="004C57F8" w:rsidP="004C57F8">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Some slices may benefit from SDT whilst others may not. Case by case analysis is needed and final configuration may be left to network implementation</w:t>
            </w:r>
          </w:p>
        </w:tc>
        <w:tc>
          <w:tcPr>
            <w:tcW w:w="3119" w:type="dxa"/>
            <w:tcBorders>
              <w:top w:val="nil"/>
              <w:left w:val="nil"/>
              <w:bottom w:val="single" w:sz="4" w:space="0" w:color="auto"/>
              <w:right w:val="single" w:sz="4" w:space="0" w:color="auto"/>
            </w:tcBorders>
            <w:shd w:val="clear" w:color="auto" w:fill="92D050"/>
            <w:noWrap/>
            <w:hideMark/>
          </w:tcPr>
          <w:p w14:paraId="3881506F" w14:textId="77777777" w:rsidR="002E6DCB" w:rsidRDefault="002E6DCB" w:rsidP="002E6DCB">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w:t>
            </w:r>
            <w:r w:rsidRPr="00A26C12">
              <w:rPr>
                <w:rFonts w:ascii="Calibri" w:eastAsia="Times New Roman" w:hAnsi="Calibri" w:cs="Calibri"/>
                <w:b/>
                <w:bCs/>
                <w:color w:val="000000"/>
                <w:kern w:val="0"/>
                <w:sz w:val="22"/>
                <w:szCs w:val="22"/>
                <w:u w:val="single"/>
              </w:rPr>
              <w:t>eeded</w:t>
            </w:r>
          </w:p>
          <w:p w14:paraId="4936B7FB" w14:textId="53F78D70" w:rsidR="00A26C12" w:rsidRPr="004B5417" w:rsidRDefault="002E6DCB" w:rsidP="002E6DCB">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Some slices may allow REDCAP whilst others may not. Case by case analysis is needed and final configuration may be left to network implementation</w:t>
            </w:r>
          </w:p>
        </w:tc>
        <w:tc>
          <w:tcPr>
            <w:tcW w:w="3260" w:type="dxa"/>
            <w:tcBorders>
              <w:top w:val="nil"/>
              <w:left w:val="nil"/>
              <w:bottom w:val="single" w:sz="4" w:space="0" w:color="auto"/>
              <w:right w:val="single" w:sz="4" w:space="0" w:color="auto"/>
            </w:tcBorders>
            <w:shd w:val="clear" w:color="auto" w:fill="92D050"/>
            <w:noWrap/>
            <w:hideMark/>
          </w:tcPr>
          <w:p w14:paraId="21CE014D" w14:textId="77777777" w:rsidR="002E6DCB" w:rsidRDefault="002E6DCB" w:rsidP="002E6DCB">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b/>
                <w:bCs/>
                <w:color w:val="000000"/>
                <w:kern w:val="0"/>
                <w:sz w:val="22"/>
                <w:szCs w:val="22"/>
                <w:u w:val="single"/>
              </w:rPr>
              <w:t>N</w:t>
            </w:r>
            <w:r w:rsidRPr="00A26C12">
              <w:rPr>
                <w:rFonts w:ascii="Calibri" w:eastAsia="Times New Roman" w:hAnsi="Calibri" w:cs="Calibri"/>
                <w:b/>
                <w:bCs/>
                <w:color w:val="000000"/>
                <w:kern w:val="0"/>
                <w:sz w:val="22"/>
                <w:szCs w:val="22"/>
                <w:u w:val="single"/>
              </w:rPr>
              <w:t>eeded</w:t>
            </w:r>
          </w:p>
          <w:p w14:paraId="533CF338" w14:textId="77149AF8" w:rsidR="00A26C12" w:rsidRPr="004B5417" w:rsidRDefault="002E6DCB" w:rsidP="002E6DCB">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Some slices may benefit from coverage extension whilst others may not. Case by case analysis is needed and final configuration may be left to network implementation</w:t>
            </w:r>
          </w:p>
        </w:tc>
        <w:tc>
          <w:tcPr>
            <w:tcW w:w="3402" w:type="dxa"/>
            <w:tcBorders>
              <w:top w:val="nil"/>
              <w:left w:val="nil"/>
              <w:bottom w:val="single" w:sz="4" w:space="0" w:color="auto"/>
              <w:right w:val="single" w:sz="4" w:space="0" w:color="auto"/>
            </w:tcBorders>
            <w:shd w:val="clear" w:color="auto" w:fill="auto"/>
            <w:noWrap/>
            <w:vAlign w:val="center"/>
            <w:hideMark/>
          </w:tcPr>
          <w:p w14:paraId="644B9FC8" w14:textId="77777777" w:rsidR="00A26C12" w:rsidRPr="004B5417" w:rsidRDefault="00A26C12" w:rsidP="00A26C12">
            <w:pPr>
              <w:widowControl/>
              <w:spacing w:after="0" w:line="240" w:lineRule="auto"/>
              <w:jc w:val="center"/>
              <w:rPr>
                <w:rFonts w:ascii="Calibri" w:eastAsia="Times New Roman" w:hAnsi="Calibri" w:cs="Calibri"/>
                <w:color w:val="000000"/>
                <w:kern w:val="0"/>
                <w:sz w:val="22"/>
                <w:szCs w:val="22"/>
              </w:rPr>
            </w:pPr>
            <w:r w:rsidRPr="004B5417">
              <w:rPr>
                <w:rFonts w:ascii="Calibri" w:eastAsia="Times New Roman" w:hAnsi="Calibri" w:cs="Calibri"/>
                <w:color w:val="BFBFBF" w:themeColor="background1" w:themeShade="BF"/>
                <w:kern w:val="0"/>
                <w:sz w:val="22"/>
                <w:szCs w:val="22"/>
              </w:rPr>
              <w:t>X</w:t>
            </w:r>
          </w:p>
        </w:tc>
      </w:tr>
    </w:tbl>
    <w:p w14:paraId="7349A6F8" w14:textId="6502817D" w:rsidR="004B5417" w:rsidRDefault="004B5417" w:rsidP="00891C82"/>
    <w:p w14:paraId="337F52E7" w14:textId="04AB9FD9" w:rsidR="00322FD8" w:rsidRDefault="00322FD8" w:rsidP="00891C82">
      <w:r>
        <w:lastRenderedPageBreak/>
        <w:t xml:space="preserve">* Note: In addition to the above, it is not necessary to support extended coverage with 2-step RACH (2-step RACH already has an RSRP threshold to ensure this, but perhaps we could preclude this combination regardless of the RSRP threshold). </w:t>
      </w:r>
    </w:p>
    <w:p w14:paraId="2C2E7DB7" w14:textId="16B832BE" w:rsidR="00A26C12" w:rsidRDefault="00A26C12" w:rsidP="00891C82">
      <w:r>
        <w:t xml:space="preserve">Based on the above the following proposals are made: </w:t>
      </w:r>
    </w:p>
    <w:p w14:paraId="78242D39" w14:textId="57AA665F" w:rsidR="00A26C12" w:rsidRDefault="00A26C12" w:rsidP="00891C82">
      <w:pPr>
        <w:rPr>
          <w:b/>
          <w:bCs/>
        </w:rPr>
      </w:pPr>
      <w:r w:rsidRPr="00472811">
        <w:rPr>
          <w:b/>
          <w:bCs/>
        </w:rPr>
        <w:t xml:space="preserve">Proposal 1: </w:t>
      </w:r>
      <w:r w:rsidR="00472811">
        <w:rPr>
          <w:b/>
          <w:bCs/>
        </w:rPr>
        <w:t>On a given RO, only the following combination of Rel-17 features will be supported (i.e., signalling can support these combinations in addition to the Rel-16 features)</w:t>
      </w:r>
    </w:p>
    <w:p w14:paraId="6AAD66B9" w14:textId="7FD5BFF5" w:rsidR="00472811" w:rsidRDefault="00472811" w:rsidP="00472811">
      <w:pPr>
        <w:pStyle w:val="ListParagraph"/>
        <w:numPr>
          <w:ilvl w:val="0"/>
          <w:numId w:val="12"/>
        </w:numPr>
        <w:ind w:firstLineChars="0"/>
        <w:rPr>
          <w:b/>
          <w:bCs/>
        </w:rPr>
      </w:pPr>
      <w:r>
        <w:rPr>
          <w:b/>
          <w:bCs/>
        </w:rPr>
        <w:t>SDT with: REDCAP and/or Slice Indication (for some slices – up to network implementation)</w:t>
      </w:r>
    </w:p>
    <w:p w14:paraId="30F8D75F" w14:textId="7E28D927" w:rsidR="00322FD8" w:rsidRPr="00322FD8" w:rsidRDefault="00472811" w:rsidP="00322FD8">
      <w:pPr>
        <w:pStyle w:val="ListParagraph"/>
        <w:numPr>
          <w:ilvl w:val="0"/>
          <w:numId w:val="12"/>
        </w:numPr>
        <w:ind w:firstLineChars="0"/>
        <w:rPr>
          <w:b/>
          <w:bCs/>
        </w:rPr>
      </w:pPr>
      <w:r>
        <w:rPr>
          <w:b/>
          <w:bCs/>
        </w:rPr>
        <w:t>REDCAP with: Coverage extension and/or Slice Indication (for some slices – up to network implementation)</w:t>
      </w:r>
    </w:p>
    <w:p w14:paraId="46A9B06A" w14:textId="001F970C" w:rsidR="00472811" w:rsidRDefault="00472811" w:rsidP="00472811">
      <w:pPr>
        <w:ind w:left="360"/>
        <w:rPr>
          <w:b/>
          <w:bCs/>
        </w:rPr>
      </w:pPr>
      <w:r>
        <w:rPr>
          <w:b/>
          <w:bCs/>
        </w:rPr>
        <w:t>Note</w:t>
      </w:r>
      <w:r w:rsidR="00322FD8">
        <w:rPr>
          <w:b/>
          <w:bCs/>
        </w:rPr>
        <w:t xml:space="preserve"> 1</w:t>
      </w:r>
      <w:r>
        <w:rPr>
          <w:b/>
          <w:bCs/>
        </w:rPr>
        <w:t>: combination of SDT with coverage extension is not supported</w:t>
      </w:r>
    </w:p>
    <w:p w14:paraId="56F24DCC" w14:textId="58D8F86B" w:rsidR="00322FD8" w:rsidRDefault="00322FD8" w:rsidP="00472811">
      <w:pPr>
        <w:ind w:left="360"/>
        <w:rPr>
          <w:b/>
          <w:bCs/>
        </w:rPr>
      </w:pPr>
      <w:r>
        <w:rPr>
          <w:b/>
          <w:bCs/>
        </w:rPr>
        <w:t>Note 2: combination of coverage extension with 2-step RACH is also not supported</w:t>
      </w:r>
    </w:p>
    <w:p w14:paraId="3CD711BA" w14:textId="60D15841" w:rsidR="004C57F8" w:rsidRDefault="004C57F8" w:rsidP="004C57F8">
      <w:pPr>
        <w:rPr>
          <w:b/>
          <w:bCs/>
        </w:rPr>
      </w:pPr>
      <w:r>
        <w:rPr>
          <w:b/>
          <w:bCs/>
        </w:rPr>
        <w:t>Proposal 2: RO-Mask can be defined for Rel-17 features to enable configuring a subset of ROs for a given feature</w:t>
      </w:r>
    </w:p>
    <w:p w14:paraId="55294B6D" w14:textId="336A4C6A" w:rsidR="00EC3538" w:rsidRDefault="00EC3538" w:rsidP="00EC353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Resource configuration</w:t>
      </w:r>
    </w:p>
    <w:p w14:paraId="022F7319" w14:textId="5140BAA5" w:rsidR="00FB07E8" w:rsidRDefault="00EC3538" w:rsidP="00FB07E8">
      <w:r>
        <w:t xml:space="preserve">Until Rel-16, the signalling framework </w:t>
      </w:r>
      <w:r w:rsidR="00810099">
        <w:t xml:space="preserve">shown in </w:t>
      </w:r>
      <w:r w:rsidR="00810099">
        <w:fldChar w:fldCharType="begin"/>
      </w:r>
      <w:r w:rsidR="00810099">
        <w:instrText xml:space="preserve"> REF _Ref71707213 \h </w:instrText>
      </w:r>
      <w:r w:rsidR="00810099">
        <w:fldChar w:fldCharType="separate"/>
      </w:r>
      <w:r w:rsidR="00810099">
        <w:t xml:space="preserve">Figure </w:t>
      </w:r>
      <w:r w:rsidR="00810099">
        <w:rPr>
          <w:noProof/>
        </w:rPr>
        <w:t>1</w:t>
      </w:r>
      <w:r w:rsidR="00810099">
        <w:fldChar w:fldCharType="end"/>
      </w:r>
      <w:r w:rsidR="00810099">
        <w:t xml:space="preserve"> </w:t>
      </w:r>
      <w:r>
        <w:t>is used to indicate the preamble partitions within a shared RO</w:t>
      </w:r>
      <w:r w:rsidR="005C549A">
        <w:t xml:space="preserve">. </w:t>
      </w:r>
      <w:r w:rsidR="00FB07E8">
        <w:t xml:space="preserve">For indicating the allowed combinations of the Rel-17 features, the preamble space should be obtained from the reserved preambles for each SSB (i.e., the green highlighted part in </w:t>
      </w:r>
      <w:r w:rsidR="00FB07E8">
        <w:fldChar w:fldCharType="begin"/>
      </w:r>
      <w:r w:rsidR="00FB07E8">
        <w:instrText xml:space="preserve"> REF _Ref71707213 \h </w:instrText>
      </w:r>
      <w:r w:rsidR="00FB07E8">
        <w:fldChar w:fldCharType="separate"/>
      </w:r>
      <w:r w:rsidR="00FB07E8">
        <w:t xml:space="preserve">Figure </w:t>
      </w:r>
      <w:r w:rsidR="00FB07E8">
        <w:rPr>
          <w:noProof/>
        </w:rPr>
        <w:t>1</w:t>
      </w:r>
      <w:r w:rsidR="00FB07E8">
        <w:fldChar w:fldCharType="end"/>
      </w:r>
      <w:r w:rsidR="00FB07E8">
        <w:t xml:space="preserve">). </w:t>
      </w:r>
      <w:r w:rsidR="00AA0516">
        <w:t xml:space="preserve">The allowed combinations of Rel-17 features should be configured within this preamble space and the detailed signalling framework to enable this can be further determined in RAN2. </w:t>
      </w:r>
    </w:p>
    <w:p w14:paraId="3B453943" w14:textId="65977888" w:rsidR="00AA0516" w:rsidRPr="00AA0516" w:rsidRDefault="00AA0516" w:rsidP="00FB07E8">
      <w:pPr>
        <w:rPr>
          <w:b/>
          <w:bCs/>
        </w:rPr>
      </w:pPr>
      <w:r w:rsidRPr="00AA0516">
        <w:rPr>
          <w:b/>
          <w:bCs/>
        </w:rPr>
        <w:t xml:space="preserve">Proposal </w:t>
      </w:r>
      <w:r w:rsidR="004C57F8">
        <w:rPr>
          <w:b/>
          <w:bCs/>
        </w:rPr>
        <w:t>3</w:t>
      </w:r>
      <w:r w:rsidRPr="00AA0516">
        <w:rPr>
          <w:b/>
          <w:bCs/>
        </w:rPr>
        <w:t xml:space="preserve">: Within a given RO, the allowed combination of Rel-17 features (see proposal 1) should be accommodated within the preamble space reserved for other purpose </w:t>
      </w:r>
      <w:r w:rsidR="006B2340">
        <w:rPr>
          <w:b/>
          <w:bCs/>
        </w:rPr>
        <w:t>for</w:t>
      </w:r>
      <w:r w:rsidRPr="00AA0516">
        <w:rPr>
          <w:b/>
          <w:bCs/>
        </w:rPr>
        <w:t xml:space="preserve"> each SSB and the details of the signalling for this should be further worked out in RAN2</w:t>
      </w:r>
    </w:p>
    <w:p w14:paraId="24B1BBE2" w14:textId="2563037A" w:rsidR="00FB07E8" w:rsidRDefault="001D3292" w:rsidP="00FB07E8">
      <w:pPr>
        <w:keepNext/>
        <w:jc w:val="center"/>
      </w:pPr>
      <w:r w:rsidRPr="001D3292">
        <w:lastRenderedPageBreak/>
        <w:drawing>
          <wp:inline distT="0" distB="0" distL="0" distR="0" wp14:anchorId="5937B30E" wp14:editId="5FE4BA12">
            <wp:extent cx="8909693" cy="33909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25430" cy="3396889"/>
                    </a:xfrm>
                    <a:prstGeom prst="rect">
                      <a:avLst/>
                    </a:prstGeom>
                    <a:noFill/>
                    <a:ln>
                      <a:noFill/>
                    </a:ln>
                  </pic:spPr>
                </pic:pic>
              </a:graphicData>
            </a:graphic>
          </wp:inline>
        </w:drawing>
      </w:r>
    </w:p>
    <w:p w14:paraId="51818526" w14:textId="6B74EDE5" w:rsidR="00FB07E8" w:rsidRDefault="00FB07E8" w:rsidP="00FB07E8">
      <w:pPr>
        <w:pStyle w:val="Caption"/>
        <w:jc w:val="center"/>
      </w:pPr>
      <w:bookmarkStart w:id="5" w:name="_Ref71707213"/>
      <w:r>
        <w:t xml:space="preserve">Figure </w:t>
      </w:r>
      <w:r w:rsidR="00474EDA">
        <w:fldChar w:fldCharType="begin"/>
      </w:r>
      <w:r w:rsidR="00474EDA">
        <w:instrText xml:space="preserve"> SEQ Figure \* ARABIC </w:instrText>
      </w:r>
      <w:r w:rsidR="00474EDA">
        <w:fldChar w:fldCharType="separate"/>
      </w:r>
      <w:r>
        <w:rPr>
          <w:noProof/>
        </w:rPr>
        <w:t>1</w:t>
      </w:r>
      <w:r w:rsidR="00474EDA">
        <w:rPr>
          <w:noProof/>
        </w:rPr>
        <w:fldChar w:fldCharType="end"/>
      </w:r>
      <w:bookmarkEnd w:id="5"/>
      <w:r>
        <w:t xml:space="preserve">: Signalling framework for preamble partitioning </w:t>
      </w:r>
      <w:r w:rsidR="00AA0516">
        <w:t>in Rel-17</w:t>
      </w:r>
    </w:p>
    <w:p w14:paraId="40CB7B7A" w14:textId="2A883F08" w:rsidR="00AA0516" w:rsidRDefault="00AA0516" w:rsidP="00AA051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Aspects related to RACH procedure</w:t>
      </w:r>
    </w:p>
    <w:p w14:paraId="47E6EF72" w14:textId="5C6066E0" w:rsidR="00AA0516" w:rsidRDefault="00C909CA" w:rsidP="00AA0516">
      <w:r>
        <w:t xml:space="preserve">Until Rel-16 some fallback procedures are allowed during the RACH procedure. For instance, if 2-step RA is initiated, the UE is allowed to fallback to 4-step RA procedure if the 2-step RA procedure fails a configured number of times. It should be noted that the fallbacks are necessary if the RACH resource configured for a certain feature has a lower performance compared to other RACH resources. This mainly depends on the collision probability on a given RACH resource. However, </w:t>
      </w:r>
      <w:r w:rsidR="00A31C29">
        <w:t xml:space="preserve">a good network implementation should generally cater for a low and predictable collision probability on RACH resources across all the features. Thus, assuming this can be guaranteed, the fallbacks from one RA resource to another are not really that critical. On the other hand, supporting fallbacks (i.e., switching between features after RACH has been initiated) comes with significant complexity in MAC layer. </w:t>
      </w:r>
      <w:r w:rsidR="00A31C29">
        <w:lastRenderedPageBreak/>
        <w:t xml:space="preserve">Thus, in order to simplify the overall design, a general design principle would be to minimise or preferably to avoid fallbacks from one RACH resource to other. Keeping this in mind, the following general principles are proposed: </w:t>
      </w:r>
    </w:p>
    <w:p w14:paraId="4BE93B68" w14:textId="055AF1BA" w:rsidR="00A31C29" w:rsidRPr="009C50C5" w:rsidRDefault="00A31C29" w:rsidP="00AA0516">
      <w:pPr>
        <w:rPr>
          <w:b/>
          <w:bCs/>
        </w:rPr>
      </w:pPr>
      <w:r w:rsidRPr="009C50C5">
        <w:rPr>
          <w:b/>
          <w:bCs/>
        </w:rPr>
        <w:t xml:space="preserve">Proposal </w:t>
      </w:r>
      <w:r w:rsidR="00DF3222">
        <w:rPr>
          <w:b/>
          <w:bCs/>
        </w:rPr>
        <w:t>4</w:t>
      </w:r>
      <w:r w:rsidRPr="009C50C5">
        <w:rPr>
          <w:b/>
          <w:bCs/>
        </w:rPr>
        <w:t xml:space="preserve">: The RA procedure design for Rel-17 should adhere to the following general principles: </w:t>
      </w:r>
    </w:p>
    <w:p w14:paraId="44985261" w14:textId="08F6A1F9" w:rsidR="009C50C5" w:rsidRDefault="009C50C5" w:rsidP="00A31C29">
      <w:pPr>
        <w:pStyle w:val="ListParagraph"/>
        <w:numPr>
          <w:ilvl w:val="0"/>
          <w:numId w:val="12"/>
        </w:numPr>
        <w:ind w:firstLineChars="0"/>
        <w:rPr>
          <w:b/>
          <w:bCs/>
        </w:rPr>
      </w:pPr>
      <w:r w:rsidRPr="009C50C5">
        <w:rPr>
          <w:b/>
          <w:bCs/>
        </w:rPr>
        <w:t xml:space="preserve">Carrier selection (between NUL/SUL) should happen ahead of the initial RACH resource selection </w:t>
      </w:r>
    </w:p>
    <w:p w14:paraId="78B08341" w14:textId="1730F25B" w:rsidR="004C57F8" w:rsidRPr="009C50C5" w:rsidRDefault="004C57F8" w:rsidP="004C57F8">
      <w:pPr>
        <w:pStyle w:val="ListParagraph"/>
        <w:numPr>
          <w:ilvl w:val="1"/>
          <w:numId w:val="12"/>
        </w:numPr>
        <w:ind w:firstLineChars="0"/>
        <w:rPr>
          <w:b/>
          <w:bCs/>
        </w:rPr>
      </w:pPr>
      <w:r>
        <w:rPr>
          <w:b/>
          <w:bCs/>
        </w:rPr>
        <w:t>The RSRP threshold for carrier selection may be configured per each feature</w:t>
      </w:r>
    </w:p>
    <w:p w14:paraId="26368DE9" w14:textId="07825D7B" w:rsidR="00A31C29" w:rsidRPr="009C50C5" w:rsidRDefault="00A31C29" w:rsidP="00A31C29">
      <w:pPr>
        <w:pStyle w:val="ListParagraph"/>
        <w:numPr>
          <w:ilvl w:val="0"/>
          <w:numId w:val="12"/>
        </w:numPr>
        <w:ind w:firstLineChars="0"/>
        <w:rPr>
          <w:b/>
          <w:bCs/>
        </w:rPr>
      </w:pPr>
      <w:r w:rsidRPr="009C50C5">
        <w:rPr>
          <w:b/>
          <w:bCs/>
        </w:rPr>
        <w:t xml:space="preserve">Initial RACH resource should be selected based </w:t>
      </w:r>
      <w:r w:rsidR="009C50C5" w:rsidRPr="009C50C5">
        <w:rPr>
          <w:b/>
          <w:bCs/>
        </w:rPr>
        <w:t>on the selected carrier for</w:t>
      </w:r>
      <w:r w:rsidRPr="009C50C5">
        <w:rPr>
          <w:b/>
          <w:bCs/>
        </w:rPr>
        <w:t xml:space="preserve"> the selected feature combination (i.e.</w:t>
      </w:r>
      <w:r w:rsidR="00DF3222">
        <w:rPr>
          <w:b/>
          <w:bCs/>
        </w:rPr>
        <w:t>,</w:t>
      </w:r>
      <w:r w:rsidRPr="009C50C5">
        <w:rPr>
          <w:b/>
          <w:bCs/>
        </w:rPr>
        <w:t xml:space="preserve"> selected slice, SDT or not, REDCAP or not etc)</w:t>
      </w:r>
    </w:p>
    <w:p w14:paraId="7B08C8BB" w14:textId="5BC83F3E" w:rsidR="00810099" w:rsidRPr="009C50C5" w:rsidRDefault="009C50C5" w:rsidP="00FC5E83">
      <w:pPr>
        <w:pStyle w:val="ListParagraph"/>
        <w:numPr>
          <w:ilvl w:val="0"/>
          <w:numId w:val="12"/>
        </w:numPr>
        <w:ind w:firstLineChars="0"/>
        <w:rPr>
          <w:b/>
          <w:bCs/>
        </w:rPr>
      </w:pPr>
      <w:r w:rsidRPr="009C50C5">
        <w:rPr>
          <w:b/>
          <w:bCs/>
        </w:rPr>
        <w:t>As a general rule, a</w:t>
      </w:r>
      <w:r w:rsidR="00A31C29" w:rsidRPr="009C50C5">
        <w:rPr>
          <w:b/>
          <w:bCs/>
        </w:rPr>
        <w:t>ll RACH retransmissions (</w:t>
      </w:r>
      <w:r w:rsidR="00A70B89">
        <w:rPr>
          <w:b/>
          <w:bCs/>
        </w:rPr>
        <w:t xml:space="preserve">if any are needed, </w:t>
      </w:r>
      <w:r w:rsidR="00A31C29" w:rsidRPr="009C50C5">
        <w:rPr>
          <w:b/>
          <w:bCs/>
        </w:rPr>
        <w:t>until RACH failure</w:t>
      </w:r>
      <w:r w:rsidR="00A70B89">
        <w:rPr>
          <w:b/>
          <w:bCs/>
        </w:rPr>
        <w:t xml:space="preserve"> happens</w:t>
      </w:r>
      <w:r w:rsidR="00A31C29" w:rsidRPr="009C50C5">
        <w:rPr>
          <w:b/>
          <w:bCs/>
        </w:rPr>
        <w:t>) shall be performed over the same RACH resources</w:t>
      </w:r>
      <w:r w:rsidRPr="009C50C5">
        <w:rPr>
          <w:b/>
          <w:bCs/>
        </w:rPr>
        <w:t xml:space="preserve"> (and same carrier – NUL/SUL)</w:t>
      </w:r>
      <w:r w:rsidR="00A31C29" w:rsidRPr="009C50C5">
        <w:rPr>
          <w:b/>
          <w:bCs/>
        </w:rPr>
        <w:t xml:space="preserve"> as the one selected for initial RACH resource </w:t>
      </w:r>
    </w:p>
    <w:p w14:paraId="52255E5F" w14:textId="7405F811" w:rsidR="009C50C5" w:rsidRPr="00DF3222" w:rsidRDefault="00A31C29" w:rsidP="00DF3222">
      <w:pPr>
        <w:pStyle w:val="ListParagraph"/>
        <w:numPr>
          <w:ilvl w:val="1"/>
          <w:numId w:val="12"/>
        </w:numPr>
        <w:ind w:firstLineChars="0"/>
        <w:rPr>
          <w:b/>
          <w:bCs/>
        </w:rPr>
      </w:pPr>
      <w:r w:rsidRPr="009C50C5">
        <w:rPr>
          <w:b/>
          <w:bCs/>
        </w:rPr>
        <w:t>The only exception to the above is the already allowed fallback</w:t>
      </w:r>
      <w:r w:rsidR="00D51EFA">
        <w:rPr>
          <w:b/>
          <w:bCs/>
        </w:rPr>
        <w:t xml:space="preserve">s </w:t>
      </w:r>
      <w:r w:rsidRPr="009C50C5">
        <w:rPr>
          <w:b/>
          <w:bCs/>
        </w:rPr>
        <w:t>until Rel-16 (</w:t>
      </w:r>
      <w:r w:rsidR="00D51EFA">
        <w:rPr>
          <w:b/>
          <w:bCs/>
        </w:rPr>
        <w:t>i.e</w:t>
      </w:r>
      <w:r w:rsidRPr="009C50C5">
        <w:rPr>
          <w:b/>
          <w:bCs/>
        </w:rPr>
        <w:t>.</w:t>
      </w:r>
      <w:r w:rsidR="00A70B89">
        <w:rPr>
          <w:b/>
          <w:bCs/>
        </w:rPr>
        <w:t>,</w:t>
      </w:r>
      <w:r w:rsidRPr="009C50C5">
        <w:rPr>
          <w:b/>
          <w:bCs/>
        </w:rPr>
        <w:t xml:space="preserve"> fallback from CFRA to CBRA and fallback from 2-step RA to 4-step RA)</w:t>
      </w:r>
      <w:r w:rsidR="00D51EFA">
        <w:rPr>
          <w:b/>
          <w:bCs/>
        </w:rPr>
        <w:t xml:space="preserve"> and network implementation should ensure that the feature is supported on the new RA resources after such fallback</w:t>
      </w:r>
    </w:p>
    <w:p w14:paraId="7BC83F9E" w14:textId="58E6D468" w:rsidR="00EC3538" w:rsidRDefault="00EC3538" w:rsidP="00EC353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Conclusions and proposals</w:t>
      </w:r>
    </w:p>
    <w:p w14:paraId="14AA1EC9" w14:textId="77777777" w:rsidR="00BE44D8" w:rsidRDefault="00BE44D8" w:rsidP="00BE44D8">
      <w:pPr>
        <w:rPr>
          <w:b/>
          <w:bCs/>
        </w:rPr>
      </w:pPr>
      <w:r w:rsidRPr="00472811">
        <w:rPr>
          <w:b/>
          <w:bCs/>
        </w:rPr>
        <w:t xml:space="preserve">Proposal 1: </w:t>
      </w:r>
      <w:r>
        <w:rPr>
          <w:b/>
          <w:bCs/>
        </w:rPr>
        <w:t>On a given RO, only the following combination of Rel-17 features will be supported (i.e., signalling can support these combinations in addition to the Rel-16 features)</w:t>
      </w:r>
    </w:p>
    <w:p w14:paraId="5D6BBB1E" w14:textId="77777777" w:rsidR="00BE44D8" w:rsidRDefault="00BE44D8" w:rsidP="00BE44D8">
      <w:pPr>
        <w:pStyle w:val="ListParagraph"/>
        <w:numPr>
          <w:ilvl w:val="0"/>
          <w:numId w:val="12"/>
        </w:numPr>
        <w:ind w:firstLineChars="0"/>
        <w:rPr>
          <w:b/>
          <w:bCs/>
        </w:rPr>
      </w:pPr>
      <w:r>
        <w:rPr>
          <w:b/>
          <w:bCs/>
        </w:rPr>
        <w:t>SDT with: REDCAP and/or Slice Indication (for some slices – up to network implementation)</w:t>
      </w:r>
    </w:p>
    <w:p w14:paraId="08F64D49" w14:textId="77777777" w:rsidR="00BE44D8" w:rsidRPr="00322FD8" w:rsidRDefault="00BE44D8" w:rsidP="00BE44D8">
      <w:pPr>
        <w:pStyle w:val="ListParagraph"/>
        <w:numPr>
          <w:ilvl w:val="0"/>
          <w:numId w:val="12"/>
        </w:numPr>
        <w:ind w:firstLineChars="0"/>
        <w:rPr>
          <w:b/>
          <w:bCs/>
        </w:rPr>
      </w:pPr>
      <w:r>
        <w:rPr>
          <w:b/>
          <w:bCs/>
        </w:rPr>
        <w:t>REDCAP with: Coverage extension and/or Slice Indication (for some slices – up to network implementation)</w:t>
      </w:r>
    </w:p>
    <w:p w14:paraId="6BFFA5C2" w14:textId="77777777" w:rsidR="00BE44D8" w:rsidRDefault="00BE44D8" w:rsidP="00BE44D8">
      <w:pPr>
        <w:ind w:left="360"/>
        <w:rPr>
          <w:b/>
          <w:bCs/>
        </w:rPr>
      </w:pPr>
      <w:r>
        <w:rPr>
          <w:b/>
          <w:bCs/>
        </w:rPr>
        <w:t>Note 1: combination of SDT with coverage extension is not supported</w:t>
      </w:r>
    </w:p>
    <w:p w14:paraId="4987052D" w14:textId="3ED04538" w:rsidR="00BE44D8" w:rsidRDefault="00BE44D8" w:rsidP="00BE44D8">
      <w:pPr>
        <w:ind w:left="360"/>
        <w:rPr>
          <w:b/>
          <w:bCs/>
        </w:rPr>
      </w:pPr>
      <w:r>
        <w:rPr>
          <w:b/>
          <w:bCs/>
        </w:rPr>
        <w:t>Note 2: combination of coverage extension with 2-step RACH is also not supported</w:t>
      </w:r>
    </w:p>
    <w:p w14:paraId="56FC4AFC" w14:textId="77777777" w:rsidR="00D51EFA" w:rsidRDefault="00D51EFA" w:rsidP="00BE44D8">
      <w:pPr>
        <w:ind w:left="360"/>
        <w:rPr>
          <w:b/>
          <w:bCs/>
        </w:rPr>
      </w:pPr>
    </w:p>
    <w:p w14:paraId="5BDE795F" w14:textId="77777777" w:rsidR="00BE44D8" w:rsidRDefault="00BE44D8" w:rsidP="00BE44D8">
      <w:pPr>
        <w:rPr>
          <w:b/>
          <w:bCs/>
        </w:rPr>
      </w:pPr>
      <w:r>
        <w:rPr>
          <w:b/>
          <w:bCs/>
        </w:rPr>
        <w:t>Proposal 2: RO-Mask can be defined for Rel-17 features to enable configuring a subset of ROs for a given feature</w:t>
      </w:r>
    </w:p>
    <w:p w14:paraId="480E41E6" w14:textId="77777777" w:rsidR="00D51EFA" w:rsidRDefault="00D51EFA" w:rsidP="00BE44D8">
      <w:pPr>
        <w:rPr>
          <w:b/>
          <w:bCs/>
        </w:rPr>
      </w:pPr>
    </w:p>
    <w:p w14:paraId="00E30C2E" w14:textId="27D596FD" w:rsidR="00BE44D8" w:rsidRPr="00AA0516" w:rsidRDefault="00BE44D8" w:rsidP="00BE44D8">
      <w:pPr>
        <w:rPr>
          <w:b/>
          <w:bCs/>
        </w:rPr>
      </w:pPr>
      <w:r w:rsidRPr="00AA0516">
        <w:rPr>
          <w:b/>
          <w:bCs/>
        </w:rPr>
        <w:t xml:space="preserve">Proposal </w:t>
      </w:r>
      <w:r>
        <w:rPr>
          <w:b/>
          <w:bCs/>
        </w:rPr>
        <w:t>3</w:t>
      </w:r>
      <w:r w:rsidRPr="00AA0516">
        <w:rPr>
          <w:b/>
          <w:bCs/>
        </w:rPr>
        <w:t xml:space="preserve">: Within a given RO, the allowed combination of Rel-17 features (see proposal 1) should be accommodated within the preamble space reserved for other purpose </w:t>
      </w:r>
      <w:r>
        <w:rPr>
          <w:b/>
          <w:bCs/>
        </w:rPr>
        <w:t>for</w:t>
      </w:r>
      <w:r w:rsidRPr="00AA0516">
        <w:rPr>
          <w:b/>
          <w:bCs/>
        </w:rPr>
        <w:t xml:space="preserve"> each SSB and the details of the signalling for this should be further worked out in RAN2</w:t>
      </w:r>
    </w:p>
    <w:p w14:paraId="1A5DC068" w14:textId="77777777" w:rsidR="00D51EFA" w:rsidRDefault="00D51EFA" w:rsidP="00BE44D8">
      <w:pPr>
        <w:rPr>
          <w:b/>
          <w:bCs/>
        </w:rPr>
      </w:pPr>
    </w:p>
    <w:p w14:paraId="2156EBF2" w14:textId="6602F429" w:rsidR="00BE44D8" w:rsidRPr="009C50C5" w:rsidRDefault="00BE44D8" w:rsidP="00BE44D8">
      <w:pPr>
        <w:rPr>
          <w:b/>
          <w:bCs/>
        </w:rPr>
      </w:pPr>
      <w:r w:rsidRPr="009C50C5">
        <w:rPr>
          <w:b/>
          <w:bCs/>
        </w:rPr>
        <w:t xml:space="preserve">Proposal </w:t>
      </w:r>
      <w:r>
        <w:rPr>
          <w:b/>
          <w:bCs/>
        </w:rPr>
        <w:t>4</w:t>
      </w:r>
      <w:r w:rsidRPr="009C50C5">
        <w:rPr>
          <w:b/>
          <w:bCs/>
        </w:rPr>
        <w:t xml:space="preserve">: The RA procedure design for Rel-17 should adhere to the following general principles: </w:t>
      </w:r>
    </w:p>
    <w:p w14:paraId="1EA67557" w14:textId="77777777" w:rsidR="00BE44D8" w:rsidRDefault="00BE44D8" w:rsidP="00BE44D8">
      <w:pPr>
        <w:pStyle w:val="ListParagraph"/>
        <w:numPr>
          <w:ilvl w:val="0"/>
          <w:numId w:val="12"/>
        </w:numPr>
        <w:ind w:firstLineChars="0"/>
        <w:rPr>
          <w:b/>
          <w:bCs/>
        </w:rPr>
      </w:pPr>
      <w:r w:rsidRPr="009C50C5">
        <w:rPr>
          <w:b/>
          <w:bCs/>
        </w:rPr>
        <w:t xml:space="preserve">Carrier selection (between NUL/SUL) should happen ahead of the initial RACH resource selection </w:t>
      </w:r>
    </w:p>
    <w:p w14:paraId="72F04216" w14:textId="77777777" w:rsidR="00BE44D8" w:rsidRPr="009C50C5" w:rsidRDefault="00BE44D8" w:rsidP="00BE44D8">
      <w:pPr>
        <w:pStyle w:val="ListParagraph"/>
        <w:numPr>
          <w:ilvl w:val="1"/>
          <w:numId w:val="12"/>
        </w:numPr>
        <w:ind w:firstLineChars="0"/>
        <w:rPr>
          <w:b/>
          <w:bCs/>
        </w:rPr>
      </w:pPr>
      <w:r>
        <w:rPr>
          <w:b/>
          <w:bCs/>
        </w:rPr>
        <w:t>The RSRP threshold for carrier selection may be configured per each feature</w:t>
      </w:r>
    </w:p>
    <w:p w14:paraId="06244663" w14:textId="77777777" w:rsidR="00BE44D8" w:rsidRPr="009C50C5" w:rsidRDefault="00BE44D8" w:rsidP="00BE44D8">
      <w:pPr>
        <w:pStyle w:val="ListParagraph"/>
        <w:numPr>
          <w:ilvl w:val="0"/>
          <w:numId w:val="12"/>
        </w:numPr>
        <w:ind w:firstLineChars="0"/>
        <w:rPr>
          <w:b/>
          <w:bCs/>
        </w:rPr>
      </w:pPr>
      <w:r w:rsidRPr="009C50C5">
        <w:rPr>
          <w:b/>
          <w:bCs/>
        </w:rPr>
        <w:t>Initial RACH resource should be selected based on the selected carrier for the selected feature combination (i.e.</w:t>
      </w:r>
      <w:r>
        <w:rPr>
          <w:b/>
          <w:bCs/>
        </w:rPr>
        <w:t>,</w:t>
      </w:r>
      <w:r w:rsidRPr="009C50C5">
        <w:rPr>
          <w:b/>
          <w:bCs/>
        </w:rPr>
        <w:t xml:space="preserve"> selected slice, SDT or not, REDCAP or not etc)</w:t>
      </w:r>
    </w:p>
    <w:p w14:paraId="38ACED8D" w14:textId="77777777" w:rsidR="00BE44D8" w:rsidRPr="009C50C5" w:rsidRDefault="00BE44D8" w:rsidP="00BE44D8">
      <w:pPr>
        <w:pStyle w:val="ListParagraph"/>
        <w:numPr>
          <w:ilvl w:val="0"/>
          <w:numId w:val="12"/>
        </w:numPr>
        <w:ind w:firstLineChars="0"/>
        <w:rPr>
          <w:b/>
          <w:bCs/>
        </w:rPr>
      </w:pPr>
      <w:r w:rsidRPr="009C50C5">
        <w:rPr>
          <w:b/>
          <w:bCs/>
        </w:rPr>
        <w:t>As a general rule, all RACH retransmissions (</w:t>
      </w:r>
      <w:r>
        <w:rPr>
          <w:b/>
          <w:bCs/>
        </w:rPr>
        <w:t xml:space="preserve">if any are needed, </w:t>
      </w:r>
      <w:r w:rsidRPr="009C50C5">
        <w:rPr>
          <w:b/>
          <w:bCs/>
        </w:rPr>
        <w:t>until RACH failure</w:t>
      </w:r>
      <w:r>
        <w:rPr>
          <w:b/>
          <w:bCs/>
        </w:rPr>
        <w:t xml:space="preserve"> happens</w:t>
      </w:r>
      <w:r w:rsidRPr="009C50C5">
        <w:rPr>
          <w:b/>
          <w:bCs/>
        </w:rPr>
        <w:t xml:space="preserve">) shall be performed over the same RACH resources (and same carrier – NUL/SUL) as the one selected for initial RACH resource </w:t>
      </w:r>
    </w:p>
    <w:p w14:paraId="08A86250" w14:textId="77777777" w:rsidR="00D51EFA" w:rsidRPr="00DF3222" w:rsidRDefault="00D51EFA" w:rsidP="00D51EFA">
      <w:pPr>
        <w:pStyle w:val="ListParagraph"/>
        <w:numPr>
          <w:ilvl w:val="1"/>
          <w:numId w:val="12"/>
        </w:numPr>
        <w:ind w:firstLineChars="0"/>
        <w:rPr>
          <w:b/>
          <w:bCs/>
        </w:rPr>
      </w:pPr>
      <w:r w:rsidRPr="009C50C5">
        <w:rPr>
          <w:b/>
          <w:bCs/>
        </w:rPr>
        <w:t>The only exception to the above is the already allowed fallback</w:t>
      </w:r>
      <w:r>
        <w:rPr>
          <w:b/>
          <w:bCs/>
        </w:rPr>
        <w:t xml:space="preserve">s </w:t>
      </w:r>
      <w:r w:rsidRPr="009C50C5">
        <w:rPr>
          <w:b/>
          <w:bCs/>
        </w:rPr>
        <w:t>until Rel-16 (</w:t>
      </w:r>
      <w:r>
        <w:rPr>
          <w:b/>
          <w:bCs/>
        </w:rPr>
        <w:t>i.e</w:t>
      </w:r>
      <w:r w:rsidRPr="009C50C5">
        <w:rPr>
          <w:b/>
          <w:bCs/>
        </w:rPr>
        <w:t>.</w:t>
      </w:r>
      <w:r>
        <w:rPr>
          <w:b/>
          <w:bCs/>
        </w:rPr>
        <w:t>,</w:t>
      </w:r>
      <w:r w:rsidRPr="009C50C5">
        <w:rPr>
          <w:b/>
          <w:bCs/>
        </w:rPr>
        <w:t xml:space="preserve"> fallback from CFRA to CBRA and fallback from 2-step RA to 4-step RA)</w:t>
      </w:r>
      <w:r>
        <w:rPr>
          <w:b/>
          <w:bCs/>
        </w:rPr>
        <w:t xml:space="preserve"> and network implementation should ensure that the feature is supported on the new RA resources after such fallback</w:t>
      </w:r>
    </w:p>
    <w:p w14:paraId="7CC9F55E" w14:textId="14297D41" w:rsidR="00EC3538" w:rsidRDefault="00EC3538" w:rsidP="00EC353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p>
    <w:p w14:paraId="3EC3E22A" w14:textId="77777777" w:rsidR="00EC3538" w:rsidRPr="00EC3538" w:rsidRDefault="00EC3538" w:rsidP="00EC3538"/>
    <w:sectPr w:rsidR="00EC3538" w:rsidRPr="00EC3538" w:rsidSect="00472811">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0C01" w14:textId="77777777" w:rsidR="00474EDA" w:rsidRDefault="00474EDA">
      <w:pPr>
        <w:spacing w:after="0" w:line="240" w:lineRule="auto"/>
      </w:pPr>
      <w:r>
        <w:separator/>
      </w:r>
    </w:p>
  </w:endnote>
  <w:endnote w:type="continuationSeparator" w:id="0">
    <w:p w14:paraId="6A7EE459" w14:textId="77777777" w:rsidR="00474EDA" w:rsidRDefault="00474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201A" w14:textId="77777777" w:rsidR="008327D8" w:rsidRDefault="003D0F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076BD" w14:textId="77777777" w:rsidR="008327D8" w:rsidRDefault="00832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5AF" w14:textId="77777777" w:rsidR="008327D8" w:rsidRDefault="008327D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2BA9" w14:textId="77777777" w:rsidR="00D51EFA" w:rsidRDefault="00D51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7FDAA" w14:textId="77777777" w:rsidR="00474EDA" w:rsidRDefault="00474EDA">
      <w:pPr>
        <w:spacing w:after="0" w:line="240" w:lineRule="auto"/>
      </w:pPr>
      <w:r>
        <w:separator/>
      </w:r>
    </w:p>
  </w:footnote>
  <w:footnote w:type="continuationSeparator" w:id="0">
    <w:p w14:paraId="51EFF3EB" w14:textId="77777777" w:rsidR="00474EDA" w:rsidRDefault="00474E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0564" w14:textId="77777777" w:rsidR="00D51EFA" w:rsidRDefault="00D51E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0E42" w14:textId="77777777" w:rsidR="008327D8" w:rsidRDefault="008327D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C2003" w14:textId="77777777" w:rsidR="00D51EFA" w:rsidRDefault="00D51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403F57"/>
    <w:multiLevelType w:val="hybridMultilevel"/>
    <w:tmpl w:val="383825BC"/>
    <w:lvl w:ilvl="0" w:tplc="0809000F">
      <w:start w:val="1"/>
      <w:numFmt w:val="decimal"/>
      <w:lvlText w:val="%1."/>
      <w:lvlJc w:val="left"/>
      <w:pPr>
        <w:ind w:left="720" w:hanging="360"/>
      </w:pPr>
      <w:rPr>
        <w:rFonts w:hint="default"/>
        <w:color w:val="000000"/>
        <w:sz w:val="2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F487D84"/>
    <w:multiLevelType w:val="hybridMultilevel"/>
    <w:tmpl w:val="22801290"/>
    <w:lvl w:ilvl="0" w:tplc="666E0A72">
      <w:numFmt w:val="bullet"/>
      <w:lvlText w:val="-"/>
      <w:lvlJc w:val="left"/>
      <w:pPr>
        <w:ind w:left="720" w:hanging="360"/>
      </w:pPr>
      <w:rPr>
        <w:rFonts w:ascii="Arial" w:eastAsia="Calibri" w:hAnsi="Arial" w:cs="Arial" w:hint="default"/>
        <w:color w:val="000000"/>
        <w:sz w:val="2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1"/>
  </w:num>
  <w:num w:numId="6">
    <w:abstractNumId w:val="2"/>
  </w:num>
  <w:num w:numId="7">
    <w:abstractNumId w:val="7"/>
  </w:num>
  <w:num w:numId="8">
    <w:abstractNumId w:val="3"/>
  </w:num>
  <w:num w:numId="9">
    <w:abstractNumId w:val="4"/>
  </w:num>
  <w:num w:numId="10">
    <w:abstractNumId w:val="12"/>
  </w:num>
  <w:num w:numId="11">
    <w:abstractNumId w:val="1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04E1"/>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214"/>
    <w:rsid w:val="001413B6"/>
    <w:rsid w:val="00141835"/>
    <w:rsid w:val="00145AFF"/>
    <w:rsid w:val="00145B62"/>
    <w:rsid w:val="00147740"/>
    <w:rsid w:val="00150BAB"/>
    <w:rsid w:val="00160A40"/>
    <w:rsid w:val="00162611"/>
    <w:rsid w:val="001627D9"/>
    <w:rsid w:val="00170667"/>
    <w:rsid w:val="00170C6A"/>
    <w:rsid w:val="00171AD5"/>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3292"/>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66FF"/>
    <w:rsid w:val="002013C9"/>
    <w:rsid w:val="00201FFE"/>
    <w:rsid w:val="00202C4B"/>
    <w:rsid w:val="00203B88"/>
    <w:rsid w:val="00206380"/>
    <w:rsid w:val="00213A63"/>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5BA"/>
    <w:rsid w:val="00244D42"/>
    <w:rsid w:val="00246FFA"/>
    <w:rsid w:val="00247076"/>
    <w:rsid w:val="00247683"/>
    <w:rsid w:val="00252B94"/>
    <w:rsid w:val="00254410"/>
    <w:rsid w:val="00255974"/>
    <w:rsid w:val="00255E19"/>
    <w:rsid w:val="00256C2E"/>
    <w:rsid w:val="00257233"/>
    <w:rsid w:val="00260716"/>
    <w:rsid w:val="0026193E"/>
    <w:rsid w:val="00261A9C"/>
    <w:rsid w:val="00261DF1"/>
    <w:rsid w:val="00261E11"/>
    <w:rsid w:val="00262518"/>
    <w:rsid w:val="00263A3D"/>
    <w:rsid w:val="00264137"/>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6DCB"/>
    <w:rsid w:val="002E7525"/>
    <w:rsid w:val="002F01CA"/>
    <w:rsid w:val="002F03EC"/>
    <w:rsid w:val="002F1163"/>
    <w:rsid w:val="002F14AB"/>
    <w:rsid w:val="002F2924"/>
    <w:rsid w:val="002F2A48"/>
    <w:rsid w:val="002F3161"/>
    <w:rsid w:val="002F47CF"/>
    <w:rsid w:val="002F5078"/>
    <w:rsid w:val="002F5517"/>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2FD8"/>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62B1"/>
    <w:rsid w:val="003662C2"/>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264A"/>
    <w:rsid w:val="00453750"/>
    <w:rsid w:val="00454BF1"/>
    <w:rsid w:val="0045637C"/>
    <w:rsid w:val="00456668"/>
    <w:rsid w:val="00457C38"/>
    <w:rsid w:val="0046088D"/>
    <w:rsid w:val="00460FF4"/>
    <w:rsid w:val="00461175"/>
    <w:rsid w:val="00462A87"/>
    <w:rsid w:val="00462F02"/>
    <w:rsid w:val="00466EDC"/>
    <w:rsid w:val="00467368"/>
    <w:rsid w:val="00467D25"/>
    <w:rsid w:val="00470697"/>
    <w:rsid w:val="004727D9"/>
    <w:rsid w:val="00472811"/>
    <w:rsid w:val="0047305C"/>
    <w:rsid w:val="0047403A"/>
    <w:rsid w:val="00474161"/>
    <w:rsid w:val="004742B2"/>
    <w:rsid w:val="00474C36"/>
    <w:rsid w:val="00474EDA"/>
    <w:rsid w:val="00475E38"/>
    <w:rsid w:val="004779B8"/>
    <w:rsid w:val="0048006F"/>
    <w:rsid w:val="00482BBB"/>
    <w:rsid w:val="00483389"/>
    <w:rsid w:val="00485114"/>
    <w:rsid w:val="00485594"/>
    <w:rsid w:val="00485AE4"/>
    <w:rsid w:val="00486111"/>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417"/>
    <w:rsid w:val="004B5502"/>
    <w:rsid w:val="004B71F4"/>
    <w:rsid w:val="004B76B6"/>
    <w:rsid w:val="004C09FF"/>
    <w:rsid w:val="004C0B5E"/>
    <w:rsid w:val="004C16C3"/>
    <w:rsid w:val="004C16F8"/>
    <w:rsid w:val="004C21A1"/>
    <w:rsid w:val="004C57F8"/>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95BE7"/>
    <w:rsid w:val="00597D1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49A"/>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390"/>
    <w:rsid w:val="006357BD"/>
    <w:rsid w:val="006408DC"/>
    <w:rsid w:val="006413AD"/>
    <w:rsid w:val="00643A7A"/>
    <w:rsid w:val="0064545A"/>
    <w:rsid w:val="00645C93"/>
    <w:rsid w:val="006503F8"/>
    <w:rsid w:val="00650D0F"/>
    <w:rsid w:val="00651856"/>
    <w:rsid w:val="006521E7"/>
    <w:rsid w:val="0065579F"/>
    <w:rsid w:val="0065726E"/>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340"/>
    <w:rsid w:val="006B2F1E"/>
    <w:rsid w:val="006B3DD7"/>
    <w:rsid w:val="006B48F1"/>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468E"/>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0099"/>
    <w:rsid w:val="0081138F"/>
    <w:rsid w:val="00814945"/>
    <w:rsid w:val="00814985"/>
    <w:rsid w:val="0081500E"/>
    <w:rsid w:val="008160BF"/>
    <w:rsid w:val="00816F96"/>
    <w:rsid w:val="008170EC"/>
    <w:rsid w:val="008175D4"/>
    <w:rsid w:val="008219AF"/>
    <w:rsid w:val="00823AF8"/>
    <w:rsid w:val="008267CB"/>
    <w:rsid w:val="00827512"/>
    <w:rsid w:val="008327D8"/>
    <w:rsid w:val="00835356"/>
    <w:rsid w:val="00836D5A"/>
    <w:rsid w:val="00837770"/>
    <w:rsid w:val="0083795A"/>
    <w:rsid w:val="00837C9F"/>
    <w:rsid w:val="00840E98"/>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C82"/>
    <w:rsid w:val="00891E8C"/>
    <w:rsid w:val="008937A3"/>
    <w:rsid w:val="0089509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27D93"/>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2086"/>
    <w:rsid w:val="009C3006"/>
    <w:rsid w:val="009C50C5"/>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6C12"/>
    <w:rsid w:val="00A275B2"/>
    <w:rsid w:val="00A2769F"/>
    <w:rsid w:val="00A27E76"/>
    <w:rsid w:val="00A27F01"/>
    <w:rsid w:val="00A31A13"/>
    <w:rsid w:val="00A31A7B"/>
    <w:rsid w:val="00A31C29"/>
    <w:rsid w:val="00A323D7"/>
    <w:rsid w:val="00A32701"/>
    <w:rsid w:val="00A32A1D"/>
    <w:rsid w:val="00A330EB"/>
    <w:rsid w:val="00A334CC"/>
    <w:rsid w:val="00A34B44"/>
    <w:rsid w:val="00A40F4B"/>
    <w:rsid w:val="00A4263A"/>
    <w:rsid w:val="00A44BE1"/>
    <w:rsid w:val="00A4500D"/>
    <w:rsid w:val="00A504A8"/>
    <w:rsid w:val="00A527D9"/>
    <w:rsid w:val="00A53CDD"/>
    <w:rsid w:val="00A542B8"/>
    <w:rsid w:val="00A54719"/>
    <w:rsid w:val="00A5709E"/>
    <w:rsid w:val="00A612B9"/>
    <w:rsid w:val="00A648A1"/>
    <w:rsid w:val="00A66B14"/>
    <w:rsid w:val="00A66CF8"/>
    <w:rsid w:val="00A70B89"/>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0516"/>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B6BB3"/>
    <w:rsid w:val="00AC4276"/>
    <w:rsid w:val="00AC464D"/>
    <w:rsid w:val="00AC51E8"/>
    <w:rsid w:val="00AC70FC"/>
    <w:rsid w:val="00AD03FA"/>
    <w:rsid w:val="00AD0CA9"/>
    <w:rsid w:val="00AD1C5F"/>
    <w:rsid w:val="00AD2407"/>
    <w:rsid w:val="00AD391F"/>
    <w:rsid w:val="00AD3D0C"/>
    <w:rsid w:val="00AD3E16"/>
    <w:rsid w:val="00AD5FBC"/>
    <w:rsid w:val="00AD6279"/>
    <w:rsid w:val="00AD62D8"/>
    <w:rsid w:val="00AD6B6A"/>
    <w:rsid w:val="00AD7273"/>
    <w:rsid w:val="00AE03D3"/>
    <w:rsid w:val="00AE5146"/>
    <w:rsid w:val="00AE55C5"/>
    <w:rsid w:val="00AE5A4F"/>
    <w:rsid w:val="00AE7B16"/>
    <w:rsid w:val="00AF0B65"/>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5DB"/>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C03E1"/>
    <w:rsid w:val="00BC34F8"/>
    <w:rsid w:val="00BC4593"/>
    <w:rsid w:val="00BC64DB"/>
    <w:rsid w:val="00BC6C9C"/>
    <w:rsid w:val="00BC6CA4"/>
    <w:rsid w:val="00BD05BF"/>
    <w:rsid w:val="00BD464A"/>
    <w:rsid w:val="00BD4793"/>
    <w:rsid w:val="00BD6CFB"/>
    <w:rsid w:val="00BD7D09"/>
    <w:rsid w:val="00BE28BE"/>
    <w:rsid w:val="00BE2902"/>
    <w:rsid w:val="00BE42CB"/>
    <w:rsid w:val="00BE44D8"/>
    <w:rsid w:val="00BE6162"/>
    <w:rsid w:val="00BE6C9C"/>
    <w:rsid w:val="00BF0409"/>
    <w:rsid w:val="00BF0850"/>
    <w:rsid w:val="00BF1509"/>
    <w:rsid w:val="00BF1513"/>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576D"/>
    <w:rsid w:val="00C67235"/>
    <w:rsid w:val="00C67382"/>
    <w:rsid w:val="00C72471"/>
    <w:rsid w:val="00C72A2D"/>
    <w:rsid w:val="00C72B4C"/>
    <w:rsid w:val="00C73ACB"/>
    <w:rsid w:val="00C7665D"/>
    <w:rsid w:val="00C8086B"/>
    <w:rsid w:val="00C82D97"/>
    <w:rsid w:val="00C84D14"/>
    <w:rsid w:val="00C909CA"/>
    <w:rsid w:val="00C91C45"/>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B7DDE"/>
    <w:rsid w:val="00CC10DA"/>
    <w:rsid w:val="00CC156D"/>
    <w:rsid w:val="00CC1CA4"/>
    <w:rsid w:val="00CC2929"/>
    <w:rsid w:val="00CC58C3"/>
    <w:rsid w:val="00CC7F10"/>
    <w:rsid w:val="00CD16C7"/>
    <w:rsid w:val="00CD229F"/>
    <w:rsid w:val="00CD2E60"/>
    <w:rsid w:val="00CE2D1F"/>
    <w:rsid w:val="00CE316E"/>
    <w:rsid w:val="00CE3462"/>
    <w:rsid w:val="00CE4B13"/>
    <w:rsid w:val="00CE52F0"/>
    <w:rsid w:val="00CE5686"/>
    <w:rsid w:val="00CE7389"/>
    <w:rsid w:val="00CF121A"/>
    <w:rsid w:val="00CF18A3"/>
    <w:rsid w:val="00CF356A"/>
    <w:rsid w:val="00CF4A61"/>
    <w:rsid w:val="00CF4B9A"/>
    <w:rsid w:val="00CF7088"/>
    <w:rsid w:val="00D0108B"/>
    <w:rsid w:val="00D029CB"/>
    <w:rsid w:val="00D04274"/>
    <w:rsid w:val="00D05A8B"/>
    <w:rsid w:val="00D0622A"/>
    <w:rsid w:val="00D06659"/>
    <w:rsid w:val="00D06868"/>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2FAE"/>
    <w:rsid w:val="00D4448D"/>
    <w:rsid w:val="00D45E14"/>
    <w:rsid w:val="00D4755C"/>
    <w:rsid w:val="00D51EFA"/>
    <w:rsid w:val="00D52834"/>
    <w:rsid w:val="00D544FE"/>
    <w:rsid w:val="00D5596F"/>
    <w:rsid w:val="00D55C96"/>
    <w:rsid w:val="00D56F3F"/>
    <w:rsid w:val="00D61F13"/>
    <w:rsid w:val="00D672D6"/>
    <w:rsid w:val="00D67D4A"/>
    <w:rsid w:val="00D70434"/>
    <w:rsid w:val="00D708A4"/>
    <w:rsid w:val="00D70B9D"/>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2C6"/>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222"/>
    <w:rsid w:val="00DF365A"/>
    <w:rsid w:val="00DF4CBC"/>
    <w:rsid w:val="00DF5370"/>
    <w:rsid w:val="00DF7E4D"/>
    <w:rsid w:val="00E0032E"/>
    <w:rsid w:val="00E00DF4"/>
    <w:rsid w:val="00E0205D"/>
    <w:rsid w:val="00E0313E"/>
    <w:rsid w:val="00E0491A"/>
    <w:rsid w:val="00E0557E"/>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1BB6"/>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3538"/>
    <w:rsid w:val="00EC465B"/>
    <w:rsid w:val="00EC5A04"/>
    <w:rsid w:val="00EC7D8F"/>
    <w:rsid w:val="00EC7E1A"/>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07E8"/>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1096"/>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C244"/>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2" w:unhideWhenUsed="1"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468539">
      <w:bodyDiv w:val="1"/>
      <w:marLeft w:val="0"/>
      <w:marRight w:val="0"/>
      <w:marTop w:val="0"/>
      <w:marBottom w:val="0"/>
      <w:divBdr>
        <w:top w:val="none" w:sz="0" w:space="0" w:color="auto"/>
        <w:left w:val="none" w:sz="0" w:space="0" w:color="auto"/>
        <w:bottom w:val="none" w:sz="0" w:space="0" w:color="auto"/>
        <w:right w:val="none" w:sz="0" w:space="0" w:color="auto"/>
      </w:divBdr>
    </w:div>
    <w:div w:id="994995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R2#113b</cp:lastModifiedBy>
  <cp:revision>15</cp:revision>
  <cp:lastPrinted>2113-01-01T00:00:00Z</cp:lastPrinted>
  <dcterms:created xsi:type="dcterms:W3CDTF">2021-05-12T10:43:00Z</dcterms:created>
  <dcterms:modified xsi:type="dcterms:W3CDTF">2021-05-12T13:43:00Z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