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82"/>
        <w:tabs>
          <w:tab w:val="right" w:pos="9639"/>
        </w:tabs>
        <w:spacing w:after="0"/>
        <w:jc w:val="both"/>
        <w:rPr>
          <w:rFonts w:hint="default" w:ascii="Times New Roman" w:hAnsi="Times New Roman" w:eastAsia="宋体"/>
          <w:b w:val="0"/>
          <w:bCs/>
          <w:i/>
          <w:sz w:val="21"/>
          <w:szCs w:val="21"/>
          <w:lang w:val="en-US" w:eastAsia="zh-CN"/>
        </w:rPr>
      </w:pPr>
      <w:r>
        <w:rPr>
          <w:rFonts w:ascii="Times New Roman" w:hAnsi="Times New Roman"/>
          <w:b/>
          <w:sz w:val="24"/>
        </w:rPr>
        <w:t>3GPP TSG-RAN WG2 Meeting #1</w:t>
      </w:r>
      <w:r>
        <w:rPr>
          <w:rFonts w:ascii="Times New Roman" w:hAnsi="Times New Roman" w:eastAsia="宋体"/>
          <w:b/>
          <w:sz w:val="24"/>
          <w:lang w:val="en-US" w:eastAsia="zh-CN"/>
        </w:rPr>
        <w:t>1</w:t>
      </w:r>
      <w:r>
        <w:rPr>
          <w:rFonts w:hint="eastAsia" w:ascii="Times New Roman" w:hAnsi="Times New Roman" w:eastAsia="宋体"/>
          <w:b/>
          <w:sz w:val="24"/>
          <w:lang w:val="en-US" w:eastAsia="zh-CN"/>
        </w:rPr>
        <w:t>4</w:t>
      </w:r>
      <w:r>
        <w:rPr>
          <w:rFonts w:ascii="Times New Roman" w:hAnsi="Times New Roman" w:eastAsia="宋体"/>
          <w:b/>
          <w:sz w:val="24"/>
          <w:lang w:val="en-US" w:eastAsia="zh-CN"/>
        </w:rPr>
        <w:t>-e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 w:eastAsia="宋体"/>
          <w:b/>
          <w:sz w:val="24"/>
          <w:lang w:val="en-US" w:eastAsia="zh-CN"/>
        </w:rPr>
        <w:t xml:space="preserve">  </w:t>
      </w:r>
      <w:r>
        <w:rPr>
          <w:rFonts w:hint="eastAsia" w:ascii="Times New Roman" w:hAnsi="Times New Roman" w:eastAsia="宋体"/>
          <w:b/>
          <w:sz w:val="24"/>
          <w:lang w:val="en-US" w:eastAsia="zh-CN"/>
        </w:rPr>
        <w:t xml:space="preserve"> </w:t>
      </w:r>
      <w:r>
        <w:rPr>
          <w:rFonts w:ascii="Times New Roman" w:hAnsi="Times New Roman" w:eastAsia="宋体"/>
          <w:b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b w:val="0"/>
          <w:bCs/>
          <w:sz w:val="24"/>
          <w:lang w:val="en-US" w:eastAsia="zh-CN"/>
        </w:rPr>
        <w:t xml:space="preserve"> R2-2106451(</w:t>
      </w:r>
      <w:r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  <w:t xml:space="preserve">Revision of </w:t>
      </w:r>
      <w:r>
        <w:rPr>
          <w:rFonts w:ascii="Times New Roman" w:hAnsi="Times New Roman"/>
          <w:b w:val="0"/>
          <w:bCs/>
          <w:i/>
          <w:sz w:val="21"/>
          <w:szCs w:val="21"/>
        </w:rPr>
        <w:t>R2-</w:t>
      </w:r>
      <w:r>
        <w:rPr>
          <w:rFonts w:ascii="Times New Roman" w:hAnsi="Times New Roman" w:eastAsia="宋体"/>
          <w:b w:val="0"/>
          <w:bCs/>
          <w:i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宋体"/>
          <w:b w:val="0"/>
          <w:bCs/>
          <w:i/>
          <w:sz w:val="21"/>
          <w:szCs w:val="21"/>
          <w:lang w:val="en-US" w:eastAsia="zh-CN"/>
        </w:rPr>
        <w:t>105174)</w:t>
      </w:r>
    </w:p>
    <w:p>
      <w:pPr>
        <w:pStyle w:val="282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/>
        </w:rPr>
      </w:pPr>
      <w:r>
        <w:rPr>
          <w:rFonts w:ascii="Times New Roman" w:hAnsi="Times New Roman"/>
          <w:b/>
          <w:sz w:val="24"/>
          <w:szCs w:val="22"/>
          <w:lang w:val="de-DE" w:eastAsia="zh-CN"/>
        </w:rPr>
        <w:t>Online,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 xml:space="preserve"> </w:t>
      </w:r>
      <w:r>
        <w:rPr>
          <w:rFonts w:hint="eastAsia" w:ascii="Times New Roman" w:hAnsi="Times New Roman"/>
          <w:b/>
          <w:sz w:val="24"/>
          <w:szCs w:val="22"/>
          <w:lang w:val="en-US" w:eastAsia="zh-CN"/>
        </w:rPr>
        <w:t>May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 xml:space="preserve"> </w:t>
      </w:r>
      <w:r>
        <w:rPr>
          <w:rFonts w:hint="eastAsia" w:ascii="Times New Roman" w:hAnsi="Times New Roman"/>
          <w:b/>
          <w:sz w:val="24"/>
          <w:szCs w:val="22"/>
          <w:lang w:val="en-US" w:eastAsia="zh-CN"/>
        </w:rPr>
        <w:t>19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 xml:space="preserve">th - </w:t>
      </w:r>
      <w:r>
        <w:rPr>
          <w:rFonts w:hint="eastAsia" w:ascii="Times New Roman" w:hAnsi="Times New Roman"/>
          <w:b/>
          <w:sz w:val="24"/>
          <w:szCs w:val="22"/>
          <w:lang w:val="en-US" w:eastAsia="zh-CN"/>
        </w:rPr>
        <w:t>May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 xml:space="preserve"> </w:t>
      </w:r>
      <w:r>
        <w:rPr>
          <w:rFonts w:hint="eastAsia" w:ascii="Times New Roman" w:hAnsi="Times New Roman"/>
          <w:b/>
          <w:sz w:val="24"/>
          <w:szCs w:val="22"/>
          <w:lang w:val="en-US" w:eastAsia="zh-CN"/>
        </w:rPr>
        <w:t>27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>th, 202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1</w:t>
      </w:r>
    </w:p>
    <w:p>
      <w:pPr>
        <w:overflowPunct w:val="0"/>
        <w:autoSpaceDE w:val="0"/>
        <w:autoSpaceDN w:val="0"/>
        <w:adjustRightInd w:val="0"/>
        <w:snapToGrid w:val="0"/>
        <w:spacing w:before="156" w:beforeLines="50" w:line="240" w:lineRule="auto"/>
        <w:textAlignment w:val="baseline"/>
        <w:rPr>
          <w:b/>
          <w:bCs/>
          <w:kern w:val="0"/>
          <w:sz w:val="24"/>
        </w:rPr>
      </w:pPr>
    </w:p>
    <w:p>
      <w:pPr>
        <w:overflowPunct w:val="0"/>
        <w:autoSpaceDE w:val="0"/>
        <w:autoSpaceDN w:val="0"/>
        <w:adjustRightInd w:val="0"/>
        <w:snapToGrid w:val="0"/>
        <w:spacing w:before="156" w:beforeLines="50" w:line="240" w:lineRule="auto"/>
        <w:textAlignment w:val="baseline"/>
        <w:rPr>
          <w:b/>
          <w:bCs/>
          <w:snapToGrid w:val="0"/>
          <w:kern w:val="0"/>
          <w:sz w:val="24"/>
        </w:rPr>
      </w:pPr>
      <w:r>
        <w:rPr>
          <w:b/>
          <w:bCs/>
          <w:snapToGrid w:val="0"/>
          <w:kern w:val="0"/>
          <w:sz w:val="24"/>
        </w:rPr>
        <w:t xml:space="preserve">Source: </w:t>
      </w:r>
      <w:r>
        <w:rPr>
          <w:b/>
          <w:bCs/>
          <w:snapToGrid w:val="0"/>
          <w:kern w:val="0"/>
          <w:sz w:val="24"/>
        </w:rPr>
        <w:tab/>
      </w:r>
      <w:r>
        <w:rPr>
          <w:b/>
          <w:bCs/>
          <w:snapToGrid w:val="0"/>
          <w:kern w:val="0"/>
          <w:sz w:val="24"/>
        </w:rPr>
        <w:tab/>
      </w:r>
      <w:r>
        <w:rPr>
          <w:b/>
          <w:bCs/>
          <w:snapToGrid w:val="0"/>
          <w:kern w:val="0"/>
          <w:sz w:val="24"/>
        </w:rPr>
        <w:tab/>
      </w:r>
      <w:r>
        <w:rPr>
          <w:b/>
          <w:bCs/>
          <w:snapToGrid w:val="0"/>
          <w:kern w:val="0"/>
          <w:sz w:val="24"/>
        </w:rPr>
        <w:t>ZTE Corporation, Sanechips</w:t>
      </w:r>
    </w:p>
    <w:p>
      <w:pPr>
        <w:overflowPunct w:val="0"/>
        <w:autoSpaceDE w:val="0"/>
        <w:autoSpaceDN w:val="0"/>
        <w:adjustRightInd w:val="0"/>
        <w:snapToGrid w:val="0"/>
        <w:spacing w:before="156" w:beforeLines="50" w:line="240" w:lineRule="auto"/>
        <w:ind w:left="2100" w:hanging="2100"/>
        <w:textAlignment w:val="baseline"/>
        <w:rPr>
          <w:b/>
          <w:bCs/>
          <w:snapToGrid w:val="0"/>
          <w:kern w:val="0"/>
          <w:sz w:val="24"/>
        </w:rPr>
      </w:pPr>
      <w:r>
        <w:rPr>
          <w:b/>
          <w:bCs/>
          <w:snapToGrid w:val="0"/>
          <w:kern w:val="0"/>
          <w:sz w:val="24"/>
        </w:rPr>
        <w:t xml:space="preserve">Title: </w:t>
      </w:r>
      <w:r>
        <w:rPr>
          <w:b/>
          <w:bCs/>
          <w:snapToGrid w:val="0"/>
          <w:kern w:val="0"/>
          <w:sz w:val="24"/>
        </w:rPr>
        <w:tab/>
      </w:r>
      <w:r>
        <w:rPr>
          <w:rFonts w:hint="eastAsia"/>
          <w:b/>
          <w:bCs/>
          <w:snapToGrid w:val="0"/>
          <w:kern w:val="0"/>
          <w:sz w:val="24"/>
        </w:rPr>
        <w:t>Discussion on the common configuration in the dedicated signaling</w:t>
      </w:r>
    </w:p>
    <w:p>
      <w:pPr>
        <w:overflowPunct w:val="0"/>
        <w:autoSpaceDE w:val="0"/>
        <w:autoSpaceDN w:val="0"/>
        <w:adjustRightInd w:val="0"/>
        <w:snapToGrid w:val="0"/>
        <w:spacing w:before="156" w:beforeLines="50" w:line="240" w:lineRule="auto"/>
        <w:textAlignment w:val="baseline"/>
        <w:rPr>
          <w:b/>
          <w:bCs/>
          <w:snapToGrid w:val="0"/>
          <w:kern w:val="0"/>
          <w:sz w:val="24"/>
        </w:rPr>
      </w:pPr>
      <w:r>
        <w:rPr>
          <w:b/>
          <w:bCs/>
          <w:snapToGrid w:val="0"/>
          <w:kern w:val="0"/>
          <w:sz w:val="24"/>
        </w:rPr>
        <w:t>Agenda item:</w:t>
      </w:r>
      <w:r>
        <w:rPr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b/>
          <w:bCs/>
          <w:snapToGrid w:val="0"/>
          <w:kern w:val="0"/>
          <w:sz w:val="24"/>
        </w:rPr>
        <w:tab/>
      </w:r>
      <w:r>
        <w:rPr>
          <w:b/>
          <w:bCs/>
          <w:snapToGrid w:val="0"/>
          <w:kern w:val="0"/>
          <w:sz w:val="24"/>
        </w:rPr>
        <w:t>5.4.3</w:t>
      </w:r>
    </w:p>
    <w:p>
      <w:pPr>
        <w:overflowPunct w:val="0"/>
        <w:autoSpaceDE w:val="0"/>
        <w:autoSpaceDN w:val="0"/>
        <w:adjustRightInd w:val="0"/>
        <w:snapToGrid w:val="0"/>
        <w:spacing w:before="156" w:beforeLines="50" w:line="240" w:lineRule="auto"/>
        <w:textAlignment w:val="baseline"/>
        <w:rPr>
          <w:b/>
          <w:bCs/>
          <w:snapToGrid w:val="0"/>
          <w:kern w:val="0"/>
          <w:sz w:val="24"/>
        </w:rPr>
      </w:pPr>
      <w:r>
        <w:rPr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b/>
          <w:bCs/>
          <w:snapToGrid w:val="0"/>
          <w:kern w:val="0"/>
          <w:sz w:val="24"/>
        </w:rPr>
        <w:t xml:space="preserve"> </w:t>
      </w:r>
      <w:r>
        <w:rPr>
          <w:b/>
          <w:bCs/>
          <w:snapToGrid w:val="0"/>
          <w:kern w:val="0"/>
          <w:sz w:val="24"/>
        </w:rPr>
        <w:tab/>
      </w:r>
      <w:r>
        <w:rPr>
          <w:rFonts w:hint="eastAsia"/>
          <w:b/>
          <w:bCs/>
          <w:snapToGrid w:val="0"/>
          <w:kern w:val="0"/>
          <w:sz w:val="24"/>
        </w:rPr>
        <w:t xml:space="preserve">   </w:t>
      </w:r>
      <w:r>
        <w:rPr>
          <w:b/>
          <w:bCs/>
          <w:snapToGrid w:val="0"/>
          <w:kern w:val="0"/>
          <w:sz w:val="24"/>
        </w:rPr>
        <w:t>Discussion and Decision</w:t>
      </w:r>
    </w:p>
    <w:p>
      <w:pPr>
        <w:pStyle w:val="2"/>
        <w:widowControl/>
        <w:numPr>
          <w:ilvl w:val="0"/>
          <w:numId w:val="4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beforeLines="50" w:after="180" w:line="240" w:lineRule="auto"/>
        <w:textAlignment w:val="baseline"/>
        <w:rPr>
          <w:b w:val="0"/>
          <w:bCs w:val="0"/>
          <w:kern w:val="0"/>
          <w:sz w:val="32"/>
          <w:szCs w:val="36"/>
        </w:rPr>
      </w:pPr>
      <w:r>
        <w:rPr>
          <w:b w:val="0"/>
          <w:bCs w:val="0"/>
          <w:kern w:val="0"/>
          <w:sz w:val="32"/>
          <w:szCs w:val="36"/>
        </w:rPr>
        <w:t>Introduction</w:t>
      </w:r>
    </w:p>
    <w:p>
      <w:pPr>
        <w:overflowPunct w:val="0"/>
        <w:autoSpaceDE w:val="0"/>
        <w:autoSpaceDN w:val="0"/>
        <w:adjustRightInd w:val="0"/>
        <w:snapToGrid w:val="0"/>
        <w:spacing w:before="156" w:beforeLines="50" w:line="240" w:lineRule="auto"/>
        <w:jc w:val="left"/>
        <w:textAlignment w:val="baseline"/>
        <w:rPr>
          <w:szCs w:val="21"/>
        </w:rPr>
      </w:pPr>
      <w:r>
        <w:rPr>
          <w:rFonts w:hint="eastAsia"/>
          <w:szCs w:val="21"/>
        </w:rPr>
        <w:t>In the last meeting, whether the common configuration in the dedicated signaling shall refer to the UE capability was discussed [1] but postponed. In this paper, we share our understanding on this issue.</w:t>
      </w:r>
    </w:p>
    <w:p>
      <w:pPr>
        <w:pStyle w:val="2"/>
        <w:widowControl/>
        <w:numPr>
          <w:ilvl w:val="0"/>
          <w:numId w:val="4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beforeLines="50" w:after="180" w:line="240" w:lineRule="auto"/>
        <w:textAlignment w:val="baseline"/>
        <w:rPr>
          <w:b w:val="0"/>
          <w:bCs w:val="0"/>
          <w:kern w:val="0"/>
          <w:sz w:val="32"/>
          <w:szCs w:val="36"/>
        </w:rPr>
      </w:pPr>
      <w:r>
        <w:rPr>
          <w:b w:val="0"/>
          <w:bCs w:val="0"/>
          <w:kern w:val="0"/>
          <w:sz w:val="32"/>
          <w:szCs w:val="36"/>
        </w:rPr>
        <w:t>Discussion</w:t>
      </w:r>
    </w:p>
    <w:p>
      <w:pPr>
        <w:overflowPunct w:val="0"/>
        <w:autoSpaceDE w:val="0"/>
        <w:autoSpaceDN w:val="0"/>
        <w:adjustRightInd w:val="0"/>
        <w:snapToGrid w:val="0"/>
        <w:spacing w:before="156" w:beforeLines="50" w:line="240" w:lineRule="auto"/>
        <w:textAlignment w:val="baseline"/>
        <w:rPr>
          <w:szCs w:val="21"/>
        </w:rPr>
      </w:pPr>
      <w:r>
        <w:rPr>
          <w:rFonts w:hint="eastAsia"/>
          <w:szCs w:val="21"/>
        </w:rPr>
        <w:t>In this chapter, we first compare the common configuration in the dedicated signaling with that in the system Information, then discuss the common configuration that only included in the dedicated signaling.</w:t>
      </w:r>
    </w:p>
    <w:p>
      <w:pPr>
        <w:overflowPunct w:val="0"/>
        <w:autoSpaceDE w:val="0"/>
        <w:autoSpaceDN w:val="0"/>
        <w:adjustRightInd w:val="0"/>
        <w:snapToGrid w:val="0"/>
        <w:spacing w:before="156" w:beforeLines="50" w:line="240" w:lineRule="auto"/>
        <w:textAlignment w:val="baseline"/>
        <w:rPr>
          <w:b/>
          <w:bCs/>
          <w:i/>
          <w:iCs/>
          <w:szCs w:val="21"/>
          <w:u w:val="single"/>
        </w:rPr>
      </w:pPr>
      <w:r>
        <w:rPr>
          <w:rFonts w:hint="eastAsia"/>
          <w:b/>
          <w:bCs/>
          <w:i/>
          <w:iCs/>
          <w:kern w:val="0"/>
          <w:szCs w:val="21"/>
          <w:u w:val="single"/>
        </w:rPr>
        <w:t>System Information vs Common configuration in the dedicated signaling</w:t>
      </w:r>
    </w:p>
    <w:p>
      <w:pPr>
        <w:overflowPunct w:val="0"/>
        <w:autoSpaceDE w:val="0"/>
        <w:autoSpaceDN w:val="0"/>
        <w:adjustRightInd w:val="0"/>
        <w:snapToGrid w:val="0"/>
        <w:spacing w:before="156" w:beforeLines="50" w:line="240" w:lineRule="auto"/>
        <w:textAlignment w:val="baseline"/>
        <w:rPr>
          <w:szCs w:val="21"/>
        </w:rPr>
      </w:pPr>
      <w:r>
        <w:rPr>
          <w:rFonts w:hint="eastAsia"/>
          <w:szCs w:val="21"/>
        </w:rPr>
        <w:t>As shown in the annex, we can see that, the common configuration in the dedicated signalling includes 2 parts:</w:t>
      </w:r>
    </w:p>
    <w:p>
      <w:pPr>
        <w:numPr>
          <w:ilvl w:val="0"/>
          <w:numId w:val="5"/>
        </w:numPr>
        <w:overflowPunct w:val="0"/>
        <w:autoSpaceDE w:val="0"/>
        <w:autoSpaceDN w:val="0"/>
        <w:adjustRightInd w:val="0"/>
        <w:snapToGrid w:val="0"/>
        <w:spacing w:before="156" w:beforeLines="50" w:line="240" w:lineRule="auto"/>
        <w:textAlignment w:val="baseline"/>
        <w:rPr>
          <w:szCs w:val="21"/>
        </w:rPr>
      </w:pPr>
      <w:r>
        <w:rPr>
          <w:rFonts w:hint="eastAsia"/>
          <w:szCs w:val="21"/>
        </w:rPr>
        <w:t>BWP Common configuration for the non-initial BWP</w:t>
      </w:r>
    </w:p>
    <w:p>
      <w:pPr>
        <w:numPr>
          <w:ilvl w:val="0"/>
          <w:numId w:val="5"/>
        </w:numPr>
        <w:overflowPunct w:val="0"/>
        <w:autoSpaceDE w:val="0"/>
        <w:autoSpaceDN w:val="0"/>
        <w:adjustRightInd w:val="0"/>
        <w:snapToGrid w:val="0"/>
        <w:spacing w:before="156" w:beforeLines="50" w:line="240" w:lineRule="auto"/>
        <w:textAlignment w:val="baseline"/>
        <w:rPr>
          <w:szCs w:val="21"/>
        </w:rPr>
      </w:pPr>
      <w:r>
        <w:rPr>
          <w:szCs w:val="21"/>
        </w:rPr>
        <w:t>ServingCellConfigCommon</w:t>
      </w:r>
    </w:p>
    <w:p>
      <w:pPr>
        <w:overflowPunct w:val="0"/>
        <w:autoSpaceDE w:val="0"/>
        <w:autoSpaceDN w:val="0"/>
        <w:adjustRightInd w:val="0"/>
        <w:snapToGrid w:val="0"/>
        <w:spacing w:before="156" w:beforeLines="50" w:line="240" w:lineRule="auto"/>
        <w:textAlignment w:val="baseline"/>
        <w:rPr>
          <w:szCs w:val="21"/>
        </w:rPr>
      </w:pPr>
    </w:p>
    <w:p>
      <w:pPr>
        <w:overflowPunct w:val="0"/>
        <w:autoSpaceDE w:val="0"/>
        <w:autoSpaceDN w:val="0"/>
        <w:adjustRightInd w:val="0"/>
        <w:snapToGrid w:val="0"/>
        <w:spacing w:before="156" w:beforeLines="50" w:line="240" w:lineRule="auto"/>
        <w:textAlignment w:val="baseline"/>
        <w:rPr>
          <w:b/>
          <w:bCs/>
          <w:i/>
          <w:iCs/>
          <w:kern w:val="0"/>
          <w:szCs w:val="21"/>
          <w:u w:val="single"/>
        </w:rPr>
      </w:pPr>
      <w:r>
        <w:rPr>
          <w:rFonts w:hint="eastAsia"/>
          <w:b/>
          <w:bCs/>
          <w:i/>
          <w:iCs/>
          <w:kern w:val="0"/>
          <w:szCs w:val="21"/>
          <w:u w:val="single"/>
        </w:rPr>
        <w:t>BWP Common configuration of the non-initial BWP in the dedicated signaling</w:t>
      </w:r>
    </w:p>
    <w:p>
      <w:pPr>
        <w:overflowPunct w:val="0"/>
        <w:autoSpaceDE w:val="0"/>
        <w:autoSpaceDN w:val="0"/>
        <w:adjustRightInd w:val="0"/>
        <w:snapToGrid w:val="0"/>
        <w:spacing w:before="156" w:beforeLines="50" w:line="240" w:lineRule="auto"/>
        <w:textAlignment w:val="baseline"/>
        <w:rPr>
          <w:b/>
          <w:bCs/>
        </w:rPr>
      </w:pPr>
      <w:r>
        <w:rPr>
          <w:rFonts w:hint="eastAsia"/>
          <w:szCs w:val="21"/>
        </w:rPr>
        <w:t xml:space="preserve">For the BWP Common configuration for the non-initial BWP, the same signalling </w:t>
      </w:r>
      <w:r>
        <w:rPr>
          <w:szCs w:val="21"/>
        </w:rPr>
        <w:t>structure as the in</w:t>
      </w:r>
      <w:r>
        <w:rPr>
          <w:rFonts w:hint="eastAsia"/>
          <w:szCs w:val="21"/>
        </w:rPr>
        <w:t>iti</w:t>
      </w:r>
      <w:r>
        <w:rPr>
          <w:szCs w:val="21"/>
        </w:rPr>
        <w:t xml:space="preserve">al BWP </w:t>
      </w:r>
      <w:r>
        <w:rPr>
          <w:rFonts w:hint="eastAsia"/>
          <w:szCs w:val="21"/>
        </w:rPr>
        <w:t xml:space="preserve">in the system information </w:t>
      </w:r>
      <w:r>
        <w:rPr>
          <w:szCs w:val="21"/>
        </w:rPr>
        <w:t>was adopted</w:t>
      </w:r>
      <w:r>
        <w:rPr>
          <w:rFonts w:hint="eastAsia"/>
          <w:szCs w:val="21"/>
        </w:rPr>
        <w:t>.</w:t>
      </w:r>
    </w:p>
    <w:p>
      <w:pPr>
        <w:rPr>
          <w:b/>
          <w:bCs/>
          <w:szCs w:val="21"/>
        </w:rPr>
      </w:pPr>
      <w:bookmarkStart w:id="2" w:name="OLE_LINK15"/>
      <w:bookmarkStart w:id="3" w:name="OLE_LINK16"/>
      <w:bookmarkStart w:id="4" w:name="OLE_LINK17"/>
      <w:bookmarkStart w:id="5" w:name="OLE_LINK13"/>
      <w:bookmarkStart w:id="6" w:name="OLE_LINK14"/>
      <w:r>
        <w:rPr>
          <w:rFonts w:hint="eastAsia"/>
          <w:b/>
          <w:bCs/>
        </w:rPr>
        <w:t>Observation 1: F</w:t>
      </w:r>
      <w:r>
        <w:rPr>
          <w:rFonts w:hint="eastAsia"/>
          <w:b/>
          <w:bCs/>
          <w:szCs w:val="21"/>
        </w:rPr>
        <w:t xml:space="preserve">or the BWP Common configuration for the non-initial BWP, the same signalling </w:t>
      </w:r>
      <w:r>
        <w:rPr>
          <w:b/>
          <w:bCs/>
          <w:szCs w:val="21"/>
        </w:rPr>
        <w:t>structure as the in</w:t>
      </w:r>
      <w:r>
        <w:rPr>
          <w:rFonts w:hint="eastAsia"/>
          <w:b/>
          <w:bCs/>
          <w:szCs w:val="21"/>
        </w:rPr>
        <w:t>iti</w:t>
      </w:r>
      <w:r>
        <w:rPr>
          <w:b/>
          <w:bCs/>
          <w:szCs w:val="21"/>
        </w:rPr>
        <w:t xml:space="preserve">al BWP </w:t>
      </w:r>
      <w:r>
        <w:rPr>
          <w:rFonts w:hint="eastAsia"/>
          <w:b/>
          <w:bCs/>
          <w:szCs w:val="21"/>
        </w:rPr>
        <w:t xml:space="preserve">in the system information </w:t>
      </w:r>
      <w:r>
        <w:rPr>
          <w:b/>
          <w:bCs/>
          <w:szCs w:val="21"/>
        </w:rPr>
        <w:t>was adopted</w:t>
      </w:r>
      <w:r>
        <w:rPr>
          <w:rFonts w:hint="eastAsia"/>
          <w:b/>
          <w:bCs/>
          <w:szCs w:val="21"/>
        </w:rPr>
        <w:t>.</w:t>
      </w:r>
    </w:p>
    <w:bookmarkEnd w:id="2"/>
    <w:bookmarkEnd w:id="3"/>
    <w:bookmarkEnd w:id="4"/>
    <w:bookmarkEnd w:id="5"/>
    <w:bookmarkEnd w:id="6"/>
    <w:p>
      <w:pPr>
        <w:overflowPunct w:val="0"/>
        <w:autoSpaceDE w:val="0"/>
        <w:autoSpaceDN w:val="0"/>
        <w:adjustRightInd w:val="0"/>
        <w:snapToGrid w:val="0"/>
        <w:spacing w:before="156" w:beforeLines="50" w:line="240" w:lineRule="auto"/>
        <w:textAlignment w:val="baseline"/>
        <w:rPr>
          <w:szCs w:val="21"/>
        </w:rPr>
      </w:pPr>
      <w:r>
        <w:rPr>
          <w:rFonts w:hint="eastAsia"/>
          <w:szCs w:val="21"/>
        </w:rPr>
        <w:t>Based on the observation 1 and considering that the system information setting will not take the UE capability into consideration, for the BWP Common configuration for the non-initial BWP in the dedicated signalling, t</w:t>
      </w:r>
      <w:r>
        <w:rPr>
          <w:szCs w:val="21"/>
        </w:rPr>
        <w:t xml:space="preserve">here is </w:t>
      </w:r>
      <w:r>
        <w:rPr>
          <w:rFonts w:hint="eastAsia"/>
          <w:szCs w:val="21"/>
        </w:rPr>
        <w:t xml:space="preserve">also </w:t>
      </w:r>
      <w:r>
        <w:rPr>
          <w:szCs w:val="21"/>
        </w:rPr>
        <w:t xml:space="preserve">no need to </w:t>
      </w:r>
      <w:r>
        <w:rPr>
          <w:rFonts w:hint="eastAsia"/>
          <w:szCs w:val="21"/>
        </w:rPr>
        <w:t xml:space="preserve">take </w:t>
      </w:r>
      <w:r>
        <w:rPr>
          <w:szCs w:val="21"/>
        </w:rPr>
        <w:t xml:space="preserve">the UE capability </w:t>
      </w:r>
      <w:r>
        <w:rPr>
          <w:rFonts w:hint="eastAsia"/>
          <w:szCs w:val="21"/>
        </w:rPr>
        <w:t>into consideration.</w:t>
      </w:r>
    </w:p>
    <w:p>
      <w:pPr>
        <w:pStyle w:val="53"/>
        <w:spacing w:before="0" w:beforeAutospacing="0" w:after="0" w:afterAutospacing="0" w:line="315" w:lineRule="atLeast"/>
        <w:rPr>
          <w:rFonts w:eastAsiaTheme="minorEastAsia"/>
          <w:b/>
          <w:bCs/>
          <w:kern w:val="2"/>
          <w:sz w:val="21"/>
          <w:szCs w:val="21"/>
          <w:lang w:val="en-US" w:eastAsia="zh-CN"/>
        </w:rPr>
      </w:pPr>
      <w:bookmarkStart w:id="7" w:name="OLE_LINK12"/>
      <w:bookmarkStart w:id="8" w:name="OLE_LINK11"/>
      <w:r>
        <w:rPr>
          <w:rFonts w:eastAsiaTheme="minorEastAsia"/>
          <w:b/>
          <w:bCs/>
          <w:kern w:val="2"/>
          <w:sz w:val="21"/>
          <w:szCs w:val="21"/>
          <w:lang w:val="en-US" w:eastAsia="zh-CN"/>
        </w:rPr>
        <w:t xml:space="preserve">Proposal 1: There is no need to </w:t>
      </w:r>
      <w:r>
        <w:rPr>
          <w:rFonts w:hint="eastAsia" w:eastAsiaTheme="minorEastAsia"/>
          <w:b/>
          <w:bCs/>
          <w:kern w:val="2"/>
          <w:sz w:val="21"/>
          <w:szCs w:val="21"/>
          <w:lang w:val="en-US" w:eastAsia="zh-CN"/>
        </w:rPr>
        <w:t xml:space="preserve">take </w:t>
      </w:r>
      <w:r>
        <w:rPr>
          <w:rFonts w:eastAsiaTheme="minorEastAsia"/>
          <w:b/>
          <w:bCs/>
          <w:kern w:val="2"/>
          <w:sz w:val="21"/>
          <w:szCs w:val="21"/>
          <w:lang w:val="en-US" w:eastAsia="zh-CN"/>
        </w:rPr>
        <w:t xml:space="preserve">the UE capability </w:t>
      </w:r>
      <w:r>
        <w:rPr>
          <w:rFonts w:hint="eastAsia" w:eastAsiaTheme="minorEastAsia"/>
          <w:b/>
          <w:bCs/>
          <w:kern w:val="2"/>
          <w:sz w:val="21"/>
          <w:szCs w:val="21"/>
          <w:lang w:val="en-US" w:eastAsia="zh-CN"/>
        </w:rPr>
        <w:t xml:space="preserve">into consideration for the BWP Common </w:t>
      </w:r>
      <w:r>
        <w:rPr>
          <w:rFonts w:eastAsiaTheme="minorEastAsia"/>
          <w:b/>
          <w:bCs/>
          <w:kern w:val="2"/>
          <w:sz w:val="21"/>
          <w:szCs w:val="21"/>
          <w:lang w:val="en-US" w:eastAsia="zh-CN"/>
        </w:rPr>
        <w:t>Configuration</w:t>
      </w:r>
      <w:r>
        <w:rPr>
          <w:rFonts w:hint="eastAsia" w:eastAsiaTheme="minorEastAsia"/>
          <w:b/>
          <w:bCs/>
          <w:kern w:val="2"/>
          <w:sz w:val="21"/>
          <w:szCs w:val="21"/>
          <w:lang w:val="en-US" w:eastAsia="zh-CN"/>
        </w:rPr>
        <w:t xml:space="preserve"> in the dedicated signalling</w:t>
      </w:r>
      <w:r>
        <w:rPr>
          <w:rFonts w:eastAsiaTheme="minorEastAsia"/>
          <w:b/>
          <w:bCs/>
          <w:kern w:val="2"/>
          <w:sz w:val="21"/>
          <w:szCs w:val="21"/>
          <w:lang w:val="en-US" w:eastAsia="zh-CN"/>
        </w:rPr>
        <w:t>.</w:t>
      </w:r>
    </w:p>
    <w:bookmarkEnd w:id="7"/>
    <w:bookmarkEnd w:id="8"/>
    <w:p>
      <w:pPr>
        <w:pStyle w:val="53"/>
        <w:wordWrap w:val="0"/>
        <w:spacing w:before="0" w:beforeAutospacing="0" w:after="0" w:afterAutospacing="0" w:line="315" w:lineRule="atLeast"/>
        <w:rPr>
          <w:rFonts w:eastAsiaTheme="minorEastAsia"/>
          <w:b/>
          <w:bCs/>
          <w:kern w:val="2"/>
          <w:sz w:val="21"/>
          <w:szCs w:val="21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snapToGrid w:val="0"/>
        <w:spacing w:before="156" w:beforeLines="50" w:line="240" w:lineRule="auto"/>
        <w:textAlignment w:val="baseline"/>
        <w:rPr>
          <w:b/>
          <w:bCs/>
          <w:iCs/>
          <w:kern w:val="0"/>
          <w:szCs w:val="21"/>
          <w:u w:val="single"/>
        </w:rPr>
      </w:pPr>
      <w:r>
        <w:rPr>
          <w:b/>
          <w:bCs/>
          <w:i/>
          <w:iCs/>
          <w:kern w:val="0"/>
          <w:szCs w:val="21"/>
          <w:u w:val="single"/>
        </w:rPr>
        <w:t>ServingCellConfigCommon</w:t>
      </w:r>
      <w:r>
        <w:rPr>
          <w:rFonts w:hint="eastAsia"/>
          <w:b/>
          <w:bCs/>
          <w:i/>
          <w:iCs/>
          <w:kern w:val="0"/>
          <w:szCs w:val="21"/>
          <w:u w:val="single"/>
        </w:rPr>
        <w:t xml:space="preserve"> </w:t>
      </w:r>
      <w:r>
        <w:rPr>
          <w:rFonts w:hint="eastAsia"/>
          <w:b/>
          <w:bCs/>
          <w:iCs/>
          <w:kern w:val="0"/>
          <w:szCs w:val="21"/>
          <w:u w:val="single"/>
        </w:rPr>
        <w:t>in the dedicated signaling</w:t>
      </w:r>
    </w:p>
    <w:p>
      <w:pPr>
        <w:overflowPunct w:val="0"/>
        <w:autoSpaceDE w:val="0"/>
        <w:autoSpaceDN w:val="0"/>
        <w:adjustRightInd w:val="0"/>
        <w:snapToGrid w:val="0"/>
        <w:spacing w:before="156" w:beforeLines="50" w:line="240" w:lineRule="auto"/>
        <w:textAlignment w:val="baseline"/>
        <w:rPr>
          <w:szCs w:val="21"/>
        </w:rPr>
      </w:pPr>
      <w:r>
        <w:rPr>
          <w:rFonts w:hint="eastAsia"/>
          <w:szCs w:val="21"/>
        </w:rPr>
        <w:t xml:space="preserve">For the </w:t>
      </w:r>
      <w:bookmarkStart w:id="9" w:name="OLE_LINK1"/>
      <w:r>
        <w:rPr>
          <w:i/>
          <w:szCs w:val="21"/>
        </w:rPr>
        <w:t>ServingCellConfigCommon</w:t>
      </w:r>
      <w:bookmarkEnd w:id="9"/>
      <w:r>
        <w:rPr>
          <w:rFonts w:hint="eastAsia"/>
          <w:szCs w:val="21"/>
        </w:rPr>
        <w:t xml:space="preserve">, from the annex we can see that </w:t>
      </w:r>
      <w:r>
        <w:rPr>
          <w:szCs w:val="21"/>
        </w:rPr>
        <w:t xml:space="preserve">except </w:t>
      </w:r>
      <w:bookmarkStart w:id="10" w:name="OLE_LINK2"/>
      <w:r>
        <w:rPr>
          <w:szCs w:val="21"/>
        </w:rPr>
        <w:t>the</w:t>
      </w:r>
      <w:r>
        <w:rPr>
          <w:i/>
          <w:szCs w:val="21"/>
        </w:rPr>
        <w:t> lte-CRS-ToMatchAround/</w:t>
      </w:r>
      <w:r>
        <w:rPr>
          <w:rFonts w:hint="eastAsia"/>
          <w:i/>
          <w:szCs w:val="21"/>
        </w:rPr>
        <w:t xml:space="preserve"> </w:t>
      </w:r>
      <w:r>
        <w:rPr>
          <w:i/>
          <w:szCs w:val="21"/>
        </w:rPr>
        <w:t>rateMatchPatternToAddModList,</w:t>
      </w:r>
      <w:bookmarkEnd w:id="10"/>
      <w:r>
        <w:rPr>
          <w:szCs w:val="21"/>
        </w:rPr>
        <w:t xml:space="preserve"> all of other elements are also included in the system Information.</w:t>
      </w:r>
    </w:p>
    <w:p>
      <w:pPr>
        <w:overflowPunct w:val="0"/>
        <w:autoSpaceDE w:val="0"/>
        <w:autoSpaceDN w:val="0"/>
        <w:adjustRightInd w:val="0"/>
        <w:snapToGrid w:val="0"/>
        <w:spacing w:before="156" w:beforeLines="50" w:line="240" w:lineRule="auto"/>
        <w:textAlignment w:val="baseline"/>
        <w:rPr>
          <w:b/>
          <w:bCs/>
          <w:szCs w:val="21"/>
        </w:rPr>
      </w:pPr>
      <w:bookmarkStart w:id="11" w:name="OLE_LINK9"/>
      <w:bookmarkStart w:id="12" w:name="OLE_LINK10"/>
      <w:r>
        <w:rPr>
          <w:rFonts w:hint="eastAsia"/>
          <w:b/>
          <w:bCs/>
        </w:rPr>
        <w:t xml:space="preserve">Observation 2: For the </w:t>
      </w:r>
      <w:r>
        <w:rPr>
          <w:b/>
          <w:bCs/>
          <w:i/>
          <w:szCs w:val="21"/>
        </w:rPr>
        <w:t>ServingCellConfigCommon</w:t>
      </w:r>
      <w:r>
        <w:rPr>
          <w:b/>
          <w:bCs/>
          <w:szCs w:val="21"/>
        </w:rPr>
        <w:t>, except the</w:t>
      </w:r>
      <w:r>
        <w:rPr>
          <w:b/>
          <w:bCs/>
          <w:i/>
          <w:szCs w:val="21"/>
        </w:rPr>
        <w:t> lte-CRS-ToMatchAround</w:t>
      </w:r>
      <w:r>
        <w:rPr>
          <w:rFonts w:hint="eastAsia"/>
          <w:b/>
          <w:bCs/>
          <w:i/>
          <w:szCs w:val="21"/>
        </w:rPr>
        <w:t xml:space="preserve"> </w:t>
      </w:r>
      <w:r>
        <w:rPr>
          <w:b/>
          <w:bCs/>
          <w:i/>
          <w:szCs w:val="21"/>
        </w:rPr>
        <w:t>/rateMatchPatternToAddModList</w:t>
      </w:r>
      <w:r>
        <w:rPr>
          <w:b/>
          <w:bCs/>
          <w:szCs w:val="21"/>
        </w:rPr>
        <w:t>, all of other elements are also included in the system Information.</w:t>
      </w:r>
    </w:p>
    <w:bookmarkEnd w:id="11"/>
    <w:bookmarkEnd w:id="12"/>
    <w:p>
      <w:pPr>
        <w:overflowPunct w:val="0"/>
        <w:autoSpaceDE w:val="0"/>
        <w:autoSpaceDN w:val="0"/>
        <w:adjustRightInd w:val="0"/>
        <w:snapToGrid w:val="0"/>
        <w:spacing w:before="156" w:beforeLines="50" w:line="240" w:lineRule="auto"/>
        <w:textAlignment w:val="baseline"/>
        <w:rPr>
          <w:szCs w:val="21"/>
        </w:rPr>
      </w:pPr>
      <w:r>
        <w:rPr>
          <w:rFonts w:hint="eastAsia"/>
          <w:szCs w:val="21"/>
        </w:rPr>
        <w:t xml:space="preserve">About </w:t>
      </w:r>
      <w:r>
        <w:rPr>
          <w:szCs w:val="21"/>
        </w:rPr>
        <w:t>the</w:t>
      </w:r>
      <w:r>
        <w:rPr>
          <w:i/>
          <w:szCs w:val="21"/>
        </w:rPr>
        <w:t> lte-CRS-ToMatchAround/</w:t>
      </w:r>
      <w:r>
        <w:rPr>
          <w:rFonts w:hint="eastAsia"/>
          <w:i/>
          <w:szCs w:val="21"/>
        </w:rPr>
        <w:t xml:space="preserve"> </w:t>
      </w:r>
      <w:r>
        <w:rPr>
          <w:i/>
          <w:szCs w:val="21"/>
        </w:rPr>
        <w:t>rateMatchPatternToAddModList,</w:t>
      </w:r>
      <w:r>
        <w:rPr>
          <w:rFonts w:hint="eastAsia"/>
          <w:szCs w:val="21"/>
        </w:rPr>
        <w:t xml:space="preserve"> the related UE capabilities are listed as below:</w:t>
      </w:r>
    </w:p>
    <w:tbl>
      <w:tblPr>
        <w:tblStyle w:val="56"/>
        <w:tblW w:w="9630" w:type="dxa"/>
        <w:tblInd w:w="0" w:type="dxa"/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915"/>
        <w:gridCol w:w="705"/>
        <w:gridCol w:w="570"/>
        <w:gridCol w:w="705"/>
        <w:gridCol w:w="735"/>
      </w:tblGrid>
      <w:tr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6915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53"/>
              <w:spacing w:before="0" w:beforeAutospacing="0" w:after="0" w:afterAutospacing="0" w:line="300" w:lineRule="atLeast"/>
            </w:pPr>
            <w:r>
              <w:rPr>
                <w:rStyle w:val="63"/>
                <w:rFonts w:ascii="Arial" w:hAnsi="Arial" w:cs="Arial"/>
                <w:b/>
                <w:i w:val="0"/>
                <w:color w:val="000000"/>
                <w:sz w:val="18"/>
                <w:szCs w:val="18"/>
              </w:rPr>
              <w:t>rateMatchingLTE-CRS</w:t>
            </w:r>
          </w:p>
          <w:p>
            <w:pPr>
              <w:pStyle w:val="53"/>
              <w:spacing w:before="0" w:beforeAutospacing="0" w:after="0" w:afterAutospacing="0" w:line="300" w:lineRule="atLeas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Indicates whether the UE supports receiving PDSCH with resource mapping that excludes the REs determined by the higher layer configuration LTE-carrier configuring common RS, as specified in TS 38.214 [12].</w:t>
            </w:r>
          </w:p>
        </w:tc>
        <w:tc>
          <w:tcPr>
            <w:tcW w:w="705" w:type="dxa"/>
            <w:tcBorders>
              <w:top w:val="single" w:color="808080" w:sz="6" w:space="0"/>
              <w:left w:val="nil"/>
              <w:bottom w:val="single" w:color="808080" w:sz="6" w:space="0"/>
              <w:right w:val="single" w:color="80808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53"/>
              <w:spacing w:before="0" w:beforeAutospacing="0" w:after="0" w:afterAutospacing="0" w:line="300" w:lineRule="atLeast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Band</w:t>
            </w:r>
          </w:p>
        </w:tc>
        <w:tc>
          <w:tcPr>
            <w:tcW w:w="570" w:type="dxa"/>
            <w:tcBorders>
              <w:top w:val="single" w:color="808080" w:sz="6" w:space="0"/>
              <w:left w:val="nil"/>
              <w:bottom w:val="single" w:color="808080" w:sz="6" w:space="0"/>
              <w:right w:val="single" w:color="80808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53"/>
              <w:spacing w:before="0" w:beforeAutospacing="0" w:after="0" w:afterAutospacing="0" w:line="300" w:lineRule="atLeast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705" w:type="dxa"/>
            <w:tcBorders>
              <w:top w:val="single" w:color="808080" w:sz="6" w:space="0"/>
              <w:left w:val="nil"/>
              <w:bottom w:val="single" w:color="808080" w:sz="6" w:space="0"/>
              <w:right w:val="single" w:color="80808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53"/>
              <w:spacing w:before="0" w:beforeAutospacing="0" w:after="0" w:afterAutospacing="0" w:line="300" w:lineRule="atLeast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735" w:type="dxa"/>
            <w:tcBorders>
              <w:top w:val="single" w:color="808080" w:sz="6" w:space="0"/>
              <w:left w:val="nil"/>
              <w:bottom w:val="single" w:color="808080" w:sz="6" w:space="0"/>
              <w:right w:val="single" w:color="80808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53"/>
              <w:spacing w:before="0" w:beforeAutospacing="0" w:after="0" w:afterAutospacing="0" w:line="300" w:lineRule="atLeast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6915" w:type="dxa"/>
            <w:tcBorders>
              <w:top w:val="nil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53"/>
              <w:spacing w:before="0" w:beforeAutospacing="0" w:after="0" w:afterAutospacing="0" w:line="300" w:lineRule="atLeast"/>
            </w:pPr>
            <w:r>
              <w:rPr>
                <w:rStyle w:val="63"/>
                <w:rFonts w:ascii="Arial" w:hAnsi="Arial" w:cs="Arial"/>
                <w:b/>
                <w:i w:val="0"/>
                <w:color w:val="000000"/>
                <w:sz w:val="18"/>
                <w:szCs w:val="18"/>
              </w:rPr>
              <w:t>rateMatchingResrcSetSemi-Static</w:t>
            </w:r>
          </w:p>
          <w:p>
            <w:pPr>
              <w:pStyle w:val="53"/>
              <w:spacing w:before="0" w:beforeAutospacing="0" w:after="0" w:afterAutospacing="0" w:line="300" w:lineRule="atLeas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Indicates whether the UE supports receiving PDSCH with resource mapping that excludes the REs corresponding to resource sets configured with RB-symbol level granularity indicated by </w:t>
            </w:r>
            <w:r>
              <w:rPr>
                <w:rStyle w:val="63"/>
                <w:rFonts w:ascii="Arial" w:hAnsi="Arial" w:cs="Arial"/>
                <w:i w:val="0"/>
                <w:color w:val="000000"/>
                <w:sz w:val="18"/>
                <w:szCs w:val="18"/>
              </w:rPr>
              <w:t>bitmaps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and </w:t>
            </w:r>
            <w:r>
              <w:rPr>
                <w:rStyle w:val="63"/>
                <w:rFonts w:ascii="Arial" w:hAnsi="Arial" w:cs="Arial"/>
                <w:i w:val="0"/>
                <w:color w:val="000000"/>
                <w:sz w:val="18"/>
                <w:szCs w:val="18"/>
              </w:rPr>
              <w:t>c</w:t>
            </w:r>
            <w:r>
              <w:rPr>
                <w:rStyle w:val="63"/>
                <w:rFonts w:hint="eastAsia" w:ascii="Arial" w:hAnsi="Arial" w:eastAsia="宋体" w:cs="Arial"/>
                <w:i w:val="0"/>
                <w:color w:val="000000"/>
                <w:sz w:val="18"/>
                <w:szCs w:val="18"/>
                <w:lang w:val="en-US" w:eastAsia="zh-CN"/>
              </w:rPr>
              <w:t>T</w:t>
            </w:r>
            <w:r>
              <w:rPr>
                <w:rStyle w:val="63"/>
                <w:rFonts w:ascii="Arial" w:hAnsi="Arial" w:cs="Arial"/>
                <w:i w:val="0"/>
                <w:color w:val="000000"/>
                <w:sz w:val="18"/>
                <w:szCs w:val="18"/>
              </w:rPr>
              <w:t>ntrolResourceSet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(see </w:t>
            </w:r>
            <w:r>
              <w:rPr>
                <w:rStyle w:val="63"/>
                <w:rFonts w:ascii="Arial" w:hAnsi="Arial" w:cs="Arial"/>
                <w:i w:val="0"/>
                <w:color w:val="000000"/>
                <w:sz w:val="18"/>
                <w:szCs w:val="18"/>
              </w:rPr>
              <w:t>patternType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in </w:t>
            </w:r>
            <w:r>
              <w:rPr>
                <w:rStyle w:val="63"/>
                <w:rFonts w:ascii="Arial" w:hAnsi="Arial" w:cs="Arial"/>
                <w:i w:val="0"/>
                <w:color w:val="000000"/>
                <w:sz w:val="18"/>
                <w:szCs w:val="18"/>
              </w:rPr>
              <w:t>RateMatchPattern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in TS 38.331[9]) following the semi-static configuration as specified in TS 38.214 [12].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808080" w:sz="6" w:space="0"/>
              <w:right w:val="single" w:color="80808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53"/>
              <w:spacing w:before="0" w:beforeAutospacing="0" w:after="0" w:afterAutospacing="0" w:line="300" w:lineRule="atLeast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808080" w:sz="6" w:space="0"/>
              <w:right w:val="single" w:color="80808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53"/>
              <w:spacing w:before="0" w:beforeAutospacing="0" w:after="0" w:afterAutospacing="0" w:line="300" w:lineRule="atLeast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808080" w:sz="6" w:space="0"/>
              <w:right w:val="single" w:color="80808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53"/>
              <w:spacing w:before="0" w:beforeAutospacing="0" w:after="0" w:afterAutospacing="0" w:line="300" w:lineRule="atLeast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808080" w:sz="6" w:space="0"/>
              <w:right w:val="single" w:color="80808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53"/>
              <w:spacing w:before="0" w:beforeAutospacing="0" w:after="0" w:afterAutospacing="0" w:line="300" w:lineRule="atLeast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</w:tr>
    </w:tbl>
    <w:p>
      <w:pPr>
        <w:overflowPunct w:val="0"/>
        <w:autoSpaceDE w:val="0"/>
        <w:autoSpaceDN w:val="0"/>
        <w:adjustRightInd w:val="0"/>
        <w:snapToGrid w:val="0"/>
        <w:spacing w:before="156" w:beforeLines="50" w:line="240" w:lineRule="auto"/>
        <w:textAlignment w:val="baseline"/>
        <w:rPr>
          <w:b/>
          <w:bCs/>
          <w:szCs w:val="21"/>
        </w:rPr>
      </w:pPr>
      <w:r>
        <w:rPr>
          <w:rFonts w:hint="eastAsia"/>
          <w:szCs w:val="21"/>
        </w:rPr>
        <w:t xml:space="preserve">Now we need to </w:t>
      </w:r>
      <w:r>
        <w:rPr>
          <w:szCs w:val="21"/>
        </w:rPr>
        <w:t>analyze</w:t>
      </w:r>
      <w:r>
        <w:rPr>
          <w:rFonts w:hint="eastAsia"/>
          <w:szCs w:val="21"/>
        </w:rPr>
        <w:t xml:space="preserve"> whether the network need to take the above two UE capabilities into consideration when configure</w:t>
      </w:r>
      <w:r>
        <w:rPr>
          <w:i/>
          <w:iCs/>
          <w:szCs w:val="21"/>
        </w:rPr>
        <w:t> lte-CRS-ToMatchAround/</w:t>
      </w:r>
      <w:r>
        <w:rPr>
          <w:rFonts w:hint="eastAsia"/>
          <w:i/>
          <w:iCs/>
          <w:szCs w:val="21"/>
        </w:rPr>
        <w:t xml:space="preserve"> </w:t>
      </w:r>
      <w:r>
        <w:rPr>
          <w:i/>
          <w:iCs/>
          <w:szCs w:val="21"/>
        </w:rPr>
        <w:t>rateMatchPatternToAddModList</w:t>
      </w:r>
      <w:r>
        <w:rPr>
          <w:rFonts w:hint="eastAsia"/>
          <w:i/>
          <w:iCs/>
          <w:szCs w:val="21"/>
        </w:rPr>
        <w:t>.</w:t>
      </w:r>
      <w:r>
        <w:rPr>
          <w:rFonts w:hint="eastAsia"/>
          <w:szCs w:val="21"/>
        </w:rPr>
        <w:t xml:space="preserve"> Let</w:t>
      </w:r>
      <w:r>
        <w:rPr>
          <w:szCs w:val="21"/>
        </w:rPr>
        <w:t>’</w:t>
      </w:r>
      <w:r>
        <w:rPr>
          <w:rFonts w:hint="eastAsia"/>
          <w:szCs w:val="21"/>
        </w:rPr>
        <w:t>s go back to the discussion history of these two elements, which were introduced based on [2]. As analyzed in [2]: t</w:t>
      </w:r>
      <w:r>
        <w:rPr>
          <w:szCs w:val="21"/>
        </w:rPr>
        <w:t>he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main usage </w:t>
      </w:r>
      <w:r>
        <w:rPr>
          <w:rFonts w:hint="eastAsia"/>
          <w:szCs w:val="21"/>
        </w:rPr>
        <w:t xml:space="preserve">of </w:t>
      </w:r>
      <w:r>
        <w:rPr>
          <w:i/>
          <w:szCs w:val="21"/>
        </w:rPr>
        <w:t>lte-CRS-ToMatchAround</w:t>
      </w:r>
      <w:r>
        <w:rPr>
          <w:rFonts w:hint="eastAsia"/>
          <w:i/>
          <w:szCs w:val="21"/>
        </w:rPr>
        <w:t xml:space="preserve"> </w:t>
      </w:r>
      <w:r>
        <w:rPr>
          <w:i/>
          <w:szCs w:val="21"/>
        </w:rPr>
        <w:t>/rateMatchPatternToAddModLis</w:t>
      </w:r>
      <w:r>
        <w:rPr>
          <w:rFonts w:hint="eastAsia"/>
          <w:i/>
          <w:szCs w:val="21"/>
        </w:rPr>
        <w:t>t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is LTE/NR co-existence</w:t>
      </w:r>
      <w:r>
        <w:rPr>
          <w:rFonts w:hint="eastAsia"/>
          <w:szCs w:val="21"/>
        </w:rPr>
        <w:t>.</w:t>
      </w:r>
    </w:p>
    <w:tbl>
      <w:tblPr>
        <w:tblStyle w:val="5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7" w:type="dxa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56" w:beforeLines="50" w:line="240" w:lineRule="auto"/>
              <w:textAlignment w:val="baseline"/>
              <w:rPr>
                <w:szCs w:val="21"/>
                <w:lang w:eastAsia="en-US"/>
              </w:rPr>
            </w:pPr>
            <w:r>
              <w:rPr>
                <w:i/>
                <w:iCs/>
                <w:szCs w:val="21"/>
                <w:lang w:eastAsia="zh-CN"/>
              </w:rPr>
              <w:t xml:space="preserve">“lte-CRS-ToMatchAround is used for the UE to learn where LTE CRS is present for the rate matching purpose. A practical use case for the LTE CRS rate matching is LTE/NR co-existence where LTE and NR is operated on the same carrier. Likewise, rateMatchPattern is used for the future usage in NR. Given that the main usage is co-existence with LTE and future usage/service in NR, PDSCH rate matching would be needed not only for the dedicated signalling to the UE but also for broadcast signalling delivered on PDSCH, i.e. Other SI (OSI). </w:t>
            </w:r>
            <w:r>
              <w:rPr>
                <w:rFonts w:hint="eastAsia"/>
                <w:i/>
                <w:iCs/>
                <w:szCs w:val="21"/>
                <w:lang w:eastAsia="zh-CN"/>
              </w:rPr>
              <w:t>I</w:t>
            </w:r>
            <w:r>
              <w:rPr>
                <w:i/>
                <w:iCs/>
                <w:szCs w:val="21"/>
                <w:lang w:eastAsia="zh-CN"/>
              </w:rPr>
              <w:t>n that sense, a cell-level PDSCH config. needs to be introduced, which are to be broadcast.”</w:t>
            </w:r>
          </w:p>
        </w:tc>
      </w:tr>
    </w:tbl>
    <w:p>
      <w:pPr>
        <w:overflowPunct w:val="0"/>
        <w:autoSpaceDE w:val="0"/>
        <w:autoSpaceDN w:val="0"/>
        <w:adjustRightInd w:val="0"/>
        <w:snapToGrid w:val="0"/>
        <w:spacing w:before="156" w:beforeLines="50" w:line="240" w:lineRule="auto"/>
        <w:textAlignment w:val="baseline"/>
        <w:rPr>
          <w:szCs w:val="21"/>
        </w:rPr>
      </w:pPr>
      <w:r>
        <w:rPr>
          <w:rFonts w:hint="eastAsia"/>
          <w:szCs w:val="21"/>
        </w:rPr>
        <w:t xml:space="preserve">Note: By checking the Asn.1 review history, we can find that the original intention was to add the </w:t>
      </w:r>
      <w:r>
        <w:rPr>
          <w:i/>
          <w:iCs/>
          <w:szCs w:val="21"/>
        </w:rPr>
        <w:t>lte-CRS-ToMatchAround</w:t>
      </w:r>
      <w:r>
        <w:rPr>
          <w:rFonts w:hint="eastAsia"/>
          <w:i/>
          <w:iCs/>
          <w:szCs w:val="21"/>
        </w:rPr>
        <w:t xml:space="preserve"> </w:t>
      </w:r>
      <w:r>
        <w:rPr>
          <w:i/>
          <w:iCs/>
          <w:szCs w:val="21"/>
        </w:rPr>
        <w:t>/rateMatchPatternToAddModList</w:t>
      </w:r>
      <w:r>
        <w:rPr>
          <w:rFonts w:hint="eastAsia"/>
          <w:i/>
          <w:iCs/>
          <w:szCs w:val="21"/>
        </w:rPr>
        <w:t xml:space="preserve"> </w:t>
      </w:r>
      <w:r>
        <w:rPr>
          <w:rFonts w:hint="eastAsia"/>
          <w:szCs w:val="21"/>
        </w:rPr>
        <w:t>to the system Information, however, considering the signaling overhead of the SIB1, at last these two elements were only included in the common configuration of the dedicated signalling.</w:t>
      </w:r>
    </w:p>
    <w:p>
      <w:pPr>
        <w:overflowPunct w:val="0"/>
        <w:autoSpaceDE w:val="0"/>
        <w:autoSpaceDN w:val="0"/>
        <w:adjustRightInd w:val="0"/>
        <w:snapToGrid w:val="0"/>
        <w:spacing w:before="156" w:beforeLines="50" w:line="240" w:lineRule="auto"/>
        <w:textAlignment w:val="baseline"/>
        <w:rPr>
          <w:b/>
          <w:bCs/>
          <w:szCs w:val="21"/>
        </w:rPr>
      </w:pPr>
      <w:bookmarkStart w:id="13" w:name="OLE_LINK7"/>
      <w:bookmarkStart w:id="14" w:name="OLE_LINK8"/>
      <w:bookmarkStart w:id="15" w:name="OLE_LINK6"/>
      <w:r>
        <w:rPr>
          <w:rFonts w:hint="eastAsia"/>
          <w:b/>
          <w:bCs/>
        </w:rPr>
        <w:t>Observation 3: T</w:t>
      </w:r>
      <w:r>
        <w:rPr>
          <w:b/>
          <w:bCs/>
          <w:szCs w:val="21"/>
        </w:rPr>
        <w:t>he</w:t>
      </w:r>
      <w:r>
        <w:rPr>
          <w:rFonts w:hint="eastAsia"/>
          <w:b/>
          <w:bCs/>
          <w:szCs w:val="21"/>
        </w:rPr>
        <w:t xml:space="preserve"> </w:t>
      </w:r>
      <w:r>
        <w:rPr>
          <w:b/>
          <w:bCs/>
          <w:szCs w:val="21"/>
        </w:rPr>
        <w:t xml:space="preserve">main usage </w:t>
      </w:r>
      <w:r>
        <w:rPr>
          <w:rFonts w:hint="eastAsia"/>
          <w:b/>
          <w:bCs/>
          <w:szCs w:val="21"/>
        </w:rPr>
        <w:t xml:space="preserve">of </w:t>
      </w:r>
      <w:r>
        <w:rPr>
          <w:b/>
          <w:bCs/>
          <w:i/>
          <w:szCs w:val="21"/>
        </w:rPr>
        <w:t>lte-CRS-ToMatchAround</w:t>
      </w:r>
      <w:r>
        <w:rPr>
          <w:rFonts w:hint="eastAsia"/>
          <w:b/>
          <w:bCs/>
          <w:i/>
          <w:szCs w:val="21"/>
        </w:rPr>
        <w:t xml:space="preserve"> </w:t>
      </w:r>
      <w:r>
        <w:rPr>
          <w:b/>
          <w:bCs/>
          <w:i/>
          <w:szCs w:val="21"/>
        </w:rPr>
        <w:t>/rateMatchPatternToAddModLis</w:t>
      </w:r>
      <w:r>
        <w:rPr>
          <w:rFonts w:hint="eastAsia"/>
          <w:b/>
          <w:bCs/>
          <w:i/>
          <w:szCs w:val="21"/>
        </w:rPr>
        <w:t>t</w:t>
      </w:r>
      <w:r>
        <w:rPr>
          <w:rFonts w:hint="eastAsia"/>
          <w:b/>
          <w:bCs/>
          <w:szCs w:val="21"/>
        </w:rPr>
        <w:t xml:space="preserve"> </w:t>
      </w:r>
      <w:r>
        <w:rPr>
          <w:b/>
          <w:bCs/>
          <w:szCs w:val="21"/>
        </w:rPr>
        <w:t>is LTE/NR co-existence</w:t>
      </w:r>
      <w:r>
        <w:rPr>
          <w:rFonts w:hint="eastAsia"/>
          <w:b/>
          <w:bCs/>
          <w:szCs w:val="21"/>
        </w:rPr>
        <w:t>.</w:t>
      </w:r>
    </w:p>
    <w:bookmarkEnd w:id="13"/>
    <w:bookmarkEnd w:id="14"/>
    <w:bookmarkEnd w:id="15"/>
    <w:p>
      <w:pPr>
        <w:overflowPunct w:val="0"/>
        <w:autoSpaceDE w:val="0"/>
        <w:autoSpaceDN w:val="0"/>
        <w:adjustRightInd w:val="0"/>
        <w:snapToGrid w:val="0"/>
        <w:spacing w:before="156" w:beforeLines="50" w:line="240" w:lineRule="auto"/>
        <w:textAlignment w:val="baseline"/>
        <w:rPr>
          <w:szCs w:val="21"/>
        </w:rPr>
      </w:pPr>
      <w:r>
        <w:rPr>
          <w:rFonts w:hint="eastAsia"/>
          <w:szCs w:val="21"/>
        </w:rPr>
        <w:t>Based on the observation 3, for the UE that doesn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t support </w:t>
      </w:r>
      <w:r>
        <w:rPr>
          <w:i/>
          <w:iCs/>
          <w:szCs w:val="21"/>
        </w:rPr>
        <w:t>rateMatchingLTE-CRS</w:t>
      </w:r>
      <w:r>
        <w:rPr>
          <w:rFonts w:hint="eastAsia"/>
          <w:i/>
          <w:iCs/>
          <w:szCs w:val="21"/>
        </w:rPr>
        <w:t xml:space="preserve">/ </w:t>
      </w:r>
      <w:r>
        <w:rPr>
          <w:i/>
          <w:iCs/>
          <w:szCs w:val="21"/>
        </w:rPr>
        <w:t>rateMatchingResrcSetSemi-Static</w:t>
      </w:r>
      <w:r>
        <w:rPr>
          <w:rFonts w:hint="eastAsia"/>
          <w:i/>
          <w:iCs/>
          <w:szCs w:val="21"/>
        </w:rPr>
        <w:t>,</w:t>
      </w:r>
      <w:r>
        <w:rPr>
          <w:rFonts w:hint="eastAsia"/>
          <w:szCs w:val="21"/>
        </w:rPr>
        <w:t xml:space="preserve"> even the network doesn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t configure </w:t>
      </w:r>
      <w:r>
        <w:rPr>
          <w:i/>
          <w:iCs/>
          <w:szCs w:val="21"/>
        </w:rPr>
        <w:t>lte-CRS-ToMatchAround</w:t>
      </w:r>
      <w:r>
        <w:rPr>
          <w:rFonts w:hint="eastAsia"/>
          <w:i/>
          <w:iCs/>
          <w:szCs w:val="21"/>
        </w:rPr>
        <w:t xml:space="preserve"> </w:t>
      </w:r>
      <w:r>
        <w:rPr>
          <w:i/>
          <w:iCs/>
          <w:szCs w:val="21"/>
        </w:rPr>
        <w:t>/rateMatchPatternToAddModLis</w:t>
      </w:r>
      <w:r>
        <w:rPr>
          <w:rFonts w:hint="eastAsia"/>
          <w:i/>
          <w:iCs/>
          <w:szCs w:val="21"/>
        </w:rPr>
        <w:t>t</w:t>
      </w:r>
      <w:r>
        <w:rPr>
          <w:rFonts w:hint="eastAsia"/>
          <w:szCs w:val="21"/>
        </w:rPr>
        <w:t>, it still can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t change the truth that some REs/Symbols have been occupied for the </w:t>
      </w:r>
      <w:r>
        <w:rPr>
          <w:szCs w:val="21"/>
        </w:rPr>
        <w:t>LTE/NR co-existence</w:t>
      </w:r>
      <w:r>
        <w:rPr>
          <w:rFonts w:hint="eastAsia"/>
          <w:szCs w:val="21"/>
        </w:rPr>
        <w:t xml:space="preserve"> case. Thus there is no motivation/benefit to </w:t>
      </w:r>
      <w:r>
        <w:t>match the UE capability</w:t>
      </w:r>
      <w:r>
        <w:rPr>
          <w:rFonts w:hint="eastAsia"/>
        </w:rPr>
        <w:t xml:space="preserve"> when configure</w:t>
      </w:r>
      <w:r>
        <w:t> </w:t>
      </w:r>
      <w:r>
        <w:rPr>
          <w:i/>
          <w:iCs/>
        </w:rPr>
        <w:t>lte-CRS-ToMatchAround/</w:t>
      </w:r>
      <w:r>
        <w:rPr>
          <w:rFonts w:hint="eastAsia"/>
          <w:i/>
          <w:iCs/>
        </w:rPr>
        <w:t xml:space="preserve"> </w:t>
      </w:r>
      <w:r>
        <w:rPr>
          <w:i/>
          <w:iCs/>
        </w:rPr>
        <w:t>rateMatchPatternToAddModList</w:t>
      </w:r>
      <w:r>
        <w:rPr>
          <w:rFonts w:hint="eastAsia"/>
          <w:i/>
          <w:iCs/>
        </w:rPr>
        <w:t>.</w:t>
      </w:r>
    </w:p>
    <w:p>
      <w:pPr>
        <w:rPr>
          <w:b/>
          <w:bCs/>
        </w:rPr>
      </w:pPr>
      <w:r>
        <w:rPr>
          <w:rFonts w:hint="eastAsia"/>
          <w:b/>
          <w:bCs/>
        </w:rPr>
        <w:t xml:space="preserve">Proposal 2: </w:t>
      </w:r>
      <w:r>
        <w:rPr>
          <w:b/>
          <w:bCs/>
        </w:rPr>
        <w:t>For the </w:t>
      </w:r>
      <w:r>
        <w:rPr>
          <w:b/>
          <w:bCs/>
          <w:i/>
          <w:iCs/>
        </w:rPr>
        <w:t>lte-CRS-ToMatchAround/rateMatchPatternToAddModList</w:t>
      </w:r>
      <w:r>
        <w:rPr>
          <w:b/>
          <w:bCs/>
        </w:rPr>
        <w:t xml:space="preserve"> configuration in the </w:t>
      </w:r>
      <w:r>
        <w:rPr>
          <w:b/>
          <w:bCs/>
          <w:i/>
        </w:rPr>
        <w:t>ServingCellConfigCommon</w:t>
      </w:r>
      <w:r>
        <w:rPr>
          <w:b/>
          <w:bCs/>
        </w:rPr>
        <w:t>, no need to match the UE capability (i.e.</w:t>
      </w:r>
      <w:r>
        <w:rPr>
          <w:rFonts w:hint="eastAsia"/>
          <w:b/>
          <w:bCs/>
        </w:rPr>
        <w:t xml:space="preserve"> </w:t>
      </w:r>
      <w:r>
        <w:rPr>
          <w:b/>
          <w:bCs/>
          <w:i/>
          <w:iCs/>
        </w:rPr>
        <w:t>rateMatchingLTE-CRS /rateMatchingResrcSetSemi-Static</w:t>
      </w:r>
      <w:r>
        <w:rPr>
          <w:b/>
          <w:bCs/>
        </w:rPr>
        <w:t>)</w:t>
      </w:r>
      <w:r>
        <w:rPr>
          <w:rFonts w:hint="eastAsia"/>
          <w:b/>
          <w:bCs/>
        </w:rPr>
        <w:t>.</w:t>
      </w:r>
    </w:p>
    <w:p>
      <w:r>
        <w:rPr>
          <w:rFonts w:hint="eastAsia"/>
        </w:rPr>
        <w:t xml:space="preserve">Besides the </w:t>
      </w:r>
      <w:r>
        <w:rPr>
          <w:i/>
          <w:iCs/>
        </w:rPr>
        <w:t>lte-CRS-ToMatchAround/rateMatchPatternToAddModList</w:t>
      </w:r>
      <w:r>
        <w:rPr>
          <w:rFonts w:hint="eastAsia"/>
        </w:rPr>
        <w:t xml:space="preserve">, the other configurations in the </w:t>
      </w:r>
      <w:r>
        <w:t>ServingCellConfigCommon</w:t>
      </w:r>
      <w:r>
        <w:rPr>
          <w:rFonts w:hint="eastAsia"/>
        </w:rPr>
        <w:t xml:space="preserve"> are also included in the system </w:t>
      </w:r>
      <w:r>
        <w:t>information</w:t>
      </w:r>
      <w:r>
        <w:rPr>
          <w:rFonts w:hint="eastAsia"/>
        </w:rPr>
        <w:t>. Obviously, these configuration shall be consistent with that in the system information</w:t>
      </w:r>
      <w:r>
        <w:t> unless explicitly specified otherwise (e.g.</w:t>
      </w:r>
      <w:r>
        <w:rPr>
          <w:i/>
        </w:rPr>
        <w:t>controlResourceSetZero  </w:t>
      </w:r>
      <w:r>
        <w:t xml:space="preserve"> and </w:t>
      </w:r>
      <w:r>
        <w:rPr>
          <w:i/>
        </w:rPr>
        <w:t>searchSpaceZero</w:t>
      </w:r>
      <w:r>
        <w:t> in the </w:t>
      </w:r>
      <w:r>
        <w:rPr>
          <w:i/>
        </w:rPr>
        <w:t>downlinkConfigCommon</w:t>
      </w:r>
      <w:r>
        <w:t>, which can be configured in </w:t>
      </w:r>
      <w:r>
        <w:rPr>
          <w:i/>
        </w:rPr>
        <w:t>ServingCellConfigCommon</w:t>
      </w:r>
      <w:r>
        <w:t> even if MIB indicates that they are absent.)</w:t>
      </w:r>
    </w:p>
    <w:p>
      <w:bookmarkStart w:id="16" w:name="OLE_LINK3"/>
      <w:bookmarkStart w:id="17" w:name="OLE_LINK4"/>
      <w:bookmarkStart w:id="18" w:name="OLE_LINK5"/>
      <w:r>
        <w:rPr>
          <w:rFonts w:hint="eastAsia"/>
          <w:b/>
          <w:bCs/>
        </w:rPr>
        <w:t xml:space="preserve">Proposal 3: </w:t>
      </w:r>
      <w:r>
        <w:rPr>
          <w:b/>
          <w:bCs/>
        </w:rPr>
        <w:t>Common configuration in dedicated signalling and in broadcast information should be consistent unless explicitly specified otherwise (e.g.</w:t>
      </w:r>
      <w:r>
        <w:rPr>
          <w:b/>
          <w:bCs/>
          <w:i/>
        </w:rPr>
        <w:t>controlResourceSetZero</w:t>
      </w:r>
      <w:r>
        <w:rPr>
          <w:b/>
          <w:bCs/>
        </w:rPr>
        <w:t>   and </w:t>
      </w:r>
      <w:r>
        <w:rPr>
          <w:b/>
          <w:bCs/>
          <w:i/>
        </w:rPr>
        <w:t>searchSpaceZero</w:t>
      </w:r>
      <w:r>
        <w:rPr>
          <w:b/>
          <w:bCs/>
        </w:rPr>
        <w:t>  in the </w:t>
      </w:r>
      <w:r>
        <w:rPr>
          <w:b/>
          <w:bCs/>
          <w:i/>
        </w:rPr>
        <w:t>downlinkConfigCommon</w:t>
      </w:r>
      <w:r>
        <w:rPr>
          <w:b/>
          <w:bCs/>
        </w:rPr>
        <w:t>,  which can be  configured in </w:t>
      </w:r>
      <w:r>
        <w:rPr>
          <w:b/>
          <w:bCs/>
          <w:i/>
        </w:rPr>
        <w:t>ServingCellConfigCommon</w:t>
      </w:r>
      <w:r>
        <w:rPr>
          <w:b/>
          <w:bCs/>
        </w:rPr>
        <w:t>  even if MIB indicates that they are absent.)</w:t>
      </w:r>
    </w:p>
    <w:bookmarkEnd w:id="16"/>
    <w:bookmarkEnd w:id="17"/>
    <w:bookmarkEnd w:id="18"/>
    <w:p>
      <w:pPr>
        <w:pStyle w:val="2"/>
        <w:widowControl/>
        <w:numPr>
          <w:ilvl w:val="0"/>
          <w:numId w:val="4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beforeLines="50" w:after="180" w:line="240" w:lineRule="auto"/>
        <w:textAlignment w:val="baseline"/>
        <w:rPr>
          <w:b w:val="0"/>
          <w:bCs w:val="0"/>
          <w:kern w:val="0"/>
          <w:sz w:val="32"/>
          <w:szCs w:val="36"/>
        </w:rPr>
      </w:pPr>
      <w:r>
        <w:rPr>
          <w:b w:val="0"/>
          <w:bCs w:val="0"/>
          <w:kern w:val="0"/>
          <w:sz w:val="32"/>
          <w:szCs w:val="36"/>
        </w:rPr>
        <w:t>C</w:t>
      </w:r>
      <w:r>
        <w:rPr>
          <w:rFonts w:hint="eastAsia"/>
          <w:b w:val="0"/>
          <w:bCs w:val="0"/>
          <w:kern w:val="0"/>
          <w:sz w:val="32"/>
          <w:szCs w:val="36"/>
        </w:rPr>
        <w:t>onclusion</w:t>
      </w:r>
      <w:r>
        <w:rPr>
          <w:b w:val="0"/>
          <w:bCs w:val="0"/>
          <w:kern w:val="0"/>
          <w:sz w:val="32"/>
          <w:szCs w:val="36"/>
        </w:rPr>
        <w:t xml:space="preserve"> and proposals</w:t>
      </w:r>
    </w:p>
    <w:p>
      <w:pPr>
        <w:spacing w:before="156" w:beforeLines="50"/>
      </w:pPr>
      <w:r>
        <w:rPr>
          <w:rFonts w:hint="eastAsia"/>
        </w:rPr>
        <w:t xml:space="preserve">With the above analysis, we have the following </w:t>
      </w:r>
      <w:r>
        <w:t>proposals</w:t>
      </w:r>
      <w:r>
        <w:rPr>
          <w:rFonts w:hint="eastAsia"/>
        </w:rPr>
        <w:t>:</w:t>
      </w:r>
    </w:p>
    <w:p>
      <w:pPr>
        <w:rPr>
          <w:b/>
          <w:bCs/>
          <w:szCs w:val="21"/>
        </w:rPr>
      </w:pPr>
      <w:r>
        <w:rPr>
          <w:rFonts w:hint="eastAsia"/>
          <w:b/>
          <w:bCs/>
        </w:rPr>
        <w:t>Observation 1: F</w:t>
      </w:r>
      <w:r>
        <w:rPr>
          <w:rFonts w:hint="eastAsia"/>
          <w:b/>
          <w:bCs/>
          <w:szCs w:val="21"/>
        </w:rPr>
        <w:t xml:space="preserve">or the BWP Common configuration for the non-initial BWP, the same signalling </w:t>
      </w:r>
      <w:r>
        <w:rPr>
          <w:b/>
          <w:bCs/>
          <w:szCs w:val="21"/>
        </w:rPr>
        <w:t>structure as the in</w:t>
      </w:r>
      <w:r>
        <w:rPr>
          <w:rFonts w:hint="eastAsia"/>
          <w:b/>
          <w:bCs/>
          <w:szCs w:val="21"/>
        </w:rPr>
        <w:t>iti</w:t>
      </w:r>
      <w:r>
        <w:rPr>
          <w:b/>
          <w:bCs/>
          <w:szCs w:val="21"/>
        </w:rPr>
        <w:t xml:space="preserve">al BWP </w:t>
      </w:r>
      <w:r>
        <w:rPr>
          <w:rFonts w:hint="eastAsia"/>
          <w:b/>
          <w:bCs/>
          <w:szCs w:val="21"/>
        </w:rPr>
        <w:t xml:space="preserve">in the system information </w:t>
      </w:r>
      <w:r>
        <w:rPr>
          <w:b/>
          <w:bCs/>
          <w:szCs w:val="21"/>
        </w:rPr>
        <w:t>was adopted</w:t>
      </w:r>
      <w:r>
        <w:rPr>
          <w:rFonts w:hint="eastAsia"/>
          <w:b/>
          <w:bCs/>
          <w:szCs w:val="21"/>
        </w:rPr>
        <w:t>.</w:t>
      </w:r>
    </w:p>
    <w:p>
      <w:pPr>
        <w:pStyle w:val="53"/>
        <w:spacing w:before="0" w:beforeAutospacing="0" w:after="0" w:afterAutospacing="0" w:line="315" w:lineRule="atLeast"/>
        <w:rPr>
          <w:rFonts w:eastAsiaTheme="minorEastAsia"/>
          <w:b/>
          <w:bCs/>
          <w:kern w:val="2"/>
          <w:sz w:val="21"/>
          <w:szCs w:val="21"/>
          <w:lang w:val="en-US" w:eastAsia="zh-CN"/>
        </w:rPr>
      </w:pPr>
      <w:r>
        <w:rPr>
          <w:rFonts w:eastAsiaTheme="minorEastAsia"/>
          <w:b/>
          <w:bCs/>
          <w:kern w:val="2"/>
          <w:sz w:val="21"/>
          <w:szCs w:val="21"/>
          <w:lang w:val="en-US" w:eastAsia="zh-CN"/>
        </w:rPr>
        <w:t xml:space="preserve">Proposal 1: There is no need to </w:t>
      </w:r>
      <w:r>
        <w:rPr>
          <w:rFonts w:hint="eastAsia" w:eastAsiaTheme="minorEastAsia"/>
          <w:b/>
          <w:bCs/>
          <w:kern w:val="2"/>
          <w:sz w:val="21"/>
          <w:szCs w:val="21"/>
          <w:lang w:val="en-US" w:eastAsia="zh-CN"/>
        </w:rPr>
        <w:t xml:space="preserve">take </w:t>
      </w:r>
      <w:r>
        <w:rPr>
          <w:rFonts w:eastAsiaTheme="minorEastAsia"/>
          <w:b/>
          <w:bCs/>
          <w:kern w:val="2"/>
          <w:sz w:val="21"/>
          <w:szCs w:val="21"/>
          <w:lang w:val="en-US" w:eastAsia="zh-CN"/>
        </w:rPr>
        <w:t xml:space="preserve">the UE capability </w:t>
      </w:r>
      <w:r>
        <w:rPr>
          <w:rFonts w:hint="eastAsia" w:eastAsiaTheme="minorEastAsia"/>
          <w:b/>
          <w:bCs/>
          <w:kern w:val="2"/>
          <w:sz w:val="21"/>
          <w:szCs w:val="21"/>
          <w:lang w:val="en-US" w:eastAsia="zh-CN"/>
        </w:rPr>
        <w:t xml:space="preserve">into consideration for the BWP Common </w:t>
      </w:r>
      <w:r>
        <w:rPr>
          <w:rFonts w:eastAsiaTheme="minorEastAsia"/>
          <w:b/>
          <w:bCs/>
          <w:kern w:val="2"/>
          <w:sz w:val="21"/>
          <w:szCs w:val="21"/>
          <w:lang w:val="en-US" w:eastAsia="zh-CN"/>
        </w:rPr>
        <w:t>Configuration</w:t>
      </w:r>
      <w:r>
        <w:rPr>
          <w:rFonts w:hint="eastAsia" w:eastAsiaTheme="minorEastAsia"/>
          <w:b/>
          <w:bCs/>
          <w:kern w:val="2"/>
          <w:sz w:val="21"/>
          <w:szCs w:val="21"/>
          <w:lang w:val="en-US" w:eastAsia="zh-CN"/>
        </w:rPr>
        <w:t xml:space="preserve"> in the dedicated signalling</w:t>
      </w:r>
      <w:r>
        <w:rPr>
          <w:rFonts w:eastAsiaTheme="minorEastAsia"/>
          <w:b/>
          <w:bCs/>
          <w:kern w:val="2"/>
          <w:sz w:val="21"/>
          <w:szCs w:val="21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napToGrid w:val="0"/>
        <w:spacing w:before="156" w:beforeLines="50" w:line="240" w:lineRule="auto"/>
        <w:textAlignment w:val="baseline"/>
        <w:rPr>
          <w:b/>
          <w:bCs/>
          <w:szCs w:val="21"/>
        </w:rPr>
      </w:pPr>
      <w:r>
        <w:rPr>
          <w:rFonts w:hint="eastAsia"/>
          <w:b/>
          <w:bCs/>
        </w:rPr>
        <w:t xml:space="preserve">Observation 2: For the </w:t>
      </w:r>
      <w:r>
        <w:rPr>
          <w:b/>
          <w:bCs/>
          <w:i/>
          <w:szCs w:val="21"/>
        </w:rPr>
        <w:t>ServingCellConfigCommon</w:t>
      </w:r>
      <w:r>
        <w:rPr>
          <w:b/>
          <w:bCs/>
          <w:szCs w:val="21"/>
        </w:rPr>
        <w:t>, except the</w:t>
      </w:r>
      <w:r>
        <w:rPr>
          <w:b/>
          <w:bCs/>
          <w:i/>
          <w:szCs w:val="21"/>
        </w:rPr>
        <w:t> lte-CRS-ToMatchAround</w:t>
      </w:r>
      <w:r>
        <w:rPr>
          <w:rFonts w:hint="eastAsia"/>
          <w:b/>
          <w:bCs/>
          <w:i/>
          <w:szCs w:val="21"/>
        </w:rPr>
        <w:t xml:space="preserve"> </w:t>
      </w:r>
      <w:r>
        <w:rPr>
          <w:b/>
          <w:bCs/>
          <w:i/>
          <w:szCs w:val="21"/>
        </w:rPr>
        <w:t>/rateMatchPatternToAddModList</w:t>
      </w:r>
      <w:r>
        <w:rPr>
          <w:b/>
          <w:bCs/>
          <w:szCs w:val="21"/>
        </w:rPr>
        <w:t>, all of other elements are also included in the system Information.</w:t>
      </w:r>
    </w:p>
    <w:p>
      <w:pPr>
        <w:overflowPunct w:val="0"/>
        <w:autoSpaceDE w:val="0"/>
        <w:autoSpaceDN w:val="0"/>
        <w:adjustRightInd w:val="0"/>
        <w:snapToGrid w:val="0"/>
        <w:spacing w:before="156" w:beforeLines="50" w:line="240" w:lineRule="auto"/>
        <w:textAlignment w:val="baseline"/>
        <w:rPr>
          <w:b/>
          <w:bCs/>
          <w:szCs w:val="21"/>
        </w:rPr>
      </w:pPr>
      <w:r>
        <w:rPr>
          <w:rFonts w:hint="eastAsia"/>
          <w:b/>
          <w:bCs/>
        </w:rPr>
        <w:t>Observation 3: T</w:t>
      </w:r>
      <w:r>
        <w:rPr>
          <w:b/>
          <w:bCs/>
          <w:szCs w:val="21"/>
        </w:rPr>
        <w:t>he</w:t>
      </w:r>
      <w:r>
        <w:rPr>
          <w:rFonts w:hint="eastAsia"/>
          <w:b/>
          <w:bCs/>
          <w:szCs w:val="21"/>
        </w:rPr>
        <w:t xml:space="preserve"> </w:t>
      </w:r>
      <w:r>
        <w:rPr>
          <w:b/>
          <w:bCs/>
          <w:szCs w:val="21"/>
        </w:rPr>
        <w:t xml:space="preserve">main usage </w:t>
      </w:r>
      <w:r>
        <w:rPr>
          <w:rFonts w:hint="eastAsia"/>
          <w:b/>
          <w:bCs/>
          <w:szCs w:val="21"/>
        </w:rPr>
        <w:t xml:space="preserve">of </w:t>
      </w:r>
      <w:r>
        <w:rPr>
          <w:b/>
          <w:bCs/>
          <w:i/>
          <w:szCs w:val="21"/>
        </w:rPr>
        <w:t>lte-CRS-ToMatchAround</w:t>
      </w:r>
      <w:r>
        <w:rPr>
          <w:rFonts w:hint="eastAsia"/>
          <w:b/>
          <w:bCs/>
          <w:i/>
          <w:szCs w:val="21"/>
        </w:rPr>
        <w:t xml:space="preserve"> </w:t>
      </w:r>
      <w:r>
        <w:rPr>
          <w:b/>
          <w:bCs/>
          <w:i/>
          <w:szCs w:val="21"/>
        </w:rPr>
        <w:t>/rateMatchPatternToAddModLis</w:t>
      </w:r>
      <w:r>
        <w:rPr>
          <w:rFonts w:hint="eastAsia"/>
          <w:b/>
          <w:bCs/>
          <w:i/>
          <w:szCs w:val="21"/>
        </w:rPr>
        <w:t>t</w:t>
      </w:r>
      <w:r>
        <w:rPr>
          <w:rFonts w:hint="eastAsia"/>
          <w:b/>
          <w:bCs/>
          <w:szCs w:val="21"/>
        </w:rPr>
        <w:t xml:space="preserve"> </w:t>
      </w:r>
      <w:r>
        <w:rPr>
          <w:b/>
          <w:bCs/>
          <w:szCs w:val="21"/>
        </w:rPr>
        <w:t>is LTE/NR co-existence</w:t>
      </w:r>
      <w:r>
        <w:rPr>
          <w:rFonts w:hint="eastAsia"/>
          <w:b/>
          <w:bCs/>
          <w:szCs w:val="21"/>
        </w:rPr>
        <w:t>.</w:t>
      </w:r>
    </w:p>
    <w:p>
      <w:pPr>
        <w:rPr>
          <w:b/>
          <w:bCs/>
        </w:rPr>
      </w:pPr>
      <w:r>
        <w:rPr>
          <w:rFonts w:hint="eastAsia"/>
          <w:b/>
          <w:bCs/>
        </w:rPr>
        <w:t xml:space="preserve">Proposal 2: </w:t>
      </w:r>
      <w:r>
        <w:rPr>
          <w:b/>
          <w:bCs/>
        </w:rPr>
        <w:t>For the </w:t>
      </w:r>
      <w:r>
        <w:rPr>
          <w:b/>
          <w:bCs/>
          <w:i/>
          <w:iCs/>
        </w:rPr>
        <w:t>lte-CRS-ToMatchAround/rateMatchPatternToAddModList</w:t>
      </w:r>
      <w:r>
        <w:rPr>
          <w:b/>
          <w:bCs/>
        </w:rPr>
        <w:t xml:space="preserve"> configuration in the </w:t>
      </w:r>
      <w:r>
        <w:rPr>
          <w:b/>
          <w:bCs/>
          <w:i/>
        </w:rPr>
        <w:t>ServingCellConfigCommon</w:t>
      </w:r>
      <w:r>
        <w:rPr>
          <w:b/>
          <w:bCs/>
        </w:rPr>
        <w:t>, no need to match the UE capability (i.e.</w:t>
      </w:r>
      <w:r>
        <w:rPr>
          <w:rFonts w:hint="eastAsia"/>
          <w:b/>
          <w:bCs/>
        </w:rPr>
        <w:t xml:space="preserve"> </w:t>
      </w:r>
      <w:r>
        <w:rPr>
          <w:b/>
          <w:bCs/>
          <w:i/>
          <w:iCs/>
        </w:rPr>
        <w:t>rateMatchingLTE-CRS /rateMatchingResrcSetSemi-Static</w:t>
      </w:r>
      <w:r>
        <w:rPr>
          <w:b/>
          <w:bCs/>
        </w:rPr>
        <w:t>)</w:t>
      </w:r>
      <w:r>
        <w:rPr>
          <w:rFonts w:hint="eastAsia"/>
          <w:b/>
          <w:bCs/>
        </w:rPr>
        <w:t>.</w:t>
      </w:r>
    </w:p>
    <w:p>
      <w:r>
        <w:rPr>
          <w:rFonts w:hint="eastAsia"/>
          <w:b/>
          <w:bCs/>
        </w:rPr>
        <w:t xml:space="preserve">Proposal 3: </w:t>
      </w:r>
      <w:r>
        <w:rPr>
          <w:b/>
          <w:bCs/>
        </w:rPr>
        <w:t>Common configuration in dedicated signalling and in broadcast information should be consistent unless explicitly specified otherwise (e.g.</w:t>
      </w:r>
      <w:r>
        <w:rPr>
          <w:b/>
          <w:bCs/>
          <w:i/>
        </w:rPr>
        <w:t>controlResourceSetZero</w:t>
      </w:r>
      <w:r>
        <w:rPr>
          <w:b/>
          <w:bCs/>
        </w:rPr>
        <w:t>   and </w:t>
      </w:r>
      <w:r>
        <w:rPr>
          <w:b/>
          <w:bCs/>
          <w:i/>
        </w:rPr>
        <w:t>searchSpaceZero</w:t>
      </w:r>
      <w:r>
        <w:rPr>
          <w:b/>
          <w:bCs/>
        </w:rPr>
        <w:t>  in the </w:t>
      </w:r>
      <w:r>
        <w:rPr>
          <w:b/>
          <w:bCs/>
          <w:i/>
        </w:rPr>
        <w:t>downlinkConfigCommon</w:t>
      </w:r>
      <w:r>
        <w:rPr>
          <w:b/>
          <w:bCs/>
        </w:rPr>
        <w:t>,  which can be  configured in </w:t>
      </w:r>
      <w:r>
        <w:rPr>
          <w:b/>
          <w:bCs/>
          <w:i/>
        </w:rPr>
        <w:t>ServingCellConfigCommon</w:t>
      </w:r>
      <w:r>
        <w:rPr>
          <w:b/>
          <w:bCs/>
        </w:rPr>
        <w:t>  even if MIB indicates that they are absent.)</w:t>
      </w:r>
    </w:p>
    <w:p>
      <w:pPr>
        <w:pStyle w:val="2"/>
        <w:widowControl/>
        <w:numPr>
          <w:ilvl w:val="0"/>
          <w:numId w:val="4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beforeLines="50" w:after="180" w:line="240" w:lineRule="auto"/>
        <w:textAlignment w:val="baseline"/>
        <w:rPr>
          <w:b w:val="0"/>
          <w:bCs w:val="0"/>
          <w:kern w:val="0"/>
          <w:sz w:val="32"/>
          <w:szCs w:val="36"/>
        </w:rPr>
      </w:pPr>
      <w:r>
        <w:rPr>
          <w:b w:val="0"/>
          <w:bCs w:val="0"/>
          <w:kern w:val="0"/>
          <w:sz w:val="32"/>
          <w:szCs w:val="36"/>
        </w:rPr>
        <w:t>Reference</w:t>
      </w:r>
    </w:p>
    <w:p>
      <w:pPr>
        <w:numPr>
          <w:ilvl w:val="0"/>
          <w:numId w:val="6"/>
        </w:numPr>
        <w:rPr>
          <w:lang w:eastAsia="ja-JP"/>
        </w:rPr>
      </w:pPr>
      <w:r>
        <w:rPr>
          <w:rFonts w:hint="eastAsia"/>
        </w:rPr>
        <w:t>R2-2103799</w:t>
      </w:r>
      <w:r>
        <w:rPr>
          <w:rFonts w:hint="eastAsia"/>
        </w:rPr>
        <w:tab/>
      </w:r>
      <w:r>
        <w:rPr>
          <w:rFonts w:hint="eastAsia"/>
        </w:rPr>
        <w:t>Configuration of common fields in dedicated signalling</w:t>
      </w:r>
      <w:r>
        <w:rPr>
          <w:rFonts w:hint="eastAsia"/>
        </w:rPr>
        <w:tab/>
      </w:r>
      <w:r>
        <w:rPr>
          <w:rFonts w:hint="eastAsia"/>
        </w:rPr>
        <w:t>Ericsson</w:t>
      </w:r>
      <w:r>
        <w:rPr>
          <w:rFonts w:hint="eastAsia"/>
        </w:rPr>
        <w:tab/>
      </w:r>
      <w:r>
        <w:rPr>
          <w:rFonts w:hint="eastAsia"/>
        </w:rPr>
        <w:t>discussion</w:t>
      </w:r>
      <w:r>
        <w:rPr>
          <w:rFonts w:hint="eastAsia"/>
        </w:rPr>
        <w:tab/>
      </w:r>
      <w:r>
        <w:rPr>
          <w:rFonts w:hint="eastAsia"/>
        </w:rPr>
        <w:t>Rel-15</w:t>
      </w:r>
      <w:r>
        <w:rPr>
          <w:rFonts w:hint="eastAsia"/>
        </w:rPr>
        <w:tab/>
      </w:r>
      <w:r>
        <w:rPr>
          <w:rFonts w:hint="eastAsia"/>
        </w:rPr>
        <w:t>NR_newRAT-Core</w:t>
      </w:r>
    </w:p>
    <w:p>
      <w:pPr>
        <w:numPr>
          <w:ilvl w:val="0"/>
          <w:numId w:val="6"/>
        </w:numPr>
        <w:rPr>
          <w:lang w:eastAsia="ja-JP"/>
        </w:rPr>
        <w:sectPr>
          <w:headerReference r:id="rId3" w:type="default"/>
          <w:footerReference r:id="rId4" w:type="default"/>
          <w:pgSz w:w="11906" w:h="16838"/>
          <w:pgMar w:top="1440" w:right="1274" w:bottom="1440" w:left="851" w:header="851" w:footer="992" w:gutter="0"/>
          <w:cols w:space="720" w:num="1"/>
          <w:docGrid w:type="lines" w:linePitch="312" w:charSpace="0"/>
        </w:sectPr>
      </w:pPr>
      <w:r>
        <w:t>R2-1803722</w:t>
      </w:r>
      <w:r>
        <w:rPr>
          <w:rFonts w:hint="eastAsia"/>
        </w:rPr>
        <w:t xml:space="preserve"> </w:t>
      </w:r>
      <w:r>
        <w:t>[D313] Necessity of LTE CRS rate matching for Other SI</w:t>
      </w:r>
      <w:r>
        <w:rPr>
          <w:rFonts w:hint="eastAsia"/>
        </w:rPr>
        <w:t xml:space="preserve">  NTT DOCOMO</w:t>
      </w:r>
    </w:p>
    <w:p>
      <w:pPr>
        <w:pStyle w:val="2"/>
        <w:widowControl/>
        <w:numPr>
          <w:ilvl w:val="0"/>
          <w:numId w:val="4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beforeLines="50" w:after="180" w:line="240" w:lineRule="auto"/>
        <w:textAlignment w:val="baseline"/>
        <w:rPr>
          <w:b w:val="0"/>
          <w:bCs w:val="0"/>
          <w:kern w:val="0"/>
          <w:sz w:val="32"/>
          <w:szCs w:val="36"/>
        </w:rPr>
      </w:pPr>
      <w:bookmarkStart w:id="19" w:name="_GoBack"/>
      <w:bookmarkEnd w:id="19"/>
      <w:r>
        <w:rPr>
          <w:rFonts w:hint="eastAsia"/>
          <w:b w:val="0"/>
          <w:bCs w:val="0"/>
          <w:kern w:val="0"/>
          <w:sz w:val="32"/>
          <w:szCs w:val="36"/>
        </w:rPr>
        <w:t>Annex: System Information vs Common configuration in the dedicated signaling</w:t>
      </w:r>
    </w:p>
    <w:p>
      <w:pPr>
        <w:pStyle w:val="53"/>
        <w:shd w:val="clear" w:color="auto" w:fill="FFFFFF"/>
        <w:spacing w:before="0" w:beforeAutospacing="0" w:after="0" w:afterAutospacing="0" w:line="300" w:lineRule="atLeast"/>
        <w:rPr>
          <w:rStyle w:val="59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tbl>
      <w:tblPr>
        <w:tblStyle w:val="56"/>
        <w:tblpPr w:leftFromText="180" w:rightFromText="180" w:vertAnchor="text" w:horzAnchor="margin" w:tblpY="212"/>
        <w:tblOverlap w:val="never"/>
        <w:tblW w:w="0" w:type="auto"/>
        <w:tblInd w:w="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80"/>
        <w:gridCol w:w="3349"/>
        <w:gridCol w:w="2560"/>
      </w:tblGrid>
      <w:tr>
        <w:tblPrEx>
          <w:shd w:val="clear" w:color="auto" w:fill="FFFFFF"/>
        </w:tblPrEx>
        <w:trPr>
          <w:trHeight w:val="241" w:hRule="atLeast"/>
        </w:trPr>
        <w:tc>
          <w:tcPr>
            <w:tcW w:w="0" w:type="auto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wordWrap w:val="0"/>
              <w:spacing w:line="300" w:lineRule="atLeast"/>
              <w:jc w:val="center"/>
              <w:rPr>
                <w:b/>
                <w:bCs/>
                <w:szCs w:val="21"/>
              </w:rPr>
            </w:pPr>
            <w:r>
              <w:rPr>
                <w:rFonts w:hint="eastAsia" w:eastAsia="宋体"/>
                <w:b/>
                <w:bCs/>
                <w:kern w:val="0"/>
                <w:szCs w:val="21"/>
                <w:lang w:bidi="ar"/>
              </w:rPr>
              <w:t>System Information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wordWrap w:val="0"/>
              <w:spacing w:line="300" w:lineRule="atLeast"/>
              <w:jc w:val="center"/>
              <w:rPr>
                <w:rFonts w:eastAsia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hint="eastAsia" w:eastAsia="宋体"/>
                <w:b/>
                <w:bCs/>
                <w:kern w:val="0"/>
                <w:szCs w:val="21"/>
                <w:lang w:bidi="ar"/>
              </w:rPr>
              <w:t>Common configuration in the dedicated signaling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wordWrap w:val="0"/>
              <w:spacing w:line="300" w:lineRule="atLeast"/>
              <w:jc w:val="left"/>
              <w:rPr>
                <w:color w:val="0070C0"/>
                <w:sz w:val="18"/>
                <w:szCs w:val="18"/>
              </w:rPr>
            </w:pPr>
            <w:r>
              <w:rPr>
                <w:rFonts w:eastAsia="宋体"/>
                <w:color w:val="0070C0"/>
                <w:kern w:val="0"/>
                <w:sz w:val="18"/>
                <w:szCs w:val="18"/>
                <w:lang w:bidi="ar"/>
              </w:rPr>
              <w:t>ServingCellConfigCommonSIB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wordWrap w:val="0"/>
              <w:spacing w:line="300" w:lineRule="atLeast"/>
              <w:jc w:val="left"/>
              <w:rPr>
                <w:color w:val="0070C0"/>
                <w:sz w:val="18"/>
                <w:szCs w:val="18"/>
              </w:rPr>
            </w:pPr>
            <w:r>
              <w:rPr>
                <w:rFonts w:eastAsia="宋体"/>
                <w:color w:val="0070C0"/>
                <w:kern w:val="0"/>
                <w:sz w:val="18"/>
                <w:szCs w:val="18"/>
                <w:lang w:bidi="ar"/>
              </w:rPr>
              <w:t>ServingCellConfigCommon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wordWrap w:val="0"/>
              <w:spacing w:line="300" w:lineRule="atLeast"/>
              <w:jc w:val="left"/>
              <w:rPr>
                <w:rFonts w:eastAsia="宋体"/>
                <w:color w:val="0070C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70C0"/>
                <w:kern w:val="0"/>
                <w:sz w:val="18"/>
                <w:szCs w:val="18"/>
                <w:lang w:bidi="ar"/>
              </w:rPr>
              <w:t> </w:t>
            </w:r>
            <w:r>
              <w:rPr>
                <w:rFonts w:hint="eastAsia" w:eastAsia="宋体"/>
                <w:color w:val="0070C0"/>
                <w:kern w:val="0"/>
                <w:sz w:val="18"/>
                <w:szCs w:val="18"/>
                <w:lang w:bidi="ar"/>
              </w:rPr>
              <w:t>BWP common configuration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physCellId                         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1" w:hRule="atLeast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53"/>
              <w:wordWrap w:val="0"/>
              <w:spacing w:before="0" w:beforeAutospacing="0" w:after="0" w:afterAutospacing="0" w:line="300" w:lineRule="atLeast"/>
              <w:rPr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 w:bidi="ar"/>
              </w:rPr>
              <w:t>downlinkConfigCommonSIB(frequencyInfoDL</w:t>
            </w:r>
            <w:r>
              <w:rPr>
                <w:rFonts w:hint="eastAsia" w:eastAsia="宋体"/>
                <w:color w:val="000000"/>
                <w:sz w:val="18"/>
                <w:szCs w:val="18"/>
                <w:lang w:val="en-US" w:eastAsia="zh-CN" w:bidi="ar"/>
              </w:rPr>
              <w:t>,</w:t>
            </w:r>
            <w:r>
              <w:rPr>
                <w:color w:val="00B050"/>
                <w:sz w:val="18"/>
                <w:szCs w:val="18"/>
              </w:rPr>
              <w:t>BWP-DownlinkCommon</w:t>
            </w:r>
          </w:p>
          <w:p>
            <w:pPr>
              <w:pStyle w:val="53"/>
              <w:wordWrap w:val="0"/>
              <w:spacing w:before="0" w:beforeAutospacing="0" w:after="0" w:afterAutospacing="0" w:line="300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bcch-Config         </w:t>
            </w:r>
          </w:p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pcch-Config )                     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downlinkConfigCommon(FrequencyInfoDL</w:t>
            </w: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bidi="ar"/>
              </w:rPr>
              <w:t>,</w:t>
            </w:r>
            <w:r>
              <w:rPr>
                <w:color w:val="00B050"/>
                <w:sz w:val="18"/>
                <w:szCs w:val="18"/>
              </w:rPr>
              <w:t>BWP-DownlinkCommon</w:t>
            </w: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 )             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wordWrap w:val="0"/>
              <w:spacing w:line="300" w:lineRule="atLeast"/>
              <w:jc w:val="left"/>
              <w:rPr>
                <w:rFonts w:eastAsia="宋体"/>
                <w:kern w:val="0"/>
                <w:sz w:val="18"/>
                <w:szCs w:val="18"/>
                <w:lang w:bidi="ar"/>
              </w:rPr>
            </w:pPr>
            <w:r>
              <w:rPr>
                <w:rFonts w:eastAsia="宋体"/>
                <w:kern w:val="0"/>
                <w:sz w:val="18"/>
                <w:szCs w:val="18"/>
                <w:lang w:bidi="ar"/>
              </w:rPr>
              <w:t>ServingCellConfig-&gt;BWP-Downlink-&gt;</w:t>
            </w:r>
            <w:r>
              <w:rPr>
                <w:rFonts w:eastAsia="宋体"/>
                <w:color w:val="00B050"/>
                <w:kern w:val="0"/>
                <w:sz w:val="18"/>
                <w:szCs w:val="18"/>
                <w:lang w:bidi="ar"/>
              </w:rPr>
              <w:t>BWP-DownlinkCommon</w:t>
            </w:r>
          </w:p>
          <w:p>
            <w:pPr>
              <w:widowControl/>
              <w:spacing w:line="300" w:lineRule="atLeast"/>
              <w:jc w:val="left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 uplinkConfigCommon (FrequencyInfoUL          </w:t>
            </w: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eastAsia="宋体"/>
                <w:color w:val="00B050"/>
                <w:kern w:val="0"/>
                <w:sz w:val="18"/>
                <w:szCs w:val="18"/>
                <w:lang w:bidi="ar"/>
              </w:rPr>
              <w:t> BWP-UplinkCommon  </w:t>
            </w:r>
            <w:r>
              <w:rPr>
                <w:rFonts w:eastAsia="宋体"/>
                <w:color w:val="FF0000"/>
                <w:kern w:val="0"/>
                <w:sz w:val="18"/>
                <w:szCs w:val="18"/>
                <w:lang w:bidi="ar"/>
              </w:rPr>
              <w:t> </w:t>
            </w: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       </w:t>
            </w: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timeAlignmentTimerCommon               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uplinkConfigCommon (FrequencyInfoUL   </w:t>
            </w: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 </w:t>
            </w:r>
            <w:r>
              <w:rPr>
                <w:rFonts w:eastAsia="宋体"/>
                <w:color w:val="00B050"/>
                <w:kern w:val="0"/>
                <w:sz w:val="18"/>
                <w:szCs w:val="18"/>
                <w:lang w:bidi="ar"/>
              </w:rPr>
              <w:t>BWP-UplinkCommon </w:t>
            </w: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         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left"/>
              <w:rPr>
                <w:sz w:val="18"/>
                <w:szCs w:val="18"/>
              </w:rPr>
            </w:pPr>
            <w:r>
              <w:rPr>
                <w:rFonts w:eastAsia="宋体"/>
                <w:kern w:val="0"/>
                <w:sz w:val="18"/>
                <w:szCs w:val="18"/>
                <w:lang w:bidi="ar"/>
              </w:rPr>
              <w:t>ServingCellConfig-&gt;</w:t>
            </w:r>
            <w:r>
              <w:rPr>
                <w:rFonts w:hint="eastAsia" w:eastAsia="宋体"/>
                <w:kern w:val="0"/>
                <w:sz w:val="18"/>
                <w:szCs w:val="18"/>
                <w:lang w:bidi="ar"/>
              </w:rPr>
              <w:t>-&gt;BWP-Uplink-&gt;</w:t>
            </w:r>
            <w:r>
              <w:rPr>
                <w:rFonts w:hint="eastAsia" w:eastAsia="宋体"/>
                <w:color w:val="00B050"/>
                <w:kern w:val="0"/>
                <w:sz w:val="18"/>
                <w:szCs w:val="18"/>
                <w:lang w:bidi="ar"/>
              </w:rPr>
              <w:t>BWP-UplinkCommon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left"/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 supplementaryUplink              </w:t>
            </w:r>
          </w:p>
          <w:p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 n-TimingAdvanceOffset            </w:t>
            </w:r>
          </w:p>
          <w:p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 ssb-PositionsInBurst:inOneGroup/ groupPresence                   ssb-PeriodicityServingCell      </w:t>
            </w:r>
          </w:p>
          <w:p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 tdd-UL-DL-ConfigurationCommon  </w:t>
            </w:r>
          </w:p>
          <w:p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 ss-PBCH-BlockPower                </w:t>
            </w:r>
          </w:p>
          <w:p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 channelAccessMode-r16: dynamic/semiStatic                     </w:t>
            </w:r>
          </w:p>
          <w:p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 discoveryBurstWindowLength-r16</w:t>
            </w:r>
          </w:p>
          <w:p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 highSpeedConfig-r16</w:t>
            </w:r>
          </w:p>
          <w:p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MIB:subCarrierSpacingCommon</w:t>
            </w:r>
          </w:p>
          <w:p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MIB:dmrs-TypeA-Position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left"/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supplementaryUplinkConfig       </w:t>
            </w:r>
          </w:p>
          <w:p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n-TimingAdvanceOffset            </w:t>
            </w:r>
          </w:p>
          <w:p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ssb-PositionsInBurst:  shortBitmap/ mediumBitmap/longBitmap                     </w:t>
            </w:r>
          </w:p>
          <w:p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ssb-periodicityServingCell      </w:t>
            </w:r>
          </w:p>
          <w:p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tdd-UL-DL-ConfigurationCommon  </w:t>
            </w:r>
          </w:p>
          <w:p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ss-PBCH-BlockPower               </w:t>
            </w:r>
          </w:p>
          <w:p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channelAccessMode-r16 : dynamic/ semiStatic                     </w:t>
            </w:r>
          </w:p>
          <w:p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discoveryBurstWindowLength-r16</w:t>
            </w:r>
          </w:p>
          <w:p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highSpeedConfig-r16</w:t>
            </w:r>
          </w:p>
          <w:p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ssbSubcarrierSpacing             </w:t>
            </w:r>
          </w:p>
          <w:p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dmrs-TypeA-Position              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wordWrap w:val="0"/>
              <w:spacing w:line="300" w:lineRule="atLeast"/>
              <w:jc w:val="left"/>
              <w:rPr>
                <w:rFonts w:eastAsia="宋体"/>
                <w:color w:val="00B05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B050"/>
                <w:kern w:val="0"/>
                <w:sz w:val="18"/>
                <w:szCs w:val="18"/>
                <w:lang w:bidi="ar"/>
              </w:rPr>
              <w:t>lte-CRS-ToMatchAround            </w:t>
            </w:r>
          </w:p>
          <w:p>
            <w:pPr>
              <w:widowControl/>
              <w:wordWrap w:val="0"/>
              <w:spacing w:line="300" w:lineRule="atLeast"/>
              <w:jc w:val="left"/>
              <w:rPr>
                <w:color w:val="00B050"/>
                <w:sz w:val="18"/>
                <w:szCs w:val="18"/>
              </w:rPr>
            </w:pPr>
            <w:r>
              <w:rPr>
                <w:rFonts w:eastAsia="宋体"/>
                <w:color w:val="00B050"/>
                <w:kern w:val="0"/>
                <w:sz w:val="18"/>
                <w:szCs w:val="18"/>
                <w:lang w:bidi="ar"/>
              </w:rPr>
              <w:t>rateMatchPatternToAddModList   </w:t>
            </w:r>
          </w:p>
          <w:p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B050"/>
                <w:kern w:val="0"/>
                <w:sz w:val="18"/>
                <w:szCs w:val="18"/>
                <w:lang w:bidi="ar"/>
              </w:rPr>
              <w:t>rateMatchPatternToReleaseList  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</w:p>
        </w:tc>
      </w:tr>
    </w:tbl>
    <w:p>
      <w:pPr>
        <w:rPr>
          <w:lang w:val="en-GB"/>
        </w:rPr>
      </w:pPr>
    </w:p>
    <w:sectPr>
      <w:pgSz w:w="11906" w:h="16838"/>
      <w:pgMar w:top="1440" w:right="1274" w:bottom="1440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ind w:right="360"/>
      <w:jc w:val="both"/>
      <w:rPr>
        <w:rFonts w:ascii="宋体" w:hAnsi="宋体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7D61EA"/>
    <w:multiLevelType w:val="singleLevel"/>
    <w:tmpl w:val="C47D61EA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C4C1DEE8"/>
    <w:multiLevelType w:val="singleLevel"/>
    <w:tmpl w:val="C4C1DEE8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0000000D"/>
    <w:multiLevelType w:val="multilevel"/>
    <w:tmpl w:val="0000000D"/>
    <w:lvl w:ilvl="0" w:tentative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3">
    <w:nsid w:val="070E4796"/>
    <w:multiLevelType w:val="multilevel"/>
    <w:tmpl w:val="070E4796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4BDF65F6"/>
    <w:multiLevelType w:val="multilevel"/>
    <w:tmpl w:val="4BDF65F6"/>
    <w:lvl w:ilvl="0" w:tentative="0">
      <w:start w:val="1"/>
      <w:numFmt w:val="decimal"/>
      <w:pStyle w:val="280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101505E"/>
    <w:multiLevelType w:val="multilevel"/>
    <w:tmpl w:val="5101505E"/>
    <w:lvl w:ilvl="0" w:tentative="0">
      <w:start w:val="1"/>
      <w:numFmt w:val="decimal"/>
      <w:pStyle w:val="272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AA"/>
    <w:rsid w:val="000B38F6"/>
    <w:rsid w:val="000B4B76"/>
    <w:rsid w:val="000B65CB"/>
    <w:rsid w:val="000B780E"/>
    <w:rsid w:val="000C0CBC"/>
    <w:rsid w:val="000C1DE5"/>
    <w:rsid w:val="000C236D"/>
    <w:rsid w:val="000C2690"/>
    <w:rsid w:val="000C364E"/>
    <w:rsid w:val="000C5D4C"/>
    <w:rsid w:val="000C6273"/>
    <w:rsid w:val="000C7FC7"/>
    <w:rsid w:val="000D0B53"/>
    <w:rsid w:val="000D18C5"/>
    <w:rsid w:val="000D2BF9"/>
    <w:rsid w:val="000D6D12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07192"/>
    <w:rsid w:val="00111C96"/>
    <w:rsid w:val="00111CE0"/>
    <w:rsid w:val="00111DF0"/>
    <w:rsid w:val="001135C5"/>
    <w:rsid w:val="001147C0"/>
    <w:rsid w:val="001156DF"/>
    <w:rsid w:val="00122393"/>
    <w:rsid w:val="001253A3"/>
    <w:rsid w:val="00126145"/>
    <w:rsid w:val="0012673B"/>
    <w:rsid w:val="001277F8"/>
    <w:rsid w:val="00131F75"/>
    <w:rsid w:val="0013288E"/>
    <w:rsid w:val="00134275"/>
    <w:rsid w:val="0013534D"/>
    <w:rsid w:val="00136E39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263A"/>
    <w:rsid w:val="001A384E"/>
    <w:rsid w:val="001A4015"/>
    <w:rsid w:val="001A6202"/>
    <w:rsid w:val="001A6AFD"/>
    <w:rsid w:val="001B0AD2"/>
    <w:rsid w:val="001B14A1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F31F0"/>
    <w:rsid w:val="001F3DF5"/>
    <w:rsid w:val="001F3EE6"/>
    <w:rsid w:val="001F4346"/>
    <w:rsid w:val="00201FFE"/>
    <w:rsid w:val="00202C4B"/>
    <w:rsid w:val="00203B88"/>
    <w:rsid w:val="00206380"/>
    <w:rsid w:val="002155FA"/>
    <w:rsid w:val="002176DE"/>
    <w:rsid w:val="00220855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76B1D"/>
    <w:rsid w:val="00281718"/>
    <w:rsid w:val="002855D0"/>
    <w:rsid w:val="00290E18"/>
    <w:rsid w:val="00291D54"/>
    <w:rsid w:val="00293A6E"/>
    <w:rsid w:val="0029620D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4BEF"/>
    <w:rsid w:val="002D59C7"/>
    <w:rsid w:val="002D6461"/>
    <w:rsid w:val="002D650F"/>
    <w:rsid w:val="002D6E18"/>
    <w:rsid w:val="002D7DF3"/>
    <w:rsid w:val="002D7ED7"/>
    <w:rsid w:val="002E002E"/>
    <w:rsid w:val="002E28F9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44CA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B02"/>
    <w:rsid w:val="003A4C78"/>
    <w:rsid w:val="003A5159"/>
    <w:rsid w:val="003A552B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3E62"/>
    <w:rsid w:val="003C7CA2"/>
    <w:rsid w:val="003D01E0"/>
    <w:rsid w:val="003D0EF8"/>
    <w:rsid w:val="003D1455"/>
    <w:rsid w:val="003D2B72"/>
    <w:rsid w:val="003D3C61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24E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2E28"/>
    <w:rsid w:val="004E3A45"/>
    <w:rsid w:val="004E3B7D"/>
    <w:rsid w:val="004E3E3E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47C"/>
    <w:rsid w:val="0055689F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1AC7"/>
    <w:rsid w:val="005C20A4"/>
    <w:rsid w:val="005C2356"/>
    <w:rsid w:val="005C4B1B"/>
    <w:rsid w:val="005C62ED"/>
    <w:rsid w:val="005D57F1"/>
    <w:rsid w:val="005D680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D6C"/>
    <w:rsid w:val="005F7E99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0F18"/>
    <w:rsid w:val="00633DA7"/>
    <w:rsid w:val="00635291"/>
    <w:rsid w:val="006357BD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B55C6"/>
    <w:rsid w:val="006C2D21"/>
    <w:rsid w:val="006C60A2"/>
    <w:rsid w:val="006C6193"/>
    <w:rsid w:val="006D0533"/>
    <w:rsid w:val="006D0DD2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D30"/>
    <w:rsid w:val="0070393B"/>
    <w:rsid w:val="00704BC7"/>
    <w:rsid w:val="007051AF"/>
    <w:rsid w:val="00705FA1"/>
    <w:rsid w:val="00707E83"/>
    <w:rsid w:val="00711E45"/>
    <w:rsid w:val="00713AE8"/>
    <w:rsid w:val="00714AB0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122E"/>
    <w:rsid w:val="007626A2"/>
    <w:rsid w:val="007630B4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B055F"/>
    <w:rsid w:val="007B0BAC"/>
    <w:rsid w:val="007B3EE9"/>
    <w:rsid w:val="007B4B41"/>
    <w:rsid w:val="007B6028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2BDB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24DA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1C94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3FAD"/>
    <w:rsid w:val="008742D9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509A"/>
    <w:rsid w:val="008A4FE1"/>
    <w:rsid w:val="008A5E28"/>
    <w:rsid w:val="008A73B2"/>
    <w:rsid w:val="008B0715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128"/>
    <w:rsid w:val="008F34E9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4F3E"/>
    <w:rsid w:val="009A5082"/>
    <w:rsid w:val="009A618E"/>
    <w:rsid w:val="009B09A9"/>
    <w:rsid w:val="009B155B"/>
    <w:rsid w:val="009B183F"/>
    <w:rsid w:val="009B1F5B"/>
    <w:rsid w:val="009B1FD3"/>
    <w:rsid w:val="009B3DB8"/>
    <w:rsid w:val="009B4769"/>
    <w:rsid w:val="009B619D"/>
    <w:rsid w:val="009C2086"/>
    <w:rsid w:val="009C3006"/>
    <w:rsid w:val="009C7D32"/>
    <w:rsid w:val="009D159F"/>
    <w:rsid w:val="009D2A16"/>
    <w:rsid w:val="009D4DB6"/>
    <w:rsid w:val="009D6952"/>
    <w:rsid w:val="009D7F9A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20E0"/>
    <w:rsid w:val="00A542B8"/>
    <w:rsid w:val="00A54719"/>
    <w:rsid w:val="00A56DFF"/>
    <w:rsid w:val="00A5709E"/>
    <w:rsid w:val="00A60AB0"/>
    <w:rsid w:val="00A612B9"/>
    <w:rsid w:val="00A66B14"/>
    <w:rsid w:val="00A66CF8"/>
    <w:rsid w:val="00A702A9"/>
    <w:rsid w:val="00A727DA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2699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043E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351E3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D18"/>
    <w:rsid w:val="00B518C8"/>
    <w:rsid w:val="00B52464"/>
    <w:rsid w:val="00B55CF3"/>
    <w:rsid w:val="00B56491"/>
    <w:rsid w:val="00B65BF6"/>
    <w:rsid w:val="00B670CE"/>
    <w:rsid w:val="00B677A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142D"/>
    <w:rsid w:val="00BC4593"/>
    <w:rsid w:val="00BD05BF"/>
    <w:rsid w:val="00BD2B8B"/>
    <w:rsid w:val="00BD464A"/>
    <w:rsid w:val="00BD586C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2AA9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7247"/>
    <w:rsid w:val="00CB1749"/>
    <w:rsid w:val="00CB3A9F"/>
    <w:rsid w:val="00CB5048"/>
    <w:rsid w:val="00CC0888"/>
    <w:rsid w:val="00CC10DA"/>
    <w:rsid w:val="00CC156D"/>
    <w:rsid w:val="00CC58C3"/>
    <w:rsid w:val="00CD229F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2AB"/>
    <w:rsid w:val="00DA7973"/>
    <w:rsid w:val="00DB279D"/>
    <w:rsid w:val="00DB3689"/>
    <w:rsid w:val="00DB3767"/>
    <w:rsid w:val="00DB39E0"/>
    <w:rsid w:val="00DB5F4B"/>
    <w:rsid w:val="00DB60E1"/>
    <w:rsid w:val="00DB7729"/>
    <w:rsid w:val="00DC0E3F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0EBF"/>
    <w:rsid w:val="00E22A02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601F7"/>
    <w:rsid w:val="00E621D8"/>
    <w:rsid w:val="00E62B3D"/>
    <w:rsid w:val="00E6315A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11CC4"/>
    <w:rsid w:val="00F129C1"/>
    <w:rsid w:val="00F12DA8"/>
    <w:rsid w:val="00F1322B"/>
    <w:rsid w:val="00F13699"/>
    <w:rsid w:val="00F16AB3"/>
    <w:rsid w:val="00F17CF7"/>
    <w:rsid w:val="00F25BEF"/>
    <w:rsid w:val="00F270BA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8A"/>
    <w:rsid w:val="00F66DF3"/>
    <w:rsid w:val="00F67AB2"/>
    <w:rsid w:val="00F73D21"/>
    <w:rsid w:val="00F74ED0"/>
    <w:rsid w:val="00F759D4"/>
    <w:rsid w:val="00F75B44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7510"/>
    <w:rsid w:val="01566934"/>
    <w:rsid w:val="01604235"/>
    <w:rsid w:val="016731E8"/>
    <w:rsid w:val="01724323"/>
    <w:rsid w:val="01845F4F"/>
    <w:rsid w:val="019A0ABB"/>
    <w:rsid w:val="019F0207"/>
    <w:rsid w:val="01B354EB"/>
    <w:rsid w:val="01B409B2"/>
    <w:rsid w:val="01C86F97"/>
    <w:rsid w:val="01E4753D"/>
    <w:rsid w:val="01F44989"/>
    <w:rsid w:val="01F6071A"/>
    <w:rsid w:val="02105BCC"/>
    <w:rsid w:val="0213188C"/>
    <w:rsid w:val="02264FF9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3F5DF4"/>
    <w:rsid w:val="034058DA"/>
    <w:rsid w:val="034D55C8"/>
    <w:rsid w:val="039F12E8"/>
    <w:rsid w:val="03A82003"/>
    <w:rsid w:val="03B75419"/>
    <w:rsid w:val="03CD3963"/>
    <w:rsid w:val="03D86161"/>
    <w:rsid w:val="04115871"/>
    <w:rsid w:val="04176266"/>
    <w:rsid w:val="04231D6E"/>
    <w:rsid w:val="042A264E"/>
    <w:rsid w:val="043E3BD3"/>
    <w:rsid w:val="043E49F0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37B30"/>
    <w:rsid w:val="05910818"/>
    <w:rsid w:val="05B63D95"/>
    <w:rsid w:val="05F7165D"/>
    <w:rsid w:val="06017CE0"/>
    <w:rsid w:val="060F5CB3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174B1"/>
    <w:rsid w:val="069713C1"/>
    <w:rsid w:val="069B5169"/>
    <w:rsid w:val="06A12C88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5365E"/>
    <w:rsid w:val="07630AC6"/>
    <w:rsid w:val="07847096"/>
    <w:rsid w:val="07940728"/>
    <w:rsid w:val="07A343B0"/>
    <w:rsid w:val="07BC0D8F"/>
    <w:rsid w:val="07CE2E21"/>
    <w:rsid w:val="07DE52F0"/>
    <w:rsid w:val="08242518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D82186"/>
    <w:rsid w:val="08D95FBD"/>
    <w:rsid w:val="08DE4EEE"/>
    <w:rsid w:val="091F1E33"/>
    <w:rsid w:val="0926712F"/>
    <w:rsid w:val="093F645D"/>
    <w:rsid w:val="094023AA"/>
    <w:rsid w:val="094E4F95"/>
    <w:rsid w:val="094F44E3"/>
    <w:rsid w:val="09605212"/>
    <w:rsid w:val="096275FE"/>
    <w:rsid w:val="09663505"/>
    <w:rsid w:val="096F3C95"/>
    <w:rsid w:val="09807390"/>
    <w:rsid w:val="098C23B7"/>
    <w:rsid w:val="09944C95"/>
    <w:rsid w:val="09951FF4"/>
    <w:rsid w:val="09A2202C"/>
    <w:rsid w:val="09C0148B"/>
    <w:rsid w:val="09C270D8"/>
    <w:rsid w:val="09E1487C"/>
    <w:rsid w:val="09E674F4"/>
    <w:rsid w:val="0A266AA0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A77F22"/>
    <w:rsid w:val="0AAE3FA8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7A442D"/>
    <w:rsid w:val="0B8B13F4"/>
    <w:rsid w:val="0B94771A"/>
    <w:rsid w:val="0BB27267"/>
    <w:rsid w:val="0BB54BE9"/>
    <w:rsid w:val="0BE004CF"/>
    <w:rsid w:val="0BE120C4"/>
    <w:rsid w:val="0BE57B4E"/>
    <w:rsid w:val="0BF83F28"/>
    <w:rsid w:val="0C233C96"/>
    <w:rsid w:val="0C3255F2"/>
    <w:rsid w:val="0C530BF5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714F8C"/>
    <w:rsid w:val="0D791AD7"/>
    <w:rsid w:val="0D7A3592"/>
    <w:rsid w:val="0DA12211"/>
    <w:rsid w:val="0DAE2DCE"/>
    <w:rsid w:val="0DC43254"/>
    <w:rsid w:val="0DE612E3"/>
    <w:rsid w:val="0E0358CD"/>
    <w:rsid w:val="0E094A54"/>
    <w:rsid w:val="0E17220C"/>
    <w:rsid w:val="0E17357A"/>
    <w:rsid w:val="0E1A4622"/>
    <w:rsid w:val="0E265F60"/>
    <w:rsid w:val="0E4A521D"/>
    <w:rsid w:val="0E4F3F26"/>
    <w:rsid w:val="0E707012"/>
    <w:rsid w:val="0E734461"/>
    <w:rsid w:val="0E7E6721"/>
    <w:rsid w:val="0E927861"/>
    <w:rsid w:val="0E96546F"/>
    <w:rsid w:val="0EA04D7B"/>
    <w:rsid w:val="0EA4482A"/>
    <w:rsid w:val="0EA926E0"/>
    <w:rsid w:val="0EC065A0"/>
    <w:rsid w:val="0EC132D7"/>
    <w:rsid w:val="0ED42BAF"/>
    <w:rsid w:val="0EDC3297"/>
    <w:rsid w:val="0EE700B0"/>
    <w:rsid w:val="0EEE41C4"/>
    <w:rsid w:val="0EFA5812"/>
    <w:rsid w:val="0F0E6CDB"/>
    <w:rsid w:val="0F4340EF"/>
    <w:rsid w:val="0F5F1287"/>
    <w:rsid w:val="0F685729"/>
    <w:rsid w:val="0F70152C"/>
    <w:rsid w:val="0FBB79D4"/>
    <w:rsid w:val="0FCD1AD9"/>
    <w:rsid w:val="0FDB1049"/>
    <w:rsid w:val="0FE322F6"/>
    <w:rsid w:val="0FE34C4B"/>
    <w:rsid w:val="0FF8213F"/>
    <w:rsid w:val="10133D23"/>
    <w:rsid w:val="102F5257"/>
    <w:rsid w:val="103C1F37"/>
    <w:rsid w:val="103E22B2"/>
    <w:rsid w:val="106E070C"/>
    <w:rsid w:val="107B7D5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9235BC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BD31DD"/>
    <w:rsid w:val="12DD13AC"/>
    <w:rsid w:val="12E1047E"/>
    <w:rsid w:val="12F41B54"/>
    <w:rsid w:val="13023371"/>
    <w:rsid w:val="132D5EA4"/>
    <w:rsid w:val="13343190"/>
    <w:rsid w:val="13343A7F"/>
    <w:rsid w:val="133B622B"/>
    <w:rsid w:val="1357550B"/>
    <w:rsid w:val="13773724"/>
    <w:rsid w:val="1384235E"/>
    <w:rsid w:val="13933000"/>
    <w:rsid w:val="139C112D"/>
    <w:rsid w:val="139D669D"/>
    <w:rsid w:val="13AD4C79"/>
    <w:rsid w:val="13B951C8"/>
    <w:rsid w:val="13C949BF"/>
    <w:rsid w:val="13CA1021"/>
    <w:rsid w:val="13D43211"/>
    <w:rsid w:val="13D75C00"/>
    <w:rsid w:val="13E30B7D"/>
    <w:rsid w:val="13E754BB"/>
    <w:rsid w:val="13ED04A7"/>
    <w:rsid w:val="13FB5DAF"/>
    <w:rsid w:val="1402132F"/>
    <w:rsid w:val="140947EE"/>
    <w:rsid w:val="141C2462"/>
    <w:rsid w:val="14413E76"/>
    <w:rsid w:val="144A0D85"/>
    <w:rsid w:val="1450192B"/>
    <w:rsid w:val="145A1D5A"/>
    <w:rsid w:val="146C12BB"/>
    <w:rsid w:val="147C6550"/>
    <w:rsid w:val="14860E19"/>
    <w:rsid w:val="148C237F"/>
    <w:rsid w:val="14A06FC1"/>
    <w:rsid w:val="14AB545D"/>
    <w:rsid w:val="14B94964"/>
    <w:rsid w:val="14D969A6"/>
    <w:rsid w:val="14F473F5"/>
    <w:rsid w:val="150E6433"/>
    <w:rsid w:val="151502CB"/>
    <w:rsid w:val="15337D09"/>
    <w:rsid w:val="155023E7"/>
    <w:rsid w:val="155D0A7F"/>
    <w:rsid w:val="15693E3E"/>
    <w:rsid w:val="1580763A"/>
    <w:rsid w:val="1585047B"/>
    <w:rsid w:val="1586427B"/>
    <w:rsid w:val="159A07D2"/>
    <w:rsid w:val="15A23EB2"/>
    <w:rsid w:val="15C06260"/>
    <w:rsid w:val="15DD4A1C"/>
    <w:rsid w:val="15FB0C10"/>
    <w:rsid w:val="1625567A"/>
    <w:rsid w:val="16263368"/>
    <w:rsid w:val="16275118"/>
    <w:rsid w:val="168521B8"/>
    <w:rsid w:val="16945F9B"/>
    <w:rsid w:val="16A43C8F"/>
    <w:rsid w:val="16A5270A"/>
    <w:rsid w:val="16BE464B"/>
    <w:rsid w:val="16D61CD9"/>
    <w:rsid w:val="16E74CBD"/>
    <w:rsid w:val="1705748E"/>
    <w:rsid w:val="170A4371"/>
    <w:rsid w:val="17300AA3"/>
    <w:rsid w:val="174B31A0"/>
    <w:rsid w:val="175B1D16"/>
    <w:rsid w:val="17793E43"/>
    <w:rsid w:val="1793303A"/>
    <w:rsid w:val="179C79A4"/>
    <w:rsid w:val="17CB7C49"/>
    <w:rsid w:val="17D52F7B"/>
    <w:rsid w:val="17EB75B0"/>
    <w:rsid w:val="17F5084F"/>
    <w:rsid w:val="1829310B"/>
    <w:rsid w:val="1834222F"/>
    <w:rsid w:val="184115C6"/>
    <w:rsid w:val="18440068"/>
    <w:rsid w:val="1847296F"/>
    <w:rsid w:val="18502972"/>
    <w:rsid w:val="18857041"/>
    <w:rsid w:val="18937665"/>
    <w:rsid w:val="18A5771F"/>
    <w:rsid w:val="18AF74E1"/>
    <w:rsid w:val="18D45411"/>
    <w:rsid w:val="18DA6EB6"/>
    <w:rsid w:val="18FF0AF3"/>
    <w:rsid w:val="190E7C32"/>
    <w:rsid w:val="191B17E9"/>
    <w:rsid w:val="191F38B0"/>
    <w:rsid w:val="192D2FD0"/>
    <w:rsid w:val="19326962"/>
    <w:rsid w:val="19465B16"/>
    <w:rsid w:val="1951139B"/>
    <w:rsid w:val="195523E7"/>
    <w:rsid w:val="195600F1"/>
    <w:rsid w:val="19595274"/>
    <w:rsid w:val="197141ED"/>
    <w:rsid w:val="1975293B"/>
    <w:rsid w:val="19934AEB"/>
    <w:rsid w:val="19963C9C"/>
    <w:rsid w:val="199D37F0"/>
    <w:rsid w:val="19AD7663"/>
    <w:rsid w:val="19BC030D"/>
    <w:rsid w:val="19D2007F"/>
    <w:rsid w:val="19DE008F"/>
    <w:rsid w:val="19E0148D"/>
    <w:rsid w:val="19E675DB"/>
    <w:rsid w:val="1A523105"/>
    <w:rsid w:val="1A5562D2"/>
    <w:rsid w:val="1A61483A"/>
    <w:rsid w:val="1A7857C1"/>
    <w:rsid w:val="1A8A2BB0"/>
    <w:rsid w:val="1AB33170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8626C9"/>
    <w:rsid w:val="1B984C1B"/>
    <w:rsid w:val="1B990040"/>
    <w:rsid w:val="1BAF3854"/>
    <w:rsid w:val="1BC1062B"/>
    <w:rsid w:val="1BC60BC5"/>
    <w:rsid w:val="1BD70C7E"/>
    <w:rsid w:val="1BD82C95"/>
    <w:rsid w:val="1BDE7082"/>
    <w:rsid w:val="1BE16AFC"/>
    <w:rsid w:val="1BEC65C0"/>
    <w:rsid w:val="1BF76A78"/>
    <w:rsid w:val="1C07146F"/>
    <w:rsid w:val="1C3441A7"/>
    <w:rsid w:val="1C3601FF"/>
    <w:rsid w:val="1C365CFE"/>
    <w:rsid w:val="1C4B2349"/>
    <w:rsid w:val="1C7C5F29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554D2E"/>
    <w:rsid w:val="1D881796"/>
    <w:rsid w:val="1D942FC1"/>
    <w:rsid w:val="1DA91996"/>
    <w:rsid w:val="1DBD16BE"/>
    <w:rsid w:val="1DC11297"/>
    <w:rsid w:val="1DF848E6"/>
    <w:rsid w:val="1DF8600F"/>
    <w:rsid w:val="1E1F62DB"/>
    <w:rsid w:val="1E2B3BCE"/>
    <w:rsid w:val="1E4B77EA"/>
    <w:rsid w:val="1E5137C3"/>
    <w:rsid w:val="1E5F399D"/>
    <w:rsid w:val="1E664171"/>
    <w:rsid w:val="1E766DF2"/>
    <w:rsid w:val="1E780410"/>
    <w:rsid w:val="1E8E5EF5"/>
    <w:rsid w:val="1E90401C"/>
    <w:rsid w:val="1E971F34"/>
    <w:rsid w:val="1EA425D8"/>
    <w:rsid w:val="1EA43F1E"/>
    <w:rsid w:val="1EA723FC"/>
    <w:rsid w:val="1EC76DC7"/>
    <w:rsid w:val="1EC85A19"/>
    <w:rsid w:val="1ECE01E1"/>
    <w:rsid w:val="1ED92D03"/>
    <w:rsid w:val="1EE64EF1"/>
    <w:rsid w:val="1EF0541B"/>
    <w:rsid w:val="1EF07E24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904F2D"/>
    <w:rsid w:val="1F9C3C77"/>
    <w:rsid w:val="1FAA1AE9"/>
    <w:rsid w:val="1FAC3217"/>
    <w:rsid w:val="1FC75129"/>
    <w:rsid w:val="1FD81AFC"/>
    <w:rsid w:val="1FE31889"/>
    <w:rsid w:val="1FEC4889"/>
    <w:rsid w:val="1FF448FB"/>
    <w:rsid w:val="200544C7"/>
    <w:rsid w:val="200F4543"/>
    <w:rsid w:val="202A6471"/>
    <w:rsid w:val="20600899"/>
    <w:rsid w:val="206D77FE"/>
    <w:rsid w:val="2075205C"/>
    <w:rsid w:val="20766B5D"/>
    <w:rsid w:val="207C5A77"/>
    <w:rsid w:val="20935CA0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114BB"/>
    <w:rsid w:val="210250DC"/>
    <w:rsid w:val="212D1323"/>
    <w:rsid w:val="2130550D"/>
    <w:rsid w:val="2140712D"/>
    <w:rsid w:val="215E6D09"/>
    <w:rsid w:val="21737460"/>
    <w:rsid w:val="2176492F"/>
    <w:rsid w:val="217860C5"/>
    <w:rsid w:val="21857E28"/>
    <w:rsid w:val="21B97C69"/>
    <w:rsid w:val="21C86072"/>
    <w:rsid w:val="21E26D67"/>
    <w:rsid w:val="21EA0286"/>
    <w:rsid w:val="21EC5465"/>
    <w:rsid w:val="21F01798"/>
    <w:rsid w:val="21F26FDC"/>
    <w:rsid w:val="21F8598D"/>
    <w:rsid w:val="21FC4A83"/>
    <w:rsid w:val="220348F7"/>
    <w:rsid w:val="22035AF9"/>
    <w:rsid w:val="22156802"/>
    <w:rsid w:val="222728F6"/>
    <w:rsid w:val="2228517D"/>
    <w:rsid w:val="22375393"/>
    <w:rsid w:val="22417F46"/>
    <w:rsid w:val="224B424C"/>
    <w:rsid w:val="22654343"/>
    <w:rsid w:val="226709A2"/>
    <w:rsid w:val="228976EC"/>
    <w:rsid w:val="228B310C"/>
    <w:rsid w:val="22B05557"/>
    <w:rsid w:val="22C45D17"/>
    <w:rsid w:val="22FF77A2"/>
    <w:rsid w:val="23150033"/>
    <w:rsid w:val="232421E8"/>
    <w:rsid w:val="233272DB"/>
    <w:rsid w:val="233D26C0"/>
    <w:rsid w:val="234E59AA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3056DA"/>
    <w:rsid w:val="24560AE2"/>
    <w:rsid w:val="24753D7B"/>
    <w:rsid w:val="24794836"/>
    <w:rsid w:val="248C391F"/>
    <w:rsid w:val="24945B0B"/>
    <w:rsid w:val="249700EF"/>
    <w:rsid w:val="24972331"/>
    <w:rsid w:val="24B92297"/>
    <w:rsid w:val="24C45694"/>
    <w:rsid w:val="24EB0386"/>
    <w:rsid w:val="24EB51B9"/>
    <w:rsid w:val="24EE205A"/>
    <w:rsid w:val="250B6210"/>
    <w:rsid w:val="251D6C78"/>
    <w:rsid w:val="25493BC7"/>
    <w:rsid w:val="254F48B6"/>
    <w:rsid w:val="25552E35"/>
    <w:rsid w:val="25781361"/>
    <w:rsid w:val="25BA3553"/>
    <w:rsid w:val="25CD3FBC"/>
    <w:rsid w:val="25DD4E13"/>
    <w:rsid w:val="25E540FF"/>
    <w:rsid w:val="25FE3FFD"/>
    <w:rsid w:val="26106F39"/>
    <w:rsid w:val="26295320"/>
    <w:rsid w:val="262C2F09"/>
    <w:rsid w:val="26533224"/>
    <w:rsid w:val="26541061"/>
    <w:rsid w:val="26553200"/>
    <w:rsid w:val="26890312"/>
    <w:rsid w:val="26895BB9"/>
    <w:rsid w:val="26C54B9B"/>
    <w:rsid w:val="26C6512F"/>
    <w:rsid w:val="26FF3DC8"/>
    <w:rsid w:val="27341C3F"/>
    <w:rsid w:val="274A262D"/>
    <w:rsid w:val="2755406D"/>
    <w:rsid w:val="27694EEE"/>
    <w:rsid w:val="277C6089"/>
    <w:rsid w:val="27832A74"/>
    <w:rsid w:val="27A449A7"/>
    <w:rsid w:val="27B04B6F"/>
    <w:rsid w:val="27BC433E"/>
    <w:rsid w:val="27CE139A"/>
    <w:rsid w:val="27D50301"/>
    <w:rsid w:val="27E63AB6"/>
    <w:rsid w:val="27F231DD"/>
    <w:rsid w:val="28182E87"/>
    <w:rsid w:val="28227F9C"/>
    <w:rsid w:val="282B4784"/>
    <w:rsid w:val="283213CA"/>
    <w:rsid w:val="285C6B52"/>
    <w:rsid w:val="285E7169"/>
    <w:rsid w:val="286058ED"/>
    <w:rsid w:val="286662A3"/>
    <w:rsid w:val="286A2F3B"/>
    <w:rsid w:val="2880022D"/>
    <w:rsid w:val="2887164E"/>
    <w:rsid w:val="288B2E18"/>
    <w:rsid w:val="288C17F1"/>
    <w:rsid w:val="28A843B1"/>
    <w:rsid w:val="28DE60E7"/>
    <w:rsid w:val="28EB1022"/>
    <w:rsid w:val="28EB7BAC"/>
    <w:rsid w:val="28FD1DA9"/>
    <w:rsid w:val="29146D0D"/>
    <w:rsid w:val="29326B8F"/>
    <w:rsid w:val="2936056B"/>
    <w:rsid w:val="29386E3A"/>
    <w:rsid w:val="295F01CA"/>
    <w:rsid w:val="297D2240"/>
    <w:rsid w:val="298D0F22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37F31"/>
    <w:rsid w:val="2AA665FD"/>
    <w:rsid w:val="2AAA79B8"/>
    <w:rsid w:val="2AAD1131"/>
    <w:rsid w:val="2ABD2F95"/>
    <w:rsid w:val="2AC43F9F"/>
    <w:rsid w:val="2AEA6E89"/>
    <w:rsid w:val="2AEF61FA"/>
    <w:rsid w:val="2B0738F0"/>
    <w:rsid w:val="2B0E0F65"/>
    <w:rsid w:val="2B1C51BA"/>
    <w:rsid w:val="2B374C7F"/>
    <w:rsid w:val="2B3F420A"/>
    <w:rsid w:val="2B420A18"/>
    <w:rsid w:val="2B510311"/>
    <w:rsid w:val="2B593E95"/>
    <w:rsid w:val="2B73625C"/>
    <w:rsid w:val="2B7D13CC"/>
    <w:rsid w:val="2B886CA9"/>
    <w:rsid w:val="2BA13AB1"/>
    <w:rsid w:val="2BA949D4"/>
    <w:rsid w:val="2BD94617"/>
    <w:rsid w:val="2BDC14B7"/>
    <w:rsid w:val="2BDD4799"/>
    <w:rsid w:val="2BE661F4"/>
    <w:rsid w:val="2C00402D"/>
    <w:rsid w:val="2C182591"/>
    <w:rsid w:val="2C281BF6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CE836C2"/>
    <w:rsid w:val="2CF939AE"/>
    <w:rsid w:val="2D061D52"/>
    <w:rsid w:val="2D0A7297"/>
    <w:rsid w:val="2D127501"/>
    <w:rsid w:val="2D367ADE"/>
    <w:rsid w:val="2D3E5D39"/>
    <w:rsid w:val="2D810DDB"/>
    <w:rsid w:val="2DAD4A44"/>
    <w:rsid w:val="2DB274B3"/>
    <w:rsid w:val="2DC87D91"/>
    <w:rsid w:val="2DD30CAC"/>
    <w:rsid w:val="2DD73448"/>
    <w:rsid w:val="2DE51AAD"/>
    <w:rsid w:val="2DE70634"/>
    <w:rsid w:val="2E031572"/>
    <w:rsid w:val="2E0401E7"/>
    <w:rsid w:val="2E05745B"/>
    <w:rsid w:val="2E1B2ADA"/>
    <w:rsid w:val="2E1B3A12"/>
    <w:rsid w:val="2E1B7C9D"/>
    <w:rsid w:val="2E225A24"/>
    <w:rsid w:val="2E2561B5"/>
    <w:rsid w:val="2E2826E6"/>
    <w:rsid w:val="2E4761D9"/>
    <w:rsid w:val="2E503B30"/>
    <w:rsid w:val="2E6E03B6"/>
    <w:rsid w:val="2E6E553E"/>
    <w:rsid w:val="2E7F1718"/>
    <w:rsid w:val="2E8344D1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1115A1"/>
    <w:rsid w:val="2F1F3A4D"/>
    <w:rsid w:val="2F2371DB"/>
    <w:rsid w:val="2F262727"/>
    <w:rsid w:val="2F3819F0"/>
    <w:rsid w:val="2F4558F1"/>
    <w:rsid w:val="2F585C14"/>
    <w:rsid w:val="2F6F7987"/>
    <w:rsid w:val="2F784790"/>
    <w:rsid w:val="2F7B36A8"/>
    <w:rsid w:val="2F8A30B2"/>
    <w:rsid w:val="2F9B7AFC"/>
    <w:rsid w:val="2FAA4840"/>
    <w:rsid w:val="2FAA5E1A"/>
    <w:rsid w:val="2FAB4623"/>
    <w:rsid w:val="2FDF6214"/>
    <w:rsid w:val="2FF50229"/>
    <w:rsid w:val="300A43D0"/>
    <w:rsid w:val="30264A9E"/>
    <w:rsid w:val="302978F9"/>
    <w:rsid w:val="302E6167"/>
    <w:rsid w:val="303C3B19"/>
    <w:rsid w:val="303C6363"/>
    <w:rsid w:val="303F6650"/>
    <w:rsid w:val="304F24A5"/>
    <w:rsid w:val="307C1A65"/>
    <w:rsid w:val="3095526B"/>
    <w:rsid w:val="30A20279"/>
    <w:rsid w:val="30A84EFD"/>
    <w:rsid w:val="30A92458"/>
    <w:rsid w:val="30EC572A"/>
    <w:rsid w:val="30F25889"/>
    <w:rsid w:val="30FD79BE"/>
    <w:rsid w:val="3100405D"/>
    <w:rsid w:val="310E5168"/>
    <w:rsid w:val="3111395C"/>
    <w:rsid w:val="3114723D"/>
    <w:rsid w:val="31174211"/>
    <w:rsid w:val="31216170"/>
    <w:rsid w:val="315622FC"/>
    <w:rsid w:val="315D1164"/>
    <w:rsid w:val="315F2BB6"/>
    <w:rsid w:val="3173104B"/>
    <w:rsid w:val="317D38B1"/>
    <w:rsid w:val="317D6B35"/>
    <w:rsid w:val="319A62AF"/>
    <w:rsid w:val="31A30319"/>
    <w:rsid w:val="31B50898"/>
    <w:rsid w:val="31B62FDB"/>
    <w:rsid w:val="31DF1B8A"/>
    <w:rsid w:val="31F45A41"/>
    <w:rsid w:val="31FF4B7E"/>
    <w:rsid w:val="322E77DB"/>
    <w:rsid w:val="32983099"/>
    <w:rsid w:val="32AA5592"/>
    <w:rsid w:val="32AD61A5"/>
    <w:rsid w:val="32C750C6"/>
    <w:rsid w:val="32D86BA1"/>
    <w:rsid w:val="32DD16EB"/>
    <w:rsid w:val="32E514D5"/>
    <w:rsid w:val="32E75DA8"/>
    <w:rsid w:val="32ED4E1B"/>
    <w:rsid w:val="32F45C69"/>
    <w:rsid w:val="32F653C3"/>
    <w:rsid w:val="33052E5A"/>
    <w:rsid w:val="3310693E"/>
    <w:rsid w:val="332610BF"/>
    <w:rsid w:val="334108DC"/>
    <w:rsid w:val="334A79F3"/>
    <w:rsid w:val="33540CA5"/>
    <w:rsid w:val="33572664"/>
    <w:rsid w:val="337C27BA"/>
    <w:rsid w:val="337E58C8"/>
    <w:rsid w:val="3386250E"/>
    <w:rsid w:val="338A0B4A"/>
    <w:rsid w:val="33945AA2"/>
    <w:rsid w:val="33993C16"/>
    <w:rsid w:val="33AC2FF1"/>
    <w:rsid w:val="33B44D6A"/>
    <w:rsid w:val="33C70473"/>
    <w:rsid w:val="33E75242"/>
    <w:rsid w:val="34081C3D"/>
    <w:rsid w:val="341101EA"/>
    <w:rsid w:val="341E68F1"/>
    <w:rsid w:val="34217FBA"/>
    <w:rsid w:val="34323ACA"/>
    <w:rsid w:val="344A237C"/>
    <w:rsid w:val="344C38C9"/>
    <w:rsid w:val="346C064E"/>
    <w:rsid w:val="34717DC6"/>
    <w:rsid w:val="347C194D"/>
    <w:rsid w:val="34AB68EF"/>
    <w:rsid w:val="34B710DD"/>
    <w:rsid w:val="34C25E2C"/>
    <w:rsid w:val="34E73243"/>
    <w:rsid w:val="34EC57DE"/>
    <w:rsid w:val="34F4363B"/>
    <w:rsid w:val="35043039"/>
    <w:rsid w:val="3509322F"/>
    <w:rsid w:val="350A5D7E"/>
    <w:rsid w:val="351E3534"/>
    <w:rsid w:val="351F4211"/>
    <w:rsid w:val="35262532"/>
    <w:rsid w:val="352A06D1"/>
    <w:rsid w:val="353A08BE"/>
    <w:rsid w:val="355D135C"/>
    <w:rsid w:val="357039DD"/>
    <w:rsid w:val="35906EE4"/>
    <w:rsid w:val="35C21CAF"/>
    <w:rsid w:val="35D22E0C"/>
    <w:rsid w:val="35D6026A"/>
    <w:rsid w:val="35E46B51"/>
    <w:rsid w:val="35E509BF"/>
    <w:rsid w:val="35E6618B"/>
    <w:rsid w:val="36390AB9"/>
    <w:rsid w:val="36487758"/>
    <w:rsid w:val="364936C7"/>
    <w:rsid w:val="3654745F"/>
    <w:rsid w:val="36582751"/>
    <w:rsid w:val="36645310"/>
    <w:rsid w:val="366C263F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602F7D"/>
    <w:rsid w:val="376048A1"/>
    <w:rsid w:val="376D7868"/>
    <w:rsid w:val="378C59A0"/>
    <w:rsid w:val="37A15AB9"/>
    <w:rsid w:val="37B1008C"/>
    <w:rsid w:val="37CA0B99"/>
    <w:rsid w:val="37CA176F"/>
    <w:rsid w:val="37D1690E"/>
    <w:rsid w:val="37E474EC"/>
    <w:rsid w:val="37E93735"/>
    <w:rsid w:val="382637C8"/>
    <w:rsid w:val="382A53D5"/>
    <w:rsid w:val="383652ED"/>
    <w:rsid w:val="384A38BD"/>
    <w:rsid w:val="385148F8"/>
    <w:rsid w:val="385701A2"/>
    <w:rsid w:val="38633F4E"/>
    <w:rsid w:val="386844B4"/>
    <w:rsid w:val="38AC792F"/>
    <w:rsid w:val="38BB1341"/>
    <w:rsid w:val="38D73A2D"/>
    <w:rsid w:val="38DA351E"/>
    <w:rsid w:val="38F7631F"/>
    <w:rsid w:val="3909782E"/>
    <w:rsid w:val="391E782E"/>
    <w:rsid w:val="392642AC"/>
    <w:rsid w:val="39464B68"/>
    <w:rsid w:val="397059EB"/>
    <w:rsid w:val="397A57E0"/>
    <w:rsid w:val="398028B7"/>
    <w:rsid w:val="398652E8"/>
    <w:rsid w:val="398D4871"/>
    <w:rsid w:val="399A356D"/>
    <w:rsid w:val="399C790E"/>
    <w:rsid w:val="39AD0862"/>
    <w:rsid w:val="3A074B96"/>
    <w:rsid w:val="3A077BDC"/>
    <w:rsid w:val="3A0901EA"/>
    <w:rsid w:val="3A19437E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BD2A3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C365AF"/>
    <w:rsid w:val="3BC4115E"/>
    <w:rsid w:val="3BC62916"/>
    <w:rsid w:val="3BCB15B9"/>
    <w:rsid w:val="3BCD4D79"/>
    <w:rsid w:val="3BCF3126"/>
    <w:rsid w:val="3BD2292E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36618A"/>
    <w:rsid w:val="3C37454C"/>
    <w:rsid w:val="3C456A68"/>
    <w:rsid w:val="3C4F16C1"/>
    <w:rsid w:val="3C4F3865"/>
    <w:rsid w:val="3C5042A8"/>
    <w:rsid w:val="3C5D7DF9"/>
    <w:rsid w:val="3C5F21BE"/>
    <w:rsid w:val="3C6C130F"/>
    <w:rsid w:val="3C6D6947"/>
    <w:rsid w:val="3C7A55D0"/>
    <w:rsid w:val="3C8D2BCF"/>
    <w:rsid w:val="3C9A2A62"/>
    <w:rsid w:val="3CB36474"/>
    <w:rsid w:val="3CB84087"/>
    <w:rsid w:val="3CC31FDE"/>
    <w:rsid w:val="3CC4783A"/>
    <w:rsid w:val="3CD14649"/>
    <w:rsid w:val="3CD24B38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870953"/>
    <w:rsid w:val="3DAA526A"/>
    <w:rsid w:val="3DB302F2"/>
    <w:rsid w:val="3DB54F9A"/>
    <w:rsid w:val="3DB606FB"/>
    <w:rsid w:val="3DE976C2"/>
    <w:rsid w:val="3DEF63BE"/>
    <w:rsid w:val="3E0842EC"/>
    <w:rsid w:val="3E3976D3"/>
    <w:rsid w:val="3E4905DE"/>
    <w:rsid w:val="3E490FB2"/>
    <w:rsid w:val="3E5A38FA"/>
    <w:rsid w:val="3E657C5F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EE460DE"/>
    <w:rsid w:val="3F0644E9"/>
    <w:rsid w:val="3F0B6CAB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7A57A2"/>
    <w:rsid w:val="40814873"/>
    <w:rsid w:val="40A02AED"/>
    <w:rsid w:val="40C66B1E"/>
    <w:rsid w:val="40D506EB"/>
    <w:rsid w:val="40D92496"/>
    <w:rsid w:val="40D96DD7"/>
    <w:rsid w:val="40E32E0B"/>
    <w:rsid w:val="40F5602D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321203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2EC5780"/>
    <w:rsid w:val="430704FF"/>
    <w:rsid w:val="430E3699"/>
    <w:rsid w:val="4311502F"/>
    <w:rsid w:val="43124C8D"/>
    <w:rsid w:val="433D0BFC"/>
    <w:rsid w:val="433F610A"/>
    <w:rsid w:val="4355636B"/>
    <w:rsid w:val="43701D60"/>
    <w:rsid w:val="4373608B"/>
    <w:rsid w:val="43760E30"/>
    <w:rsid w:val="437E013B"/>
    <w:rsid w:val="43835A34"/>
    <w:rsid w:val="43F4135D"/>
    <w:rsid w:val="43FE396A"/>
    <w:rsid w:val="441E042F"/>
    <w:rsid w:val="443950F3"/>
    <w:rsid w:val="44517EB5"/>
    <w:rsid w:val="44535D73"/>
    <w:rsid w:val="445E0466"/>
    <w:rsid w:val="446D333E"/>
    <w:rsid w:val="447A4BFE"/>
    <w:rsid w:val="449D3CBD"/>
    <w:rsid w:val="44B67F44"/>
    <w:rsid w:val="44B92BFD"/>
    <w:rsid w:val="44C70D28"/>
    <w:rsid w:val="44CA6E76"/>
    <w:rsid w:val="44EB5916"/>
    <w:rsid w:val="44F6488D"/>
    <w:rsid w:val="4502051D"/>
    <w:rsid w:val="45044A12"/>
    <w:rsid w:val="450E6E77"/>
    <w:rsid w:val="451C7198"/>
    <w:rsid w:val="4524077E"/>
    <w:rsid w:val="45282A9A"/>
    <w:rsid w:val="45285B35"/>
    <w:rsid w:val="45334A20"/>
    <w:rsid w:val="453C14B9"/>
    <w:rsid w:val="45585199"/>
    <w:rsid w:val="4589448D"/>
    <w:rsid w:val="45934CAA"/>
    <w:rsid w:val="45C25C0E"/>
    <w:rsid w:val="45E96F86"/>
    <w:rsid w:val="45FC5A69"/>
    <w:rsid w:val="460556A8"/>
    <w:rsid w:val="461E4FA6"/>
    <w:rsid w:val="463A5899"/>
    <w:rsid w:val="463B4F6C"/>
    <w:rsid w:val="464F2B3C"/>
    <w:rsid w:val="4654512D"/>
    <w:rsid w:val="46606872"/>
    <w:rsid w:val="46614E0D"/>
    <w:rsid w:val="46997982"/>
    <w:rsid w:val="46BC2C14"/>
    <w:rsid w:val="46BE0B91"/>
    <w:rsid w:val="46E64059"/>
    <w:rsid w:val="46F4701B"/>
    <w:rsid w:val="470348BC"/>
    <w:rsid w:val="4711691D"/>
    <w:rsid w:val="47205FEA"/>
    <w:rsid w:val="472D388D"/>
    <w:rsid w:val="4733684A"/>
    <w:rsid w:val="47481121"/>
    <w:rsid w:val="476843F5"/>
    <w:rsid w:val="476B186B"/>
    <w:rsid w:val="477A3C84"/>
    <w:rsid w:val="477D700D"/>
    <w:rsid w:val="478A42F6"/>
    <w:rsid w:val="47984A0A"/>
    <w:rsid w:val="47A54513"/>
    <w:rsid w:val="47A738C8"/>
    <w:rsid w:val="47BA40D3"/>
    <w:rsid w:val="47C1550A"/>
    <w:rsid w:val="47E52D99"/>
    <w:rsid w:val="47EB6B0E"/>
    <w:rsid w:val="47F31436"/>
    <w:rsid w:val="48071572"/>
    <w:rsid w:val="48083C5D"/>
    <w:rsid w:val="48121407"/>
    <w:rsid w:val="48246406"/>
    <w:rsid w:val="482D1C7F"/>
    <w:rsid w:val="482F1D5A"/>
    <w:rsid w:val="48376C36"/>
    <w:rsid w:val="48444BA9"/>
    <w:rsid w:val="487E44EF"/>
    <w:rsid w:val="489064E3"/>
    <w:rsid w:val="48934611"/>
    <w:rsid w:val="48996789"/>
    <w:rsid w:val="48B25AE7"/>
    <w:rsid w:val="48F542D2"/>
    <w:rsid w:val="48FD06CC"/>
    <w:rsid w:val="49147DDB"/>
    <w:rsid w:val="492271EA"/>
    <w:rsid w:val="492B1670"/>
    <w:rsid w:val="4937639F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0A6964"/>
    <w:rsid w:val="4A247675"/>
    <w:rsid w:val="4A264531"/>
    <w:rsid w:val="4A2920CB"/>
    <w:rsid w:val="4A2E18A7"/>
    <w:rsid w:val="4A38213A"/>
    <w:rsid w:val="4A3C451C"/>
    <w:rsid w:val="4A400586"/>
    <w:rsid w:val="4A496CD7"/>
    <w:rsid w:val="4A5B01F1"/>
    <w:rsid w:val="4A6C15F2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1646CF"/>
    <w:rsid w:val="4B7C1338"/>
    <w:rsid w:val="4B975530"/>
    <w:rsid w:val="4B996B44"/>
    <w:rsid w:val="4BA95E82"/>
    <w:rsid w:val="4BAA4032"/>
    <w:rsid w:val="4BB7755B"/>
    <w:rsid w:val="4BDA4819"/>
    <w:rsid w:val="4BE55CFC"/>
    <w:rsid w:val="4C116589"/>
    <w:rsid w:val="4C3007F7"/>
    <w:rsid w:val="4C335E10"/>
    <w:rsid w:val="4C3B67F1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BC41F3"/>
    <w:rsid w:val="4CC10E85"/>
    <w:rsid w:val="4CC82FE7"/>
    <w:rsid w:val="4CCB0ABF"/>
    <w:rsid w:val="4CDE00EB"/>
    <w:rsid w:val="4CE25DB6"/>
    <w:rsid w:val="4CE42BCD"/>
    <w:rsid w:val="4CE809C5"/>
    <w:rsid w:val="4CEB1A1E"/>
    <w:rsid w:val="4CF040EF"/>
    <w:rsid w:val="4CFC55B3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E1858BC"/>
    <w:rsid w:val="4E214745"/>
    <w:rsid w:val="4E431F05"/>
    <w:rsid w:val="4E512896"/>
    <w:rsid w:val="4E5737A4"/>
    <w:rsid w:val="4E6135E5"/>
    <w:rsid w:val="4E6B1C67"/>
    <w:rsid w:val="4E7D741E"/>
    <w:rsid w:val="4E876A80"/>
    <w:rsid w:val="4E881A6F"/>
    <w:rsid w:val="4E8B5E12"/>
    <w:rsid w:val="4E93296A"/>
    <w:rsid w:val="4EB46112"/>
    <w:rsid w:val="4EB549E2"/>
    <w:rsid w:val="4ECC4E51"/>
    <w:rsid w:val="4ED227AF"/>
    <w:rsid w:val="4ED92D5E"/>
    <w:rsid w:val="4EF33E65"/>
    <w:rsid w:val="4EF4193D"/>
    <w:rsid w:val="4F153A2F"/>
    <w:rsid w:val="4F1816D0"/>
    <w:rsid w:val="4F430F16"/>
    <w:rsid w:val="4F4A1B00"/>
    <w:rsid w:val="4F593665"/>
    <w:rsid w:val="4F5B5C46"/>
    <w:rsid w:val="4F6771A9"/>
    <w:rsid w:val="4F8C770B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410CA2"/>
    <w:rsid w:val="5054650C"/>
    <w:rsid w:val="505E14C8"/>
    <w:rsid w:val="506257FD"/>
    <w:rsid w:val="50731582"/>
    <w:rsid w:val="509A2E32"/>
    <w:rsid w:val="51120212"/>
    <w:rsid w:val="515446E1"/>
    <w:rsid w:val="516119DC"/>
    <w:rsid w:val="51631263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2184844"/>
    <w:rsid w:val="52196CD6"/>
    <w:rsid w:val="52273196"/>
    <w:rsid w:val="523731EA"/>
    <w:rsid w:val="52391CB6"/>
    <w:rsid w:val="523F42A6"/>
    <w:rsid w:val="52436DC1"/>
    <w:rsid w:val="524B2422"/>
    <w:rsid w:val="526F7059"/>
    <w:rsid w:val="527C6745"/>
    <w:rsid w:val="528D53DC"/>
    <w:rsid w:val="529D59D3"/>
    <w:rsid w:val="52A54636"/>
    <w:rsid w:val="52BD2046"/>
    <w:rsid w:val="52D20B31"/>
    <w:rsid w:val="52D403EF"/>
    <w:rsid w:val="52D80B2A"/>
    <w:rsid w:val="52F16B43"/>
    <w:rsid w:val="53083AA3"/>
    <w:rsid w:val="531E0FBA"/>
    <w:rsid w:val="531F6C33"/>
    <w:rsid w:val="532F5A3F"/>
    <w:rsid w:val="5346574A"/>
    <w:rsid w:val="535059AB"/>
    <w:rsid w:val="536871EA"/>
    <w:rsid w:val="538C72E9"/>
    <w:rsid w:val="53A84A9F"/>
    <w:rsid w:val="53C53124"/>
    <w:rsid w:val="53D820C5"/>
    <w:rsid w:val="53D94927"/>
    <w:rsid w:val="53DD5528"/>
    <w:rsid w:val="53F448C8"/>
    <w:rsid w:val="53F45339"/>
    <w:rsid w:val="543630E0"/>
    <w:rsid w:val="544A0DB6"/>
    <w:rsid w:val="5456191F"/>
    <w:rsid w:val="5457477E"/>
    <w:rsid w:val="545A5363"/>
    <w:rsid w:val="5469029B"/>
    <w:rsid w:val="546F00F2"/>
    <w:rsid w:val="54786028"/>
    <w:rsid w:val="54814751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6543C"/>
    <w:rsid w:val="5502747C"/>
    <w:rsid w:val="550A4C45"/>
    <w:rsid w:val="553E70EA"/>
    <w:rsid w:val="554F2951"/>
    <w:rsid w:val="55563B6B"/>
    <w:rsid w:val="55651866"/>
    <w:rsid w:val="5567153C"/>
    <w:rsid w:val="556D0395"/>
    <w:rsid w:val="55754396"/>
    <w:rsid w:val="557645CB"/>
    <w:rsid w:val="55783BA2"/>
    <w:rsid w:val="55F064F6"/>
    <w:rsid w:val="55F82D46"/>
    <w:rsid w:val="56343A2B"/>
    <w:rsid w:val="56362315"/>
    <w:rsid w:val="56493897"/>
    <w:rsid w:val="5658660E"/>
    <w:rsid w:val="56830D82"/>
    <w:rsid w:val="568A7FA4"/>
    <w:rsid w:val="569158C1"/>
    <w:rsid w:val="56952F1F"/>
    <w:rsid w:val="56AC3209"/>
    <w:rsid w:val="56B5293E"/>
    <w:rsid w:val="56B741DC"/>
    <w:rsid w:val="56BD7FB8"/>
    <w:rsid w:val="56CC7516"/>
    <w:rsid w:val="56E13AAA"/>
    <w:rsid w:val="56F549B0"/>
    <w:rsid w:val="570D2CE4"/>
    <w:rsid w:val="57160A5A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7E6ABE"/>
    <w:rsid w:val="598744A3"/>
    <w:rsid w:val="598B4ABD"/>
    <w:rsid w:val="59C95FE7"/>
    <w:rsid w:val="59D12D7B"/>
    <w:rsid w:val="59D24BEE"/>
    <w:rsid w:val="59D96474"/>
    <w:rsid w:val="59D97F5F"/>
    <w:rsid w:val="5A13072C"/>
    <w:rsid w:val="5A1A6B11"/>
    <w:rsid w:val="5A221467"/>
    <w:rsid w:val="5A2F7E9A"/>
    <w:rsid w:val="5A324C7E"/>
    <w:rsid w:val="5A3B4DBF"/>
    <w:rsid w:val="5A525FC1"/>
    <w:rsid w:val="5A5313B9"/>
    <w:rsid w:val="5A5B1A93"/>
    <w:rsid w:val="5A5C484E"/>
    <w:rsid w:val="5A6123EF"/>
    <w:rsid w:val="5A895545"/>
    <w:rsid w:val="5AAA5AA7"/>
    <w:rsid w:val="5AAD771A"/>
    <w:rsid w:val="5ACA25F3"/>
    <w:rsid w:val="5AE10DCB"/>
    <w:rsid w:val="5AE37E88"/>
    <w:rsid w:val="5AF34C33"/>
    <w:rsid w:val="5B062C28"/>
    <w:rsid w:val="5B096120"/>
    <w:rsid w:val="5B17528B"/>
    <w:rsid w:val="5B262637"/>
    <w:rsid w:val="5B2B1823"/>
    <w:rsid w:val="5B3B1C0E"/>
    <w:rsid w:val="5B3E3B02"/>
    <w:rsid w:val="5B487FEA"/>
    <w:rsid w:val="5B524538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D5B2F"/>
    <w:rsid w:val="5D4727AF"/>
    <w:rsid w:val="5D5501F2"/>
    <w:rsid w:val="5D56422B"/>
    <w:rsid w:val="5D967A6A"/>
    <w:rsid w:val="5D997094"/>
    <w:rsid w:val="5DA232D1"/>
    <w:rsid w:val="5DB0276A"/>
    <w:rsid w:val="5DF01811"/>
    <w:rsid w:val="5DFC1725"/>
    <w:rsid w:val="5E085F26"/>
    <w:rsid w:val="5E27233D"/>
    <w:rsid w:val="5E2A3141"/>
    <w:rsid w:val="5E2F2226"/>
    <w:rsid w:val="5E4111A9"/>
    <w:rsid w:val="5E671789"/>
    <w:rsid w:val="5E6A2D60"/>
    <w:rsid w:val="5E7D69ED"/>
    <w:rsid w:val="5E7F6E97"/>
    <w:rsid w:val="5E9B6F9B"/>
    <w:rsid w:val="5EAC18A7"/>
    <w:rsid w:val="5EF03005"/>
    <w:rsid w:val="5EF13622"/>
    <w:rsid w:val="5EF3528B"/>
    <w:rsid w:val="5F2E5D9F"/>
    <w:rsid w:val="5F417E0E"/>
    <w:rsid w:val="5F4A1F1B"/>
    <w:rsid w:val="5F4A55C6"/>
    <w:rsid w:val="5F6A388F"/>
    <w:rsid w:val="5F744282"/>
    <w:rsid w:val="5F7543B4"/>
    <w:rsid w:val="5F9C1BE4"/>
    <w:rsid w:val="5FAC5828"/>
    <w:rsid w:val="5FC36777"/>
    <w:rsid w:val="5FD80461"/>
    <w:rsid w:val="60022F17"/>
    <w:rsid w:val="60185FA9"/>
    <w:rsid w:val="601C086A"/>
    <w:rsid w:val="602316C2"/>
    <w:rsid w:val="603713E2"/>
    <w:rsid w:val="603B2CE8"/>
    <w:rsid w:val="606625D3"/>
    <w:rsid w:val="606F3162"/>
    <w:rsid w:val="6084298C"/>
    <w:rsid w:val="60A26AC3"/>
    <w:rsid w:val="60AA06D8"/>
    <w:rsid w:val="60AB00BC"/>
    <w:rsid w:val="60E144D2"/>
    <w:rsid w:val="60E5198E"/>
    <w:rsid w:val="610E5299"/>
    <w:rsid w:val="614F7714"/>
    <w:rsid w:val="615A18BE"/>
    <w:rsid w:val="615F2167"/>
    <w:rsid w:val="616048EE"/>
    <w:rsid w:val="61653414"/>
    <w:rsid w:val="617D2724"/>
    <w:rsid w:val="619E1452"/>
    <w:rsid w:val="61AB48B1"/>
    <w:rsid w:val="61B7768F"/>
    <w:rsid w:val="61BD7FB0"/>
    <w:rsid w:val="61BE5E4F"/>
    <w:rsid w:val="61DE1F1F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7C557B"/>
    <w:rsid w:val="628C7A44"/>
    <w:rsid w:val="628E5653"/>
    <w:rsid w:val="629D61EC"/>
    <w:rsid w:val="62B6094A"/>
    <w:rsid w:val="62D00E03"/>
    <w:rsid w:val="62D31364"/>
    <w:rsid w:val="635555EB"/>
    <w:rsid w:val="637C5741"/>
    <w:rsid w:val="63934ABD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695C"/>
    <w:rsid w:val="646E73D5"/>
    <w:rsid w:val="646F7FCD"/>
    <w:rsid w:val="64735CFC"/>
    <w:rsid w:val="649A7664"/>
    <w:rsid w:val="64A47BA0"/>
    <w:rsid w:val="64AF3DCE"/>
    <w:rsid w:val="64D833A6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7855"/>
    <w:rsid w:val="65B652C1"/>
    <w:rsid w:val="65C22F91"/>
    <w:rsid w:val="65C604F4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3DB7"/>
    <w:rsid w:val="66B4536C"/>
    <w:rsid w:val="66CA5E5F"/>
    <w:rsid w:val="66E710BA"/>
    <w:rsid w:val="66ED62BD"/>
    <w:rsid w:val="670A3373"/>
    <w:rsid w:val="67164009"/>
    <w:rsid w:val="671A520A"/>
    <w:rsid w:val="671B7213"/>
    <w:rsid w:val="67292A7D"/>
    <w:rsid w:val="673A2970"/>
    <w:rsid w:val="674B597F"/>
    <w:rsid w:val="674F6CB6"/>
    <w:rsid w:val="67514E24"/>
    <w:rsid w:val="67620408"/>
    <w:rsid w:val="676734AA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22CFF"/>
    <w:rsid w:val="67F65281"/>
    <w:rsid w:val="67F805B4"/>
    <w:rsid w:val="67F90E07"/>
    <w:rsid w:val="680509F9"/>
    <w:rsid w:val="680A2685"/>
    <w:rsid w:val="680F4EED"/>
    <w:rsid w:val="681875C8"/>
    <w:rsid w:val="6825421D"/>
    <w:rsid w:val="682A15E7"/>
    <w:rsid w:val="68486434"/>
    <w:rsid w:val="68AC730B"/>
    <w:rsid w:val="68B4479F"/>
    <w:rsid w:val="68C170A3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B211EB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712F6"/>
    <w:rsid w:val="6A2B356A"/>
    <w:rsid w:val="6A6641A9"/>
    <w:rsid w:val="6A90701E"/>
    <w:rsid w:val="6AAF7616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A7091"/>
    <w:rsid w:val="6B76598E"/>
    <w:rsid w:val="6B89705C"/>
    <w:rsid w:val="6BA3495E"/>
    <w:rsid w:val="6BC247A6"/>
    <w:rsid w:val="6BD92C40"/>
    <w:rsid w:val="6BE211D0"/>
    <w:rsid w:val="6BF87C20"/>
    <w:rsid w:val="6C3016AA"/>
    <w:rsid w:val="6C3D541F"/>
    <w:rsid w:val="6C415AEC"/>
    <w:rsid w:val="6C477A25"/>
    <w:rsid w:val="6C6C5C09"/>
    <w:rsid w:val="6C713545"/>
    <w:rsid w:val="6C821B3B"/>
    <w:rsid w:val="6C8C74B0"/>
    <w:rsid w:val="6C903F46"/>
    <w:rsid w:val="6C9261B9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B1EB7"/>
    <w:rsid w:val="6DCB5D7F"/>
    <w:rsid w:val="6DEA1D4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9F3D83"/>
    <w:rsid w:val="6EB45479"/>
    <w:rsid w:val="6ECA5A5F"/>
    <w:rsid w:val="6EDB288F"/>
    <w:rsid w:val="6EF841B8"/>
    <w:rsid w:val="6EFC3550"/>
    <w:rsid w:val="6F043F0B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6FFF5CC5"/>
    <w:rsid w:val="70091AF4"/>
    <w:rsid w:val="70095EE9"/>
    <w:rsid w:val="704B7DAF"/>
    <w:rsid w:val="708520C4"/>
    <w:rsid w:val="70853BCC"/>
    <w:rsid w:val="70A23903"/>
    <w:rsid w:val="70B4157B"/>
    <w:rsid w:val="70C154FD"/>
    <w:rsid w:val="70C6036D"/>
    <w:rsid w:val="70CE4A96"/>
    <w:rsid w:val="70CF039B"/>
    <w:rsid w:val="70D3493E"/>
    <w:rsid w:val="70D7108E"/>
    <w:rsid w:val="70D76741"/>
    <w:rsid w:val="70F64FF4"/>
    <w:rsid w:val="710A3270"/>
    <w:rsid w:val="71164ACF"/>
    <w:rsid w:val="71306252"/>
    <w:rsid w:val="713B0B43"/>
    <w:rsid w:val="716621C1"/>
    <w:rsid w:val="71782C7D"/>
    <w:rsid w:val="718C3DE0"/>
    <w:rsid w:val="719170E3"/>
    <w:rsid w:val="71A62055"/>
    <w:rsid w:val="71AB5F8A"/>
    <w:rsid w:val="71B24E95"/>
    <w:rsid w:val="71BB7B4E"/>
    <w:rsid w:val="71C5773E"/>
    <w:rsid w:val="71E42F3B"/>
    <w:rsid w:val="71F44D58"/>
    <w:rsid w:val="71FC4C7C"/>
    <w:rsid w:val="72251DA4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3132481"/>
    <w:rsid w:val="7325591C"/>
    <w:rsid w:val="73347DD4"/>
    <w:rsid w:val="735C3FAF"/>
    <w:rsid w:val="736D44EF"/>
    <w:rsid w:val="73776CA0"/>
    <w:rsid w:val="73B35A75"/>
    <w:rsid w:val="73C97E9E"/>
    <w:rsid w:val="73D40DA2"/>
    <w:rsid w:val="73DD1180"/>
    <w:rsid w:val="73E5185B"/>
    <w:rsid w:val="741F45B5"/>
    <w:rsid w:val="742C4642"/>
    <w:rsid w:val="74315D5C"/>
    <w:rsid w:val="743C59CD"/>
    <w:rsid w:val="74465350"/>
    <w:rsid w:val="746B647F"/>
    <w:rsid w:val="747542D9"/>
    <w:rsid w:val="747E3B0E"/>
    <w:rsid w:val="74800E9A"/>
    <w:rsid w:val="748F7F6F"/>
    <w:rsid w:val="749817D5"/>
    <w:rsid w:val="74AC4202"/>
    <w:rsid w:val="74B53285"/>
    <w:rsid w:val="74B746E8"/>
    <w:rsid w:val="74D67798"/>
    <w:rsid w:val="7518394C"/>
    <w:rsid w:val="751850DE"/>
    <w:rsid w:val="75193DA9"/>
    <w:rsid w:val="753022BE"/>
    <w:rsid w:val="753B0EFD"/>
    <w:rsid w:val="75530645"/>
    <w:rsid w:val="755F2C4C"/>
    <w:rsid w:val="7594489B"/>
    <w:rsid w:val="7595501B"/>
    <w:rsid w:val="759C0A8D"/>
    <w:rsid w:val="75D51CE0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A67DFC"/>
    <w:rsid w:val="76B2074A"/>
    <w:rsid w:val="76EC419E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1A96"/>
    <w:rsid w:val="78473280"/>
    <w:rsid w:val="78501779"/>
    <w:rsid w:val="786D43E0"/>
    <w:rsid w:val="78737430"/>
    <w:rsid w:val="78784A07"/>
    <w:rsid w:val="78A11F78"/>
    <w:rsid w:val="78A5499D"/>
    <w:rsid w:val="78AF7669"/>
    <w:rsid w:val="78D15EAD"/>
    <w:rsid w:val="78D528CE"/>
    <w:rsid w:val="78E252CB"/>
    <w:rsid w:val="78FA53C2"/>
    <w:rsid w:val="78FE6E8B"/>
    <w:rsid w:val="79004FC6"/>
    <w:rsid w:val="790620E2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340D66"/>
    <w:rsid w:val="7A4363BA"/>
    <w:rsid w:val="7A46001C"/>
    <w:rsid w:val="7A4967D0"/>
    <w:rsid w:val="7A632889"/>
    <w:rsid w:val="7A686542"/>
    <w:rsid w:val="7A815634"/>
    <w:rsid w:val="7A9642E8"/>
    <w:rsid w:val="7A996458"/>
    <w:rsid w:val="7AAA668A"/>
    <w:rsid w:val="7AC42EFD"/>
    <w:rsid w:val="7ACC0EA4"/>
    <w:rsid w:val="7AD51A8A"/>
    <w:rsid w:val="7AF3075E"/>
    <w:rsid w:val="7B1903CB"/>
    <w:rsid w:val="7B250396"/>
    <w:rsid w:val="7B2C1EB5"/>
    <w:rsid w:val="7B302DA2"/>
    <w:rsid w:val="7B4E463F"/>
    <w:rsid w:val="7B550266"/>
    <w:rsid w:val="7B887DF3"/>
    <w:rsid w:val="7BB30DF6"/>
    <w:rsid w:val="7BBE4350"/>
    <w:rsid w:val="7BC0506C"/>
    <w:rsid w:val="7BD5433F"/>
    <w:rsid w:val="7BD62E72"/>
    <w:rsid w:val="7BE44AEA"/>
    <w:rsid w:val="7BF84150"/>
    <w:rsid w:val="7C111929"/>
    <w:rsid w:val="7C1643B1"/>
    <w:rsid w:val="7C183004"/>
    <w:rsid w:val="7C1954A8"/>
    <w:rsid w:val="7C201BE6"/>
    <w:rsid w:val="7C221D63"/>
    <w:rsid w:val="7C306F37"/>
    <w:rsid w:val="7C3F52F0"/>
    <w:rsid w:val="7C447A03"/>
    <w:rsid w:val="7C476839"/>
    <w:rsid w:val="7C741B8F"/>
    <w:rsid w:val="7C892BB1"/>
    <w:rsid w:val="7C8E3EEE"/>
    <w:rsid w:val="7C950DB7"/>
    <w:rsid w:val="7CA20D5A"/>
    <w:rsid w:val="7CA751A0"/>
    <w:rsid w:val="7CA7527D"/>
    <w:rsid w:val="7CC623BD"/>
    <w:rsid w:val="7CE048DE"/>
    <w:rsid w:val="7D013F30"/>
    <w:rsid w:val="7D10614C"/>
    <w:rsid w:val="7D207A95"/>
    <w:rsid w:val="7D2F5F4B"/>
    <w:rsid w:val="7D361B5B"/>
    <w:rsid w:val="7D395C3B"/>
    <w:rsid w:val="7D42491F"/>
    <w:rsid w:val="7D487044"/>
    <w:rsid w:val="7D641E6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B775FE"/>
    <w:rsid w:val="7DBB57EB"/>
    <w:rsid w:val="7DC11517"/>
    <w:rsid w:val="7DDF5BB8"/>
    <w:rsid w:val="7E1E5DFA"/>
    <w:rsid w:val="7E45318A"/>
    <w:rsid w:val="7E45572A"/>
    <w:rsid w:val="7E525688"/>
    <w:rsid w:val="7E57165F"/>
    <w:rsid w:val="7E725064"/>
    <w:rsid w:val="7EA617D8"/>
    <w:rsid w:val="7EA75276"/>
    <w:rsid w:val="7EA96A04"/>
    <w:rsid w:val="7EB37413"/>
    <w:rsid w:val="7EC03B2D"/>
    <w:rsid w:val="7EC22259"/>
    <w:rsid w:val="7ECA7D82"/>
    <w:rsid w:val="7ECC4937"/>
    <w:rsid w:val="7EDC40C1"/>
    <w:rsid w:val="7EDD2BB7"/>
    <w:rsid w:val="7EF24838"/>
    <w:rsid w:val="7EFD157F"/>
    <w:rsid w:val="7F084B75"/>
    <w:rsid w:val="7F1262E1"/>
    <w:rsid w:val="7F2042F6"/>
    <w:rsid w:val="7F405636"/>
    <w:rsid w:val="7F4B78AB"/>
    <w:rsid w:val="7F737A53"/>
    <w:rsid w:val="7F917215"/>
    <w:rsid w:val="7F98450F"/>
    <w:rsid w:val="7FA15F27"/>
    <w:rsid w:val="7FD62EB5"/>
    <w:rsid w:val="7FEB587D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cs="Times New Roman" w:eastAsiaTheme="minorEastAsia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2"/>
    <w:qFormat/>
    <w:uiPriority w:val="0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73"/>
    <w:qFormat/>
    <w:uiPriority w:val="0"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hAnsi="Arial" w:eastAsia="MS Mincho"/>
      <w:kern w:val="0"/>
      <w:sz w:val="32"/>
      <w:szCs w:val="32"/>
      <w:lang w:val="en-GB"/>
    </w:rPr>
  </w:style>
  <w:style w:type="paragraph" w:styleId="4">
    <w:name w:val="heading 3"/>
    <w:basedOn w:val="3"/>
    <w:next w:val="1"/>
    <w:link w:val="74"/>
    <w:qFormat/>
    <w:uiPriority w:val="0"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5">
    <w:name w:val="heading 4"/>
    <w:basedOn w:val="4"/>
    <w:next w:val="1"/>
    <w:link w:val="75"/>
    <w:qFormat/>
    <w:uiPriority w:val="0"/>
    <w:pPr>
      <w:tabs>
        <w:tab w:val="left" w:pos="864"/>
        <w:tab w:val="left" w:pos="2071"/>
        <w:tab w:val="clear" w:pos="720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6">
    <w:name w:val="heading 5"/>
    <w:basedOn w:val="1"/>
    <w:next w:val="1"/>
    <w:link w:val="76"/>
    <w:qFormat/>
    <w:uiPriority w:val="0"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7">
    <w:name w:val="heading 6"/>
    <w:basedOn w:val="1"/>
    <w:next w:val="1"/>
    <w:link w:val="77"/>
    <w:qFormat/>
    <w:uiPriority w:val="0"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link w:val="78"/>
    <w:qFormat/>
    <w:uiPriority w:val="0"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9">
    <w:name w:val="heading 8"/>
    <w:basedOn w:val="1"/>
    <w:next w:val="1"/>
    <w:link w:val="79"/>
    <w:qFormat/>
    <w:uiPriority w:val="0"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80"/>
    <w:qFormat/>
    <w:uiPriority w:val="0"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hAnsi="Arial" w:eastAsia="黑体"/>
    </w:rPr>
  </w:style>
  <w:style w:type="character" w:default="1" w:styleId="58">
    <w:name w:val="Default Paragraph Font"/>
    <w:semiHidden/>
    <w:unhideWhenUsed/>
    <w:qFormat/>
    <w:uiPriority w:val="1"/>
  </w:style>
  <w:style w:type="table" w:default="1" w:styleId="5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widowControl/>
      <w:spacing w:before="40"/>
      <w:ind w:left="849" w:hanging="283"/>
      <w:contextualSpacing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12">
    <w:name w:val="toc 7"/>
    <w:basedOn w:val="1"/>
    <w:next w:val="1"/>
    <w:qFormat/>
    <w:uiPriority w:val="0"/>
    <w:pPr>
      <w:tabs>
        <w:tab w:val="right" w:leader="dot" w:pos="9241"/>
      </w:tabs>
      <w:ind w:firstLine="500" w:firstLineChars="500"/>
      <w:jc w:val="left"/>
    </w:pPr>
    <w:rPr>
      <w:rFonts w:ascii="宋体"/>
      <w:szCs w:val="21"/>
    </w:rPr>
  </w:style>
  <w:style w:type="paragraph" w:styleId="13">
    <w:name w:val="List Number 2"/>
    <w:basedOn w:val="14"/>
    <w:qFormat/>
    <w:uiPriority w:val="0"/>
    <w:pPr>
      <w:ind w:left="851"/>
    </w:pPr>
  </w:style>
  <w:style w:type="paragraph" w:styleId="14">
    <w:name w:val="List Number"/>
    <w:basedOn w:val="15"/>
    <w:qFormat/>
    <w:uiPriority w:val="0"/>
    <w:pPr>
      <w:widowControl/>
      <w:overflowPunct w:val="0"/>
      <w:autoSpaceDE w:val="0"/>
      <w:autoSpaceDN w:val="0"/>
      <w:adjustRightInd w:val="0"/>
      <w:spacing w:after="180"/>
      <w:ind w:left="0" w:firstLine="0" w:firstLineChars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15">
    <w:name w:val="List"/>
    <w:basedOn w:val="1"/>
    <w:unhideWhenUsed/>
    <w:qFormat/>
    <w:uiPriority w:val="0"/>
    <w:pPr>
      <w:ind w:left="200" w:hanging="200" w:hangingChars="200"/>
      <w:contextualSpacing/>
    </w:pPr>
  </w:style>
  <w:style w:type="paragraph" w:styleId="16">
    <w:name w:val="List Bullet 4"/>
    <w:basedOn w:val="17"/>
    <w:qFormat/>
    <w:uiPriority w:val="0"/>
    <w:pPr>
      <w:tabs>
        <w:tab w:val="left" w:pos="360"/>
        <w:tab w:val="left" w:pos="1259"/>
      </w:tabs>
      <w:ind w:left="1418"/>
    </w:pPr>
  </w:style>
  <w:style w:type="paragraph" w:styleId="17">
    <w:name w:val="List Bullet 3"/>
    <w:basedOn w:val="18"/>
    <w:qFormat/>
    <w:uiPriority w:val="0"/>
    <w:pPr>
      <w:tabs>
        <w:tab w:val="left" w:pos="360"/>
        <w:tab w:val="left" w:pos="1259"/>
      </w:tabs>
      <w:ind w:left="1135"/>
    </w:pPr>
  </w:style>
  <w:style w:type="paragraph" w:styleId="18">
    <w:name w:val="List Bullet 2"/>
    <w:basedOn w:val="19"/>
    <w:qFormat/>
    <w:uiPriority w:val="0"/>
    <w:pPr>
      <w:tabs>
        <w:tab w:val="left" w:pos="360"/>
        <w:tab w:val="left" w:pos="1259"/>
      </w:tabs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19">
    <w:name w:val="List Bullet"/>
    <w:basedOn w:val="1"/>
    <w:qFormat/>
    <w:uiPriority w:val="0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20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21">
    <w:name w:val="caption"/>
    <w:basedOn w:val="1"/>
    <w:next w:val="1"/>
    <w:link w:val="90"/>
    <w:qFormat/>
    <w:uiPriority w:val="0"/>
    <w:pPr>
      <w:spacing w:before="152"/>
    </w:pPr>
    <w:rPr>
      <w:rFonts w:ascii="Arial" w:hAnsi="Arial" w:eastAsia="黑体" w:cs="Arial"/>
      <w:sz w:val="20"/>
      <w:szCs w:val="20"/>
    </w:rPr>
  </w:style>
  <w:style w:type="paragraph" w:styleId="22">
    <w:name w:val="index 5"/>
    <w:basedOn w:val="1"/>
    <w:next w:val="1"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23">
    <w:name w:val="Document Map"/>
    <w:basedOn w:val="1"/>
    <w:link w:val="71"/>
    <w:unhideWhenUsed/>
    <w:qFormat/>
    <w:uiPriority w:val="0"/>
    <w:rPr>
      <w:rFonts w:ascii="宋体"/>
      <w:sz w:val="18"/>
      <w:szCs w:val="18"/>
    </w:rPr>
  </w:style>
  <w:style w:type="paragraph" w:styleId="24">
    <w:name w:val="annotation text"/>
    <w:basedOn w:val="1"/>
    <w:link w:val="177"/>
    <w:unhideWhenUsed/>
    <w:qFormat/>
    <w:uiPriority w:val="0"/>
    <w:pPr>
      <w:jc w:val="left"/>
    </w:pPr>
  </w:style>
  <w:style w:type="paragraph" w:styleId="25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6">
    <w:name w:val="Body Text"/>
    <w:basedOn w:val="1"/>
    <w:link w:val="125"/>
    <w:qFormat/>
    <w:uiPriority w:val="0"/>
    <w:pPr>
      <w:widowControl/>
      <w:spacing w:before="40" w:after="120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27">
    <w:name w:val="List 2"/>
    <w:basedOn w:val="15"/>
    <w:unhideWhenUsed/>
    <w:qFormat/>
    <w:uiPriority w:val="0"/>
    <w:pPr>
      <w:ind w:left="100" w:leftChars="200"/>
    </w:pPr>
  </w:style>
  <w:style w:type="paragraph" w:styleId="28">
    <w:name w:val="index 4"/>
    <w:basedOn w:val="1"/>
    <w:next w:val="1"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29">
    <w:name w:val="toc 5"/>
    <w:basedOn w:val="1"/>
    <w:next w:val="1"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30">
    <w:name w:val="toc 3"/>
    <w:basedOn w:val="1"/>
    <w:next w:val="1"/>
    <w:qFormat/>
    <w:uiPriority w:val="0"/>
    <w:pPr>
      <w:tabs>
        <w:tab w:val="right" w:leader="dot" w:pos="9241"/>
      </w:tabs>
      <w:ind w:firstLine="100" w:firstLineChars="100"/>
      <w:jc w:val="left"/>
    </w:pPr>
    <w:rPr>
      <w:rFonts w:ascii="宋体"/>
      <w:szCs w:val="21"/>
    </w:rPr>
  </w:style>
  <w:style w:type="paragraph" w:styleId="31">
    <w:name w:val="Plain Text"/>
    <w:basedOn w:val="1"/>
    <w:link w:val="117"/>
    <w:unhideWhenUsed/>
    <w:qFormat/>
    <w:uiPriority w:val="99"/>
    <w:pPr>
      <w:widowControl/>
      <w:spacing w:before="40"/>
      <w:jc w:val="left"/>
    </w:pPr>
    <w:rPr>
      <w:rFonts w:ascii="Consolas" w:hAnsi="Consolas" w:eastAsia="Calibri"/>
      <w:kern w:val="0"/>
      <w:szCs w:val="21"/>
      <w:lang w:eastAsia="en-US"/>
    </w:rPr>
  </w:style>
  <w:style w:type="paragraph" w:styleId="32">
    <w:name w:val="List Bullet 5"/>
    <w:basedOn w:val="16"/>
    <w:qFormat/>
    <w:uiPriority w:val="0"/>
    <w:pPr>
      <w:ind w:left="1702"/>
    </w:pPr>
  </w:style>
  <w:style w:type="paragraph" w:styleId="33">
    <w:name w:val="toc 8"/>
    <w:basedOn w:val="1"/>
    <w:next w:val="1"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34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35">
    <w:name w:val="endnote text"/>
    <w:basedOn w:val="1"/>
    <w:link w:val="194"/>
    <w:qFormat/>
    <w:uiPriority w:val="0"/>
    <w:pPr>
      <w:snapToGrid w:val="0"/>
      <w:jc w:val="left"/>
    </w:pPr>
  </w:style>
  <w:style w:type="paragraph" w:styleId="36">
    <w:name w:val="Balloon Text"/>
    <w:basedOn w:val="1"/>
    <w:link w:val="69"/>
    <w:unhideWhenUsed/>
    <w:qFormat/>
    <w:uiPriority w:val="0"/>
    <w:rPr>
      <w:sz w:val="18"/>
      <w:szCs w:val="18"/>
    </w:rPr>
  </w:style>
  <w:style w:type="paragraph" w:styleId="37">
    <w:name w:val="footer"/>
    <w:basedOn w:val="1"/>
    <w:link w:val="1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8">
    <w:name w:val="header"/>
    <w:basedOn w:val="1"/>
    <w:link w:val="13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9">
    <w:name w:val="toc 1"/>
    <w:basedOn w:val="1"/>
    <w:next w:val="1"/>
    <w:qFormat/>
    <w:uiPriority w:val="39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0">
    <w:name w:val="toc 4"/>
    <w:basedOn w:val="1"/>
    <w:next w:val="1"/>
    <w:qFormat/>
    <w:uiPriority w:val="0"/>
    <w:pPr>
      <w:tabs>
        <w:tab w:val="right" w:leader="dot" w:pos="9241"/>
      </w:tabs>
      <w:ind w:firstLine="200" w:firstLineChars="200"/>
      <w:jc w:val="left"/>
    </w:pPr>
    <w:rPr>
      <w:rFonts w:ascii="宋体"/>
      <w:szCs w:val="21"/>
    </w:rPr>
  </w:style>
  <w:style w:type="paragraph" w:styleId="41">
    <w:name w:val="index heading"/>
    <w:basedOn w:val="1"/>
    <w:next w:val="42"/>
    <w:qFormat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42">
    <w:name w:val="index 1"/>
    <w:basedOn w:val="1"/>
    <w:next w:val="43"/>
    <w:qFormat/>
    <w:uiPriority w:val="0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43">
    <w:name w:val="段"/>
    <w:link w:val="102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="420" w:firstLineChars="200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styleId="44">
    <w:name w:val="footnote text"/>
    <w:basedOn w:val="1"/>
    <w:link w:val="151"/>
    <w:qFormat/>
    <w:uiPriority w:val="0"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45">
    <w:name w:val="toc 6"/>
    <w:basedOn w:val="1"/>
    <w:next w:val="1"/>
    <w:qFormat/>
    <w:uiPriority w:val="0"/>
    <w:pPr>
      <w:tabs>
        <w:tab w:val="right" w:leader="dot" w:pos="9241"/>
      </w:tabs>
      <w:ind w:firstLine="400" w:firstLineChars="400"/>
      <w:jc w:val="left"/>
    </w:pPr>
    <w:rPr>
      <w:rFonts w:ascii="宋体"/>
      <w:szCs w:val="21"/>
    </w:rPr>
  </w:style>
  <w:style w:type="paragraph" w:styleId="46">
    <w:name w:val="List 5"/>
    <w:basedOn w:val="47"/>
    <w:qFormat/>
    <w:uiPriority w:val="0"/>
    <w:pPr>
      <w:ind w:left="1702"/>
    </w:pPr>
  </w:style>
  <w:style w:type="paragraph" w:styleId="47">
    <w:name w:val="List 4"/>
    <w:basedOn w:val="11"/>
    <w:qFormat/>
    <w:uiPriority w:val="0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48">
    <w:name w:val="index 7"/>
    <w:basedOn w:val="1"/>
    <w:next w:val="1"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49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50">
    <w:name w:val="table of figures"/>
    <w:basedOn w:val="1"/>
    <w:next w:val="1"/>
    <w:qFormat/>
    <w:uiPriority w:val="99"/>
    <w:pPr>
      <w:widowControl/>
      <w:tabs>
        <w:tab w:val="left" w:pos="811"/>
      </w:tabs>
      <w:spacing w:before="60"/>
      <w:ind w:left="811" w:hanging="811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51">
    <w:name w:val="toc 2"/>
    <w:basedOn w:val="1"/>
    <w:next w:val="1"/>
    <w:qFormat/>
    <w:uiPriority w:val="39"/>
    <w:pPr>
      <w:tabs>
        <w:tab w:val="right" w:leader="dot" w:pos="9242"/>
      </w:tabs>
    </w:pPr>
    <w:rPr>
      <w:rFonts w:ascii="宋体"/>
      <w:szCs w:val="21"/>
    </w:rPr>
  </w:style>
  <w:style w:type="paragraph" w:styleId="52">
    <w:name w:val="toc 9"/>
    <w:basedOn w:val="1"/>
    <w:next w:val="1"/>
    <w:qFormat/>
    <w:uiPriority w:val="0"/>
    <w:pPr>
      <w:ind w:left="1470"/>
      <w:jc w:val="left"/>
    </w:pPr>
    <w:rPr>
      <w:sz w:val="20"/>
      <w:szCs w:val="20"/>
    </w:rPr>
  </w:style>
  <w:style w:type="paragraph" w:styleId="5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54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55">
    <w:name w:val="annotation subject"/>
    <w:basedOn w:val="24"/>
    <w:next w:val="24"/>
    <w:link w:val="92"/>
    <w:semiHidden/>
    <w:qFormat/>
    <w:uiPriority w:val="0"/>
    <w:pPr>
      <w:widowControl/>
      <w:spacing w:before="40"/>
    </w:pPr>
    <w:rPr>
      <w:rFonts w:ascii="Arial" w:hAnsi="Arial" w:eastAsia="MS Mincho"/>
      <w:b/>
      <w:bCs/>
      <w:kern w:val="0"/>
      <w:sz w:val="20"/>
      <w:szCs w:val="20"/>
      <w:lang w:val="en-GB" w:eastAsia="en-GB"/>
    </w:rPr>
  </w:style>
  <w:style w:type="table" w:styleId="57">
    <w:name w:val="Table Grid"/>
    <w:basedOn w:val="56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9">
    <w:name w:val="Strong"/>
    <w:basedOn w:val="58"/>
    <w:qFormat/>
    <w:uiPriority w:val="22"/>
    <w:rPr>
      <w:b/>
    </w:rPr>
  </w:style>
  <w:style w:type="character" w:styleId="60">
    <w:name w:val="endnote reference"/>
    <w:basedOn w:val="58"/>
    <w:qFormat/>
    <w:uiPriority w:val="0"/>
    <w:rPr>
      <w:vertAlign w:val="superscript"/>
    </w:rPr>
  </w:style>
  <w:style w:type="character" w:styleId="61">
    <w:name w:val="page number"/>
    <w:basedOn w:val="58"/>
    <w:qFormat/>
    <w:uiPriority w:val="0"/>
  </w:style>
  <w:style w:type="character" w:styleId="62">
    <w:name w:val="FollowedHyperlink"/>
    <w:basedOn w:val="58"/>
    <w:qFormat/>
    <w:uiPriority w:val="0"/>
    <w:rPr>
      <w:color w:val="800080"/>
      <w:u w:val="single"/>
    </w:rPr>
  </w:style>
  <w:style w:type="character" w:styleId="63">
    <w:name w:val="Emphasis"/>
    <w:qFormat/>
    <w:uiPriority w:val="0"/>
    <w:rPr>
      <w:i/>
      <w:iCs/>
    </w:rPr>
  </w:style>
  <w:style w:type="character" w:styleId="64">
    <w:name w:val="Hyperlink"/>
    <w:basedOn w:val="58"/>
    <w:qFormat/>
    <w:uiPriority w:val="99"/>
    <w:rPr>
      <w:color w:val="0000FF"/>
      <w:spacing w:val="0"/>
      <w:w w:val="100"/>
      <w:szCs w:val="21"/>
      <w:u w:val="single"/>
      <w:lang w:val="en-US" w:eastAsia="zh-CN"/>
    </w:rPr>
  </w:style>
  <w:style w:type="character" w:styleId="65">
    <w:name w:val="annotation reference"/>
    <w:qFormat/>
    <w:uiPriority w:val="0"/>
    <w:rPr>
      <w:sz w:val="16"/>
    </w:rPr>
  </w:style>
  <w:style w:type="character" w:styleId="66">
    <w:name w:val="footnote reference"/>
    <w:basedOn w:val="58"/>
    <w:qFormat/>
    <w:uiPriority w:val="0"/>
    <w:rPr>
      <w:vertAlign w:val="superscript"/>
    </w:rPr>
  </w:style>
  <w:style w:type="paragraph" w:customStyle="1" w:styleId="67">
    <w:name w:val="Doc-title"/>
    <w:basedOn w:val="1"/>
    <w:next w:val="68"/>
    <w:link w:val="111"/>
    <w:qFormat/>
    <w:uiPriority w:val="0"/>
    <w:pPr>
      <w:widowControl/>
      <w:ind w:left="1260" w:hanging="1260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customStyle="1" w:styleId="68">
    <w:name w:val="Doc-text2"/>
    <w:basedOn w:val="1"/>
    <w:link w:val="132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/>
      <w:kern w:val="0"/>
      <w:sz w:val="20"/>
      <w:lang w:val="en-GB" w:eastAsia="en-GB"/>
    </w:rPr>
  </w:style>
  <w:style w:type="character" w:customStyle="1" w:styleId="69">
    <w:name w:val="批注框文本 Char"/>
    <w:basedOn w:val="58"/>
    <w:link w:val="36"/>
    <w:qFormat/>
    <w:uiPriority w:val="0"/>
    <w:rPr>
      <w:kern w:val="2"/>
      <w:sz w:val="18"/>
      <w:szCs w:val="18"/>
    </w:rPr>
  </w:style>
  <w:style w:type="paragraph" w:styleId="70">
    <w:name w:val="List Paragraph"/>
    <w:basedOn w:val="1"/>
    <w:link w:val="273"/>
    <w:unhideWhenUsed/>
    <w:qFormat/>
    <w:uiPriority w:val="99"/>
    <w:pPr>
      <w:ind w:firstLine="420" w:firstLineChars="200"/>
    </w:pPr>
  </w:style>
  <w:style w:type="character" w:customStyle="1" w:styleId="71">
    <w:name w:val="文档结构图 Char"/>
    <w:basedOn w:val="58"/>
    <w:link w:val="23"/>
    <w:qFormat/>
    <w:uiPriority w:val="0"/>
    <w:rPr>
      <w:rFonts w:ascii="宋体"/>
      <w:kern w:val="2"/>
      <w:sz w:val="18"/>
      <w:szCs w:val="18"/>
    </w:rPr>
  </w:style>
  <w:style w:type="character" w:customStyle="1" w:styleId="72">
    <w:name w:val="标题 1 Char"/>
    <w:basedOn w:val="58"/>
    <w:link w:val="2"/>
    <w:qFormat/>
    <w:uiPriority w:val="0"/>
    <w:rPr>
      <w:b/>
      <w:bCs/>
      <w:kern w:val="44"/>
      <w:sz w:val="44"/>
      <w:szCs w:val="44"/>
    </w:rPr>
  </w:style>
  <w:style w:type="character" w:customStyle="1" w:styleId="73">
    <w:name w:val="标题 2 Char"/>
    <w:basedOn w:val="58"/>
    <w:link w:val="3"/>
    <w:qFormat/>
    <w:uiPriority w:val="0"/>
    <w:rPr>
      <w:rFonts w:ascii="Arial" w:hAnsi="Arial" w:eastAsia="MS Mincho"/>
      <w:sz w:val="32"/>
      <w:szCs w:val="32"/>
      <w:lang w:val="en-GB"/>
    </w:rPr>
  </w:style>
  <w:style w:type="character" w:customStyle="1" w:styleId="74">
    <w:name w:val="标题 3 Char"/>
    <w:basedOn w:val="58"/>
    <w:link w:val="4"/>
    <w:qFormat/>
    <w:uiPriority w:val="0"/>
    <w:rPr>
      <w:b/>
      <w:bCs/>
      <w:kern w:val="2"/>
      <w:sz w:val="32"/>
      <w:szCs w:val="32"/>
    </w:rPr>
  </w:style>
  <w:style w:type="character" w:customStyle="1" w:styleId="75">
    <w:name w:val="标题 4 Char"/>
    <w:basedOn w:val="58"/>
    <w:link w:val="5"/>
    <w:qFormat/>
    <w:uiPriority w:val="0"/>
    <w:rPr>
      <w:rFonts w:ascii="Arial" w:hAnsi="Arial" w:eastAsia="黑体"/>
      <w:b/>
      <w:kern w:val="2"/>
      <w:sz w:val="28"/>
      <w:szCs w:val="24"/>
    </w:rPr>
  </w:style>
  <w:style w:type="character" w:customStyle="1" w:styleId="76">
    <w:name w:val="标题 5 Char"/>
    <w:basedOn w:val="58"/>
    <w:link w:val="6"/>
    <w:qFormat/>
    <w:uiPriority w:val="0"/>
    <w:rPr>
      <w:b/>
      <w:kern w:val="2"/>
      <w:sz w:val="28"/>
      <w:szCs w:val="24"/>
    </w:rPr>
  </w:style>
  <w:style w:type="character" w:customStyle="1" w:styleId="77">
    <w:name w:val="标题 6 Char"/>
    <w:basedOn w:val="58"/>
    <w:link w:val="7"/>
    <w:qFormat/>
    <w:uiPriority w:val="0"/>
    <w:rPr>
      <w:rFonts w:ascii="Arial" w:hAnsi="Arial" w:eastAsia="黑体"/>
      <w:b/>
      <w:kern w:val="2"/>
      <w:sz w:val="24"/>
      <w:szCs w:val="24"/>
    </w:rPr>
  </w:style>
  <w:style w:type="character" w:customStyle="1" w:styleId="78">
    <w:name w:val="标题 7 Char"/>
    <w:basedOn w:val="58"/>
    <w:link w:val="8"/>
    <w:qFormat/>
    <w:uiPriority w:val="0"/>
    <w:rPr>
      <w:b/>
      <w:kern w:val="2"/>
      <w:sz w:val="24"/>
      <w:szCs w:val="24"/>
    </w:rPr>
  </w:style>
  <w:style w:type="character" w:customStyle="1" w:styleId="79">
    <w:name w:val="标题 8 Char"/>
    <w:basedOn w:val="58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80">
    <w:name w:val="标题 9 Char"/>
    <w:basedOn w:val="58"/>
    <w:link w:val="10"/>
    <w:qFormat/>
    <w:uiPriority w:val="0"/>
    <w:rPr>
      <w:rFonts w:ascii="Arial" w:hAnsi="Arial" w:eastAsia="黑体"/>
      <w:kern w:val="2"/>
      <w:sz w:val="21"/>
      <w:szCs w:val="24"/>
    </w:rPr>
  </w:style>
  <w:style w:type="character" w:customStyle="1" w:styleId="81">
    <w:name w:val="Char Char5"/>
    <w:qFormat/>
    <w:uiPriority w:val="0"/>
    <w:rPr>
      <w:rFonts w:ascii="Arial" w:hAnsi="Arial" w:eastAsia="MS Mincho" w:cs="Arial"/>
      <w:bCs/>
      <w:sz w:val="24"/>
      <w:szCs w:val="28"/>
      <w:lang w:val="en-GB" w:eastAsia="en-GB" w:bidi="ar-SA"/>
    </w:rPr>
  </w:style>
  <w:style w:type="character" w:customStyle="1" w:styleId="82">
    <w:name w:val="ComeBack Char Char"/>
    <w:basedOn w:val="83"/>
    <w:link w:val="84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83">
    <w:name w:val="Doc-text2 Char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84">
    <w:name w:val="ComeBack"/>
    <w:basedOn w:val="68"/>
    <w:next w:val="68"/>
    <w:link w:val="82"/>
    <w:qFormat/>
    <w:uiPriority w:val="0"/>
    <w:pPr>
      <w:tabs>
        <w:tab w:val="left" w:pos="1259"/>
      </w:tabs>
      <w:ind w:left="1619" w:hanging="360"/>
    </w:pPr>
  </w:style>
  <w:style w:type="character" w:customStyle="1" w:styleId="85">
    <w:name w:val="Bold Comments Char"/>
    <w:link w:val="86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86">
    <w:name w:val="Bold Comments"/>
    <w:basedOn w:val="87"/>
    <w:link w:val="85"/>
    <w:qFormat/>
    <w:uiPriority w:val="0"/>
  </w:style>
  <w:style w:type="paragraph" w:customStyle="1" w:styleId="87">
    <w:name w:val="SubHeading"/>
    <w:basedOn w:val="1"/>
    <w:next w:val="67"/>
    <w:link w:val="120"/>
    <w:qFormat/>
    <w:uiPriority w:val="0"/>
    <w:pPr>
      <w:widowControl/>
      <w:spacing w:before="240" w:after="60"/>
      <w:jc w:val="left"/>
      <w:outlineLvl w:val="8"/>
    </w:pPr>
    <w:rPr>
      <w:rFonts w:ascii="Arial" w:hAnsi="Arial" w:eastAsia="MS Mincho"/>
      <w:b/>
      <w:kern w:val="0"/>
      <w:sz w:val="20"/>
      <w:lang w:val="en-GB" w:eastAsia="en-GB"/>
    </w:rPr>
  </w:style>
  <w:style w:type="character" w:customStyle="1" w:styleId="88">
    <w:name w:val="TH Char"/>
    <w:link w:val="89"/>
    <w:qFormat/>
    <w:uiPriority w:val="0"/>
    <w:rPr>
      <w:rFonts w:ascii="Arial" w:hAnsi="Arial" w:eastAsia="Batang"/>
      <w:b/>
      <w:color w:val="0000FF"/>
      <w:kern w:val="2"/>
      <w:lang w:eastAsia="en-US"/>
    </w:rPr>
  </w:style>
  <w:style w:type="paragraph" w:customStyle="1" w:styleId="89">
    <w:name w:val="TH"/>
    <w:basedOn w:val="1"/>
    <w:link w:val="88"/>
    <w:qFormat/>
    <w:uiPriority w:val="0"/>
    <w:pPr>
      <w:keepNext/>
      <w:keepLines/>
      <w:widowControl/>
      <w:spacing w:before="60" w:after="180"/>
      <w:jc w:val="center"/>
    </w:pPr>
    <w:rPr>
      <w:rFonts w:ascii="Arial" w:hAnsi="Arial" w:eastAsia="Batang"/>
      <w:b/>
      <w:color w:val="0000FF"/>
      <w:sz w:val="20"/>
      <w:szCs w:val="20"/>
      <w:lang w:eastAsia="en-US"/>
    </w:rPr>
  </w:style>
  <w:style w:type="character" w:customStyle="1" w:styleId="90">
    <w:name w:val="题注 Char"/>
    <w:link w:val="21"/>
    <w:qFormat/>
    <w:uiPriority w:val="99"/>
    <w:rPr>
      <w:rFonts w:ascii="Arial" w:hAnsi="Arial" w:eastAsia="黑体" w:cs="Arial"/>
      <w:kern w:val="2"/>
    </w:rPr>
  </w:style>
  <w:style w:type="character" w:customStyle="1" w:styleId="91">
    <w:name w:val="标题 3 Char Char"/>
    <w:basedOn w:val="58"/>
    <w:qFormat/>
    <w:uiPriority w:val="0"/>
    <w:rPr>
      <w:b/>
      <w:bCs/>
      <w:kern w:val="2"/>
      <w:sz w:val="32"/>
      <w:szCs w:val="32"/>
    </w:rPr>
  </w:style>
  <w:style w:type="character" w:customStyle="1" w:styleId="92">
    <w:name w:val="批注主题 Char"/>
    <w:basedOn w:val="93"/>
    <w:link w:val="55"/>
    <w:semiHidden/>
    <w:qFormat/>
    <w:uiPriority w:val="0"/>
    <w:rPr>
      <w:rFonts w:ascii="Arial" w:hAnsi="Arial" w:eastAsia="MS Mincho"/>
      <w:b/>
      <w:bCs/>
      <w:lang w:val="en-GB" w:eastAsia="en-GB"/>
    </w:rPr>
  </w:style>
  <w:style w:type="character" w:customStyle="1" w:styleId="93">
    <w:name w:val="批注文字 Char"/>
    <w:basedOn w:val="58"/>
    <w:qFormat/>
    <w:uiPriority w:val="0"/>
    <w:rPr>
      <w:rFonts w:eastAsia="MS Mincho"/>
      <w:lang w:val="en-GB"/>
    </w:rPr>
  </w:style>
  <w:style w:type="character" w:customStyle="1" w:styleId="94">
    <w:name w:val="B1 Char1"/>
    <w:link w:val="95"/>
    <w:qFormat/>
    <w:locked/>
    <w:uiPriority w:val="0"/>
    <w:rPr>
      <w:lang w:val="en-GB" w:eastAsia="ja-JP"/>
    </w:rPr>
  </w:style>
  <w:style w:type="paragraph" w:customStyle="1" w:styleId="95">
    <w:name w:val="B1"/>
    <w:basedOn w:val="15"/>
    <w:link w:val="94"/>
    <w:qFormat/>
    <w:uiPriority w:val="0"/>
    <w:pPr>
      <w:widowControl/>
      <w:overflowPunct w:val="0"/>
      <w:autoSpaceDE w:val="0"/>
      <w:autoSpaceDN w:val="0"/>
      <w:adjustRightInd w:val="0"/>
      <w:spacing w:after="180"/>
      <w:ind w:left="568" w:hanging="284" w:firstLineChars="0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96">
    <w:name w:val="EmailDiscussion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97">
    <w:name w:val="Internal Char"/>
    <w:link w:val="98"/>
    <w:qFormat/>
    <w:uiPriority w:val="0"/>
    <w:rPr>
      <w:rFonts w:ascii="Arial" w:hAnsi="Arial" w:eastAsia="MS Mincho"/>
      <w:i/>
      <w:color w:val="333399"/>
      <w:sz w:val="18"/>
      <w:szCs w:val="24"/>
      <w:lang w:val="en-GB" w:eastAsia="en-GB"/>
    </w:rPr>
  </w:style>
  <w:style w:type="paragraph" w:customStyle="1" w:styleId="98">
    <w:name w:val="Internal"/>
    <w:basedOn w:val="99"/>
    <w:link w:val="97"/>
    <w:qFormat/>
    <w:uiPriority w:val="0"/>
    <w:rPr>
      <w:color w:val="333399"/>
    </w:rPr>
  </w:style>
  <w:style w:type="paragraph" w:customStyle="1" w:styleId="99">
    <w:name w:val="Comments"/>
    <w:basedOn w:val="1"/>
    <w:link w:val="101"/>
    <w:qFormat/>
    <w:uiPriority w:val="0"/>
    <w:pPr>
      <w:widowControl/>
      <w:spacing w:before="40"/>
      <w:jc w:val="left"/>
    </w:pPr>
    <w:rPr>
      <w:rFonts w:ascii="Arial" w:hAnsi="Arial" w:eastAsia="MS Mincho"/>
      <w:i/>
      <w:kern w:val="0"/>
      <w:sz w:val="18"/>
      <w:lang w:val="en-GB" w:eastAsia="en-GB"/>
    </w:rPr>
  </w:style>
  <w:style w:type="character" w:customStyle="1" w:styleId="100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01">
    <w:name w:val="Comments Char Char"/>
    <w:link w:val="99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character" w:customStyle="1" w:styleId="102">
    <w:name w:val="段 Char Char"/>
    <w:basedOn w:val="58"/>
    <w:link w:val="43"/>
    <w:qFormat/>
    <w:uiPriority w:val="0"/>
    <w:rPr>
      <w:rFonts w:ascii="宋体"/>
      <w:sz w:val="21"/>
    </w:rPr>
  </w:style>
  <w:style w:type="character" w:customStyle="1" w:styleId="103">
    <w:name w:val="SubHeading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104">
    <w:name w:val="TAL Char"/>
    <w:link w:val="105"/>
    <w:qFormat/>
    <w:uiPriority w:val="0"/>
    <w:rPr>
      <w:rFonts w:ascii="Arial" w:hAnsi="Arial" w:eastAsia="MS Mincho" w:cs="Arial"/>
      <w:sz w:val="18"/>
      <w:szCs w:val="18"/>
      <w:lang w:val="en-GB"/>
    </w:rPr>
  </w:style>
  <w:style w:type="paragraph" w:customStyle="1" w:styleId="105">
    <w:name w:val="TAL"/>
    <w:basedOn w:val="1"/>
    <w:link w:val="104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eastAsia="MS Mincho" w:cs="Arial"/>
      <w:kern w:val="0"/>
      <w:sz w:val="18"/>
      <w:szCs w:val="18"/>
      <w:lang w:val="en-GB"/>
    </w:rPr>
  </w:style>
  <w:style w:type="character" w:customStyle="1" w:styleId="106">
    <w:name w:val="B2 Char"/>
    <w:link w:val="107"/>
    <w:qFormat/>
    <w:uiPriority w:val="0"/>
    <w:rPr>
      <w:rFonts w:eastAsia="MS Mincho"/>
      <w:lang w:val="en-GB" w:eastAsia="ja-JP"/>
    </w:rPr>
  </w:style>
  <w:style w:type="paragraph" w:customStyle="1" w:styleId="107">
    <w:name w:val="B2"/>
    <w:basedOn w:val="27"/>
    <w:link w:val="106"/>
    <w:qFormat/>
    <w:uiPriority w:val="0"/>
    <w:pPr>
      <w:widowControl/>
      <w:overflowPunct w:val="0"/>
      <w:autoSpaceDE w:val="0"/>
      <w:autoSpaceDN w:val="0"/>
      <w:adjustRightInd w:val="0"/>
      <w:spacing w:after="180"/>
      <w:ind w:left="851" w:leftChars="0" w:hanging="284" w:firstLineChars="0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108">
    <w:name w:val="ZGSM"/>
    <w:qFormat/>
    <w:uiPriority w:val="0"/>
  </w:style>
  <w:style w:type="character" w:customStyle="1" w:styleId="109">
    <w:name w:val="Doc-title Char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110">
    <w:name w:val="标题 1 Char Char"/>
    <w:basedOn w:val="58"/>
    <w:qFormat/>
    <w:uiPriority w:val="0"/>
    <w:rPr>
      <w:b/>
      <w:bCs/>
      <w:kern w:val="44"/>
      <w:sz w:val="44"/>
      <w:szCs w:val="44"/>
    </w:rPr>
  </w:style>
  <w:style w:type="character" w:customStyle="1" w:styleId="111">
    <w:name w:val="Doc-title Char Char"/>
    <w:basedOn w:val="58"/>
    <w:link w:val="67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12">
    <w:name w:val="emailstyle20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113">
    <w:name w:val="页脚 Char"/>
    <w:link w:val="37"/>
    <w:qFormat/>
    <w:uiPriority w:val="99"/>
    <w:rPr>
      <w:kern w:val="2"/>
      <w:sz w:val="18"/>
      <w:szCs w:val="18"/>
    </w:rPr>
  </w:style>
  <w:style w:type="character" w:styleId="114">
    <w:name w:val="Placeholder Text"/>
    <w:semiHidden/>
    <w:qFormat/>
    <w:uiPriority w:val="99"/>
    <w:rPr>
      <w:color w:val="808080"/>
    </w:rPr>
  </w:style>
  <w:style w:type="character" w:customStyle="1" w:styleId="115">
    <w:name w:val="附录公式 Char Char"/>
    <w:basedOn w:val="102"/>
    <w:link w:val="116"/>
    <w:qFormat/>
    <w:uiPriority w:val="0"/>
    <w:rPr>
      <w:rFonts w:ascii="宋体"/>
      <w:sz w:val="21"/>
    </w:rPr>
  </w:style>
  <w:style w:type="paragraph" w:customStyle="1" w:styleId="116">
    <w:name w:val="附录公式"/>
    <w:basedOn w:val="43"/>
    <w:next w:val="43"/>
    <w:link w:val="115"/>
    <w:qFormat/>
    <w:uiPriority w:val="0"/>
  </w:style>
  <w:style w:type="character" w:customStyle="1" w:styleId="117">
    <w:name w:val="纯文本 Char"/>
    <w:basedOn w:val="58"/>
    <w:link w:val="31"/>
    <w:qFormat/>
    <w:uiPriority w:val="99"/>
    <w:rPr>
      <w:rFonts w:ascii="Consolas" w:hAnsi="Consolas" w:eastAsia="Calibri"/>
      <w:sz w:val="21"/>
      <w:szCs w:val="21"/>
      <w:lang w:eastAsia="en-US"/>
    </w:rPr>
  </w:style>
  <w:style w:type="character" w:customStyle="1" w:styleId="118">
    <w:name w:val="首示例 Char Char"/>
    <w:basedOn w:val="58"/>
    <w:link w:val="119"/>
    <w:qFormat/>
    <w:uiPriority w:val="0"/>
    <w:rPr>
      <w:rFonts w:ascii="宋体" w:hAnsi="宋体"/>
      <w:kern w:val="2"/>
      <w:sz w:val="18"/>
      <w:szCs w:val="18"/>
    </w:rPr>
  </w:style>
  <w:style w:type="paragraph" w:customStyle="1" w:styleId="119">
    <w:name w:val="首示例"/>
    <w:next w:val="43"/>
    <w:link w:val="118"/>
    <w:qFormat/>
    <w:uiPriority w:val="0"/>
    <w:pPr>
      <w:tabs>
        <w:tab w:val="left" w:pos="360"/>
      </w:tabs>
      <w:spacing w:after="160" w:line="259" w:lineRule="auto"/>
    </w:pPr>
    <w:rPr>
      <w:rFonts w:ascii="宋体" w:hAnsi="宋体" w:cs="Times New Roman" w:eastAsiaTheme="minorEastAsia"/>
      <w:kern w:val="2"/>
      <w:sz w:val="18"/>
      <w:szCs w:val="18"/>
      <w:lang w:val="en-US" w:eastAsia="zh-CN" w:bidi="ar-SA"/>
    </w:rPr>
  </w:style>
  <w:style w:type="character" w:customStyle="1" w:styleId="120">
    <w:name w:val="SubHeading Char Char"/>
    <w:link w:val="87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121">
    <w:name w:val="发布"/>
    <w:basedOn w:val="58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122">
    <w:name w:val="Char Char6"/>
    <w:qFormat/>
    <w:uiPriority w:val="0"/>
    <w:rPr>
      <w:rFonts w:ascii="Arial" w:hAnsi="Arial" w:eastAsia="MS Mincho" w:cs="Arial"/>
      <w:bCs/>
      <w:sz w:val="26"/>
      <w:szCs w:val="26"/>
      <w:lang w:val="en-GB" w:eastAsia="en-GB" w:bidi="ar-SA"/>
    </w:rPr>
  </w:style>
  <w:style w:type="character" w:customStyle="1" w:styleId="123">
    <w:name w:val="B3 Char2"/>
    <w:link w:val="124"/>
    <w:qFormat/>
    <w:uiPriority w:val="0"/>
    <w:rPr>
      <w:rFonts w:eastAsia="Malgun Gothic"/>
      <w:lang w:eastAsia="en-US"/>
    </w:rPr>
  </w:style>
  <w:style w:type="paragraph" w:customStyle="1" w:styleId="124">
    <w:name w:val="B3"/>
    <w:basedOn w:val="11"/>
    <w:link w:val="123"/>
    <w:qFormat/>
    <w:uiPriority w:val="0"/>
    <w:pPr>
      <w:spacing w:before="0" w:after="180"/>
      <w:ind w:left="1135" w:hanging="284"/>
    </w:pPr>
    <w:rPr>
      <w:rFonts w:ascii="Times New Roman" w:hAnsi="Times New Roman" w:eastAsia="Malgun Gothic"/>
      <w:szCs w:val="20"/>
      <w:lang w:val="en-US" w:eastAsia="en-US"/>
    </w:rPr>
  </w:style>
  <w:style w:type="character" w:customStyle="1" w:styleId="125">
    <w:name w:val="正文文本 Char"/>
    <w:basedOn w:val="58"/>
    <w:link w:val="2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26">
    <w:name w:val="Doc list Char"/>
    <w:basedOn w:val="109"/>
    <w:link w:val="127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127">
    <w:name w:val="Doc list"/>
    <w:basedOn w:val="67"/>
    <w:link w:val="126"/>
    <w:qFormat/>
    <w:uiPriority w:val="0"/>
    <w:pPr>
      <w:spacing w:before="60"/>
      <w:ind w:left="1259" w:hanging="1259"/>
    </w:pPr>
  </w:style>
  <w:style w:type="character" w:customStyle="1" w:styleId="128">
    <w:name w:val="EmailDiscussion Char Char"/>
    <w:link w:val="129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129">
    <w:name w:val="EmailDiscussion"/>
    <w:basedOn w:val="1"/>
    <w:next w:val="130"/>
    <w:link w:val="128"/>
    <w:qFormat/>
    <w:uiPriority w:val="0"/>
    <w:pPr>
      <w:widowControl/>
      <w:tabs>
        <w:tab w:val="left" w:pos="1619"/>
      </w:tabs>
      <w:spacing w:before="40"/>
      <w:ind w:left="726" w:hanging="363"/>
      <w:jc w:val="left"/>
    </w:pPr>
    <w:rPr>
      <w:rFonts w:ascii="Arial" w:hAnsi="Arial" w:eastAsia="MS Mincho"/>
      <w:b/>
      <w:kern w:val="0"/>
      <w:sz w:val="20"/>
      <w:lang w:val="en-GB" w:eastAsia="en-GB"/>
    </w:rPr>
  </w:style>
  <w:style w:type="paragraph" w:customStyle="1" w:styleId="130">
    <w:name w:val="EmailDiscussion2"/>
    <w:basedOn w:val="68"/>
    <w:qFormat/>
    <w:uiPriority w:val="0"/>
  </w:style>
  <w:style w:type="character" w:customStyle="1" w:styleId="131">
    <w:name w:val="页眉 Char"/>
    <w:link w:val="38"/>
    <w:qFormat/>
    <w:uiPriority w:val="99"/>
    <w:rPr>
      <w:kern w:val="2"/>
      <w:sz w:val="18"/>
      <w:szCs w:val="18"/>
    </w:rPr>
  </w:style>
  <w:style w:type="character" w:customStyle="1" w:styleId="132">
    <w:name w:val="Doc-text2 Char Char"/>
    <w:basedOn w:val="58"/>
    <w:link w:val="68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33">
    <w:name w:val="TAL Car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34">
    <w:name w:val="Comments Char"/>
    <w:qFormat/>
    <w:uiPriority w:val="0"/>
    <w:rPr>
      <w:rFonts w:ascii="Arial" w:hAnsi="Arial" w:eastAsia="MS Mincho"/>
      <w:i/>
      <w:sz w:val="18"/>
      <w:szCs w:val="24"/>
      <w:lang w:val="en-GB" w:eastAsia="en-GB" w:bidi="ar-SA"/>
    </w:rPr>
  </w:style>
  <w:style w:type="paragraph" w:customStyle="1" w:styleId="13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136">
    <w:name w:val="其他发布部门"/>
    <w:basedOn w:val="137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137">
    <w:name w:val="发布部门"/>
    <w:next w:val="43"/>
    <w:qFormat/>
    <w:uiPriority w:val="0"/>
    <w:pPr>
      <w:spacing w:after="160" w:line="259" w:lineRule="auto"/>
      <w:jc w:val="center"/>
    </w:pPr>
    <w:rPr>
      <w:rFonts w:ascii="宋体" w:hAnsi="Times New Roman" w:cs="Times New Roman" w:eastAsiaTheme="minorEastAsia"/>
      <w:b/>
      <w:spacing w:val="20"/>
      <w:w w:val="135"/>
      <w:sz w:val="28"/>
      <w:lang w:val="en-US" w:eastAsia="zh-CN" w:bidi="ar-SA"/>
    </w:rPr>
  </w:style>
  <w:style w:type="paragraph" w:customStyle="1" w:styleId="138">
    <w:name w:val="示例"/>
    <w:next w:val="139"/>
    <w:qFormat/>
    <w:uiPriority w:val="0"/>
    <w:pPr>
      <w:widowControl w:val="0"/>
      <w:spacing w:after="160" w:line="259" w:lineRule="auto"/>
      <w:ind w:left="360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39">
    <w:name w:val="示例内容"/>
    <w:qFormat/>
    <w:uiPriority w:val="0"/>
    <w:pPr>
      <w:spacing w:after="160" w:line="259" w:lineRule="auto"/>
      <w:ind w:firstLine="200" w:firstLineChars="200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40">
    <w:name w:val="附录数字编号列项（二级）"/>
    <w:qFormat/>
    <w:uiPriority w:val="0"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41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2">
    <w:name w:val="列项◆（三级）"/>
    <w:basedOn w:val="1"/>
    <w:qFormat/>
    <w:uiPriority w:val="0"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1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44">
    <w:name w:val="三级条标题"/>
    <w:basedOn w:val="145"/>
    <w:next w:val="43"/>
    <w:qFormat/>
    <w:uiPriority w:val="0"/>
    <w:pPr>
      <w:outlineLvl w:val="4"/>
    </w:pPr>
  </w:style>
  <w:style w:type="paragraph" w:customStyle="1" w:styleId="145">
    <w:name w:val="二级条标题"/>
    <w:basedOn w:val="146"/>
    <w:next w:val="43"/>
    <w:qFormat/>
    <w:uiPriority w:val="0"/>
    <w:pPr>
      <w:spacing w:beforeLines="0" w:afterLines="0"/>
      <w:outlineLvl w:val="3"/>
    </w:pPr>
  </w:style>
  <w:style w:type="paragraph" w:customStyle="1" w:styleId="146">
    <w:name w:val="一级条标题"/>
    <w:next w:val="43"/>
    <w:qFormat/>
    <w:uiPriority w:val="0"/>
    <w:pPr>
      <w:spacing w:beforeLines="50" w:after="160" w:afterLines="50" w:line="259" w:lineRule="auto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7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148">
    <w:name w:val="附录一级条标题"/>
    <w:basedOn w:val="149"/>
    <w:next w:val="43"/>
    <w:qFormat/>
    <w:uiPriority w:val="0"/>
    <w:pPr>
      <w:tabs>
        <w:tab w:val="left" w:pos="360"/>
        <w:tab w:val="left" w:pos="575"/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149">
    <w:name w:val="附录章标题"/>
    <w:next w:val="43"/>
    <w:qFormat/>
    <w:uiPriority w:val="0"/>
    <w:pPr>
      <w:tabs>
        <w:tab w:val="left" w:pos="360"/>
        <w:tab w:val="left" w:pos="575"/>
      </w:tabs>
      <w:wordWrap w:val="0"/>
      <w:overflowPunct w:val="0"/>
      <w:autoSpaceDE w:val="0"/>
      <w:spacing w:beforeLines="100" w:after="160" w:afterLines="100" w:line="259" w:lineRule="auto"/>
      <w:ind w:left="575" w:hanging="575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50">
    <w:name w:val="四级条标题"/>
    <w:basedOn w:val="144"/>
    <w:next w:val="43"/>
    <w:qFormat/>
    <w:uiPriority w:val="0"/>
    <w:pPr>
      <w:outlineLvl w:val="5"/>
    </w:pPr>
  </w:style>
  <w:style w:type="character" w:customStyle="1" w:styleId="151">
    <w:name w:val="脚注文本 Char"/>
    <w:basedOn w:val="58"/>
    <w:link w:val="44"/>
    <w:qFormat/>
    <w:uiPriority w:val="0"/>
    <w:rPr>
      <w:rFonts w:ascii="宋体"/>
      <w:kern w:val="2"/>
      <w:sz w:val="18"/>
      <w:szCs w:val="18"/>
    </w:rPr>
  </w:style>
  <w:style w:type="paragraph" w:customStyle="1" w:styleId="152">
    <w:name w:val="章标题"/>
    <w:next w:val="43"/>
    <w:qFormat/>
    <w:uiPriority w:val="0"/>
    <w:pPr>
      <w:spacing w:beforeLines="100" w:after="160" w:afterLines="100" w:line="259" w:lineRule="auto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3">
    <w:name w:val="正文表标题"/>
    <w:next w:val="43"/>
    <w:qFormat/>
    <w:uiPriority w:val="0"/>
    <w:pPr>
      <w:tabs>
        <w:tab w:val="left" w:pos="0"/>
        <w:tab w:val="left" w:pos="360"/>
      </w:tabs>
      <w:spacing w:beforeLines="50" w:after="160" w:afterLines="50" w:line="259" w:lineRule="auto"/>
      <w:ind w:left="720" w:hanging="357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4">
    <w:name w:val="TT"/>
    <w:basedOn w:val="2"/>
    <w:next w:val="1"/>
    <w:qFormat/>
    <w:uiPriority w:val="0"/>
    <w:pPr>
      <w:widowControl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hAnsi="Arial"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155">
    <w:name w:val="注："/>
    <w:next w:val="43"/>
    <w:qFormat/>
    <w:uiPriority w:val="0"/>
    <w:pPr>
      <w:widowControl w:val="0"/>
      <w:autoSpaceDE w:val="0"/>
      <w:autoSpaceDN w:val="0"/>
      <w:spacing w:after="160" w:line="259" w:lineRule="auto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56">
    <w:name w:val="附录五级条标题"/>
    <w:basedOn w:val="157"/>
    <w:next w:val="43"/>
    <w:qFormat/>
    <w:uiPriority w:val="0"/>
    <w:pPr>
      <w:tabs>
        <w:tab w:val="left" w:pos="360"/>
        <w:tab w:val="left" w:pos="864"/>
        <w:tab w:val="left" w:pos="1008"/>
        <w:tab w:val="left" w:pos="1296"/>
      </w:tabs>
      <w:ind w:left="1296" w:hanging="1296"/>
      <w:outlineLvl w:val="6"/>
    </w:pPr>
  </w:style>
  <w:style w:type="paragraph" w:customStyle="1" w:styleId="157">
    <w:name w:val="附录四级条标题"/>
    <w:basedOn w:val="158"/>
    <w:next w:val="43"/>
    <w:qFormat/>
    <w:uiPriority w:val="0"/>
    <w:pPr>
      <w:tabs>
        <w:tab w:val="left" w:pos="360"/>
        <w:tab w:val="left" w:pos="864"/>
        <w:tab w:val="left" w:pos="1008"/>
      </w:tabs>
      <w:outlineLvl w:val="5"/>
    </w:pPr>
  </w:style>
  <w:style w:type="paragraph" w:customStyle="1" w:styleId="158">
    <w:name w:val="附录三级条标题"/>
    <w:basedOn w:val="159"/>
    <w:next w:val="43"/>
    <w:qFormat/>
    <w:uiPriority w:val="0"/>
    <w:pPr>
      <w:tabs>
        <w:tab w:val="left" w:pos="360"/>
        <w:tab w:val="left" w:pos="864"/>
        <w:tab w:val="left" w:pos="1008"/>
      </w:tabs>
      <w:ind w:left="1008" w:hanging="1008"/>
      <w:outlineLvl w:val="4"/>
    </w:pPr>
  </w:style>
  <w:style w:type="paragraph" w:customStyle="1" w:styleId="159">
    <w:name w:val="附录二级条标题"/>
    <w:basedOn w:val="1"/>
    <w:next w:val="43"/>
    <w:qFormat/>
    <w:uiPriority w:val="0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160">
    <w:name w:val="文献分类号"/>
    <w:qFormat/>
    <w:uiPriority w:val="0"/>
    <w:pPr>
      <w:widowControl w:val="0"/>
      <w:spacing w:after="160" w:line="259" w:lineRule="auto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61">
    <w:name w:val="Review-comment"/>
    <w:basedOn w:val="1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/>
      <w:color w:val="C00000"/>
      <w:kern w:val="0"/>
      <w:sz w:val="18"/>
      <w:lang w:val="en-GB" w:eastAsia="en-GB"/>
    </w:rPr>
  </w:style>
  <w:style w:type="paragraph" w:customStyle="1" w:styleId="162">
    <w:name w:val="一级无"/>
    <w:basedOn w:val="146"/>
    <w:qFormat/>
    <w:uiPriority w:val="0"/>
    <w:pPr>
      <w:spacing w:beforeLines="0" w:afterLines="0"/>
    </w:pPr>
    <w:rPr>
      <w:rFonts w:ascii="宋体" w:eastAsia="宋体"/>
    </w:rPr>
  </w:style>
  <w:style w:type="character" w:customStyle="1" w:styleId="163">
    <w:name w:val="纯文本 Char1"/>
    <w:basedOn w:val="58"/>
    <w:semiHidden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64">
    <w:name w:val="H6"/>
    <w:basedOn w:val="6"/>
    <w:next w:val="1"/>
    <w:qFormat/>
    <w:uiPriority w:val="0"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hAnsi="Arial" w:eastAsia="MS Mincho"/>
      <w:b w:val="0"/>
      <w:kern w:val="0"/>
      <w:sz w:val="20"/>
      <w:szCs w:val="20"/>
      <w:lang w:val="en-GB" w:eastAsia="en-US"/>
    </w:rPr>
  </w:style>
  <w:style w:type="paragraph" w:customStyle="1" w:styleId="165">
    <w:name w:val="附录四级无"/>
    <w:basedOn w:val="157"/>
    <w:qFormat/>
    <w:uiPriority w:val="0"/>
    <w:pPr>
      <w:tabs>
        <w:tab w:val="left" w:pos="1151"/>
        <w:tab w:val="clear" w:pos="360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166">
    <w:name w:val="实施日期"/>
    <w:basedOn w:val="167"/>
    <w:qFormat/>
    <w:uiPriority w:val="0"/>
    <w:pPr>
      <w:jc w:val="right"/>
    </w:pPr>
  </w:style>
  <w:style w:type="paragraph" w:customStyle="1" w:styleId="167">
    <w:name w:val="发布日期"/>
    <w:qFormat/>
    <w:uiPriority w:val="0"/>
    <w:pPr>
      <w:spacing w:after="160" w:line="259" w:lineRule="auto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6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69">
    <w:name w:val="LS Approved"/>
    <w:basedOn w:val="1"/>
    <w:next w:val="68"/>
    <w:qFormat/>
    <w:uiPriority w:val="0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customStyle="1" w:styleId="170">
    <w:name w:val="封面标准文稿类别2"/>
    <w:basedOn w:val="171"/>
    <w:qFormat/>
    <w:uiPriority w:val="0"/>
  </w:style>
  <w:style w:type="paragraph" w:customStyle="1" w:styleId="171">
    <w:name w:val="封面标准文稿类别"/>
    <w:basedOn w:val="172"/>
    <w:qFormat/>
    <w:uiPriority w:val="0"/>
    <w:pPr>
      <w:spacing w:line="240" w:lineRule="auto"/>
    </w:pPr>
    <w:rPr>
      <w:sz w:val="24"/>
    </w:rPr>
  </w:style>
  <w:style w:type="paragraph" w:customStyle="1" w:styleId="172">
    <w:name w:val="封面一致性程度标识"/>
    <w:basedOn w:val="173"/>
    <w:qFormat/>
    <w:uiPriority w:val="0"/>
    <w:pPr>
      <w:spacing w:before="440"/>
    </w:pPr>
    <w:rPr>
      <w:rFonts w:ascii="宋体" w:eastAsia="宋体"/>
    </w:rPr>
  </w:style>
  <w:style w:type="paragraph" w:customStyle="1" w:styleId="173">
    <w:name w:val="封面标准英文名称"/>
    <w:basedOn w:val="174"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174">
    <w:name w:val="封面标准名称"/>
    <w:qFormat/>
    <w:uiPriority w:val="0"/>
    <w:pPr>
      <w:widowControl w:val="0"/>
      <w:spacing w:after="160"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75">
    <w:name w:val="五级条标题"/>
    <w:basedOn w:val="150"/>
    <w:next w:val="43"/>
    <w:qFormat/>
    <w:uiPriority w:val="0"/>
    <w:pPr>
      <w:outlineLvl w:val="6"/>
    </w:pPr>
  </w:style>
  <w:style w:type="paragraph" w:customStyle="1" w:styleId="176">
    <w:name w:val="封面标准代替信息"/>
    <w:qFormat/>
    <w:uiPriority w:val="0"/>
    <w:pPr>
      <w:spacing w:before="57" w:after="160" w:line="280" w:lineRule="exact"/>
      <w:jc w:val="right"/>
    </w:pPr>
    <w:rPr>
      <w:rFonts w:ascii="宋体" w:hAnsi="Times New Roman" w:cs="Times New Roman" w:eastAsiaTheme="minorEastAsia"/>
      <w:sz w:val="21"/>
      <w:szCs w:val="21"/>
      <w:lang w:val="en-US" w:eastAsia="zh-CN" w:bidi="ar-SA"/>
    </w:rPr>
  </w:style>
  <w:style w:type="character" w:customStyle="1" w:styleId="177">
    <w:name w:val="批注文字 Char1"/>
    <w:basedOn w:val="58"/>
    <w:link w:val="24"/>
    <w:semiHidden/>
    <w:qFormat/>
    <w:uiPriority w:val="0"/>
    <w:rPr>
      <w:kern w:val="2"/>
      <w:sz w:val="21"/>
      <w:szCs w:val="24"/>
    </w:rPr>
  </w:style>
  <w:style w:type="character" w:customStyle="1" w:styleId="178">
    <w:name w:val="批注主题 Char1"/>
    <w:basedOn w:val="177"/>
    <w:semiHidden/>
    <w:qFormat/>
    <w:uiPriority w:val="0"/>
    <w:rPr>
      <w:b/>
      <w:bCs/>
      <w:kern w:val="2"/>
      <w:sz w:val="21"/>
      <w:szCs w:val="24"/>
    </w:rPr>
  </w:style>
  <w:style w:type="paragraph" w:customStyle="1" w:styleId="179">
    <w:name w:val="封面标准英文名称2"/>
    <w:basedOn w:val="173"/>
    <w:qFormat/>
    <w:uiPriority w:val="0"/>
  </w:style>
  <w:style w:type="paragraph" w:customStyle="1" w:styleId="180">
    <w:name w:val="封面标准号2"/>
    <w:qFormat/>
    <w:uiPriority w:val="0"/>
    <w:pPr>
      <w:spacing w:before="357" w:after="160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181">
    <w:name w:val="封面一致性程度标识2"/>
    <w:basedOn w:val="172"/>
    <w:qFormat/>
    <w:uiPriority w:val="0"/>
  </w:style>
  <w:style w:type="paragraph" w:customStyle="1" w:styleId="182">
    <w:name w:val="注×："/>
    <w:qFormat/>
    <w:uiPriority w:val="0"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character" w:customStyle="1" w:styleId="183">
    <w:name w:val="正文文本 Char1"/>
    <w:basedOn w:val="58"/>
    <w:semiHidden/>
    <w:qFormat/>
    <w:uiPriority w:val="0"/>
    <w:rPr>
      <w:kern w:val="2"/>
      <w:sz w:val="21"/>
      <w:szCs w:val="24"/>
    </w:rPr>
  </w:style>
  <w:style w:type="paragraph" w:customStyle="1" w:styleId="18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85">
    <w:name w:val="三级无"/>
    <w:basedOn w:val="144"/>
    <w:qFormat/>
    <w:uiPriority w:val="0"/>
    <w:rPr>
      <w:rFonts w:ascii="宋体" w:eastAsia="宋体"/>
    </w:rPr>
  </w:style>
  <w:style w:type="paragraph" w:customStyle="1" w:styleId="186">
    <w:name w:val="条文脚注"/>
    <w:basedOn w:val="44"/>
    <w:qFormat/>
    <w:uiPriority w:val="0"/>
    <w:pPr>
      <w:jc w:val="both"/>
    </w:pPr>
  </w:style>
  <w:style w:type="paragraph" w:customStyle="1" w:styleId="187">
    <w:name w:val="其他标准标志"/>
    <w:basedOn w:val="188"/>
    <w:qFormat/>
    <w:uiPriority w:val="0"/>
    <w:rPr>
      <w:w w:val="130"/>
    </w:rPr>
  </w:style>
  <w:style w:type="paragraph" w:customStyle="1" w:styleId="188">
    <w:name w:val="标准标志"/>
    <w:next w:val="1"/>
    <w:qFormat/>
    <w:uiPriority w:val="0"/>
    <w:pPr>
      <w:shd w:val="solid" w:color="FFFFFF" w:fill="FFFFFF"/>
      <w:spacing w:after="160" w:line="0" w:lineRule="atLeast"/>
      <w:jc w:val="right"/>
    </w:pPr>
    <w:rPr>
      <w:rFonts w:ascii="Times New Roman" w:hAnsi="Times New Roman" w:cs="Times New Roman" w:eastAsiaTheme="minorEastAsia"/>
      <w:b/>
      <w:w w:val="170"/>
      <w:sz w:val="96"/>
      <w:szCs w:val="96"/>
      <w:lang w:val="en-US" w:eastAsia="zh-CN" w:bidi="ar-SA"/>
    </w:rPr>
  </w:style>
  <w:style w:type="paragraph" w:customStyle="1" w:styleId="189">
    <w:name w:val="Agreement"/>
    <w:basedOn w:val="1"/>
    <w:next w:val="68"/>
    <w:qFormat/>
    <w:uiPriority w:val="0"/>
    <w:pPr>
      <w:widowControl/>
      <w:tabs>
        <w:tab w:val="left" w:pos="1619"/>
      </w:tabs>
      <w:spacing w:before="60"/>
      <w:ind w:left="811" w:hanging="448"/>
      <w:jc w:val="left"/>
    </w:pPr>
    <w:rPr>
      <w:rFonts w:ascii="Arial" w:hAnsi="Arial" w:eastAsia="MS Mincho"/>
      <w:b/>
      <w:kern w:val="0"/>
      <w:sz w:val="20"/>
      <w:lang w:val="en-GB" w:eastAsia="en-GB"/>
    </w:rPr>
  </w:style>
  <w:style w:type="paragraph" w:customStyle="1" w:styleId="19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191">
    <w:name w:val="标准书眉一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192">
    <w:name w:val="附录五级无"/>
    <w:basedOn w:val="156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93">
    <w:name w:val="图的脚注"/>
    <w:next w:val="43"/>
    <w:qFormat/>
    <w:uiPriority w:val="0"/>
    <w:pPr>
      <w:widowControl w:val="0"/>
      <w:spacing w:after="160" w:line="259" w:lineRule="auto"/>
      <w:ind w:left="840" w:leftChars="200" w:hanging="420" w:hangingChars="200"/>
      <w:jc w:val="both"/>
    </w:pPr>
    <w:rPr>
      <w:rFonts w:ascii="宋体" w:hAnsi="Times New Roman" w:cs="Times New Roman" w:eastAsiaTheme="minorEastAsia"/>
      <w:sz w:val="18"/>
      <w:lang w:val="en-US" w:eastAsia="zh-CN" w:bidi="ar-SA"/>
    </w:rPr>
  </w:style>
  <w:style w:type="character" w:customStyle="1" w:styleId="194">
    <w:name w:val="尾注文本 Char"/>
    <w:basedOn w:val="58"/>
    <w:link w:val="35"/>
    <w:qFormat/>
    <w:uiPriority w:val="0"/>
    <w:rPr>
      <w:kern w:val="2"/>
      <w:sz w:val="21"/>
      <w:szCs w:val="24"/>
    </w:rPr>
  </w:style>
  <w:style w:type="paragraph" w:customStyle="1" w:styleId="19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196">
    <w:name w:val="编号列项（三级）"/>
    <w:qFormat/>
    <w:uiPriority w:val="0"/>
    <w:pPr>
      <w:spacing w:after="160" w:line="259" w:lineRule="auto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97">
    <w:name w:val="附录公式编号制表符"/>
    <w:basedOn w:val="1"/>
    <w:next w:val="43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198">
    <w:name w:val="参考文献、索引标题"/>
    <w:basedOn w:val="1"/>
    <w:next w:val="43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99">
    <w:name w:val="TF"/>
    <w:basedOn w:val="89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200">
    <w:name w:val="其他标准称谓"/>
    <w:next w:val="1"/>
    <w:qFormat/>
    <w:uiPriority w:val="0"/>
    <w:pPr>
      <w:spacing w:after="160"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201">
    <w:name w:val="TAH"/>
    <w:basedOn w:val="202"/>
    <w:qFormat/>
    <w:uiPriority w:val="0"/>
    <w:rPr>
      <w:b/>
      <w:bCs/>
      <w:szCs w:val="18"/>
    </w:rPr>
  </w:style>
  <w:style w:type="paragraph" w:customStyle="1" w:styleId="202">
    <w:name w:val="TAC"/>
    <w:basedOn w:val="105"/>
    <w:qFormat/>
    <w:uiPriority w:val="0"/>
    <w:pPr>
      <w:jc w:val="center"/>
    </w:pPr>
    <w:rPr>
      <w:szCs w:val="20"/>
      <w:lang w:eastAsia="en-US"/>
    </w:rPr>
  </w:style>
  <w:style w:type="paragraph" w:customStyle="1" w:styleId="203">
    <w:name w:val="示例后文字"/>
    <w:basedOn w:val="43"/>
    <w:next w:val="43"/>
    <w:qFormat/>
    <w:uiPriority w:val="0"/>
    <w:pPr>
      <w:ind w:firstLine="360"/>
    </w:pPr>
    <w:rPr>
      <w:sz w:val="18"/>
    </w:rPr>
  </w:style>
  <w:style w:type="paragraph" w:customStyle="1" w:styleId="204">
    <w:name w:val="图标脚注说明"/>
    <w:basedOn w:val="43"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205">
    <w:name w:val="FP"/>
    <w:basedOn w:val="1"/>
    <w:qFormat/>
    <w:uiPriority w:val="0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206">
    <w:name w:val="图表脚注说明"/>
    <w:basedOn w:val="1"/>
    <w:qFormat/>
    <w:uiPriority w:val="0"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207">
    <w:name w:val="Proposal"/>
    <w:basedOn w:val="1"/>
    <w:qFormat/>
    <w:uiPriority w:val="0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 w:eastAsia="Times New Roman"/>
      <w:b/>
      <w:bCs/>
      <w:kern w:val="0"/>
      <w:sz w:val="20"/>
      <w:szCs w:val="20"/>
      <w:lang w:val="en-GB"/>
    </w:rPr>
  </w:style>
  <w:style w:type="paragraph" w:customStyle="1" w:styleId="208">
    <w:name w:val="参考文献"/>
    <w:basedOn w:val="1"/>
    <w:next w:val="43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09">
    <w:name w:val="正文图标题"/>
    <w:next w:val="43"/>
    <w:qFormat/>
    <w:uiPriority w:val="0"/>
    <w:pPr>
      <w:tabs>
        <w:tab w:val="left" w:pos="1304"/>
      </w:tabs>
      <w:spacing w:beforeLines="50" w:after="160" w:afterLines="50" w:line="259" w:lineRule="auto"/>
      <w:ind w:left="1304" w:hanging="1304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10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11">
    <w:name w:val="b3"/>
    <w:basedOn w:val="1"/>
    <w:qFormat/>
    <w:uiPriority w:val="0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212">
    <w:name w:val="其他实施日期"/>
    <w:basedOn w:val="166"/>
    <w:qFormat/>
    <w:uiPriority w:val="0"/>
  </w:style>
  <w:style w:type="paragraph" w:customStyle="1" w:styleId="213">
    <w:name w:val="附录标识"/>
    <w:basedOn w:val="1"/>
    <w:next w:val="43"/>
    <w:qFormat/>
    <w:uiPriority w:val="0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14">
    <w:name w:val="四级无"/>
    <w:basedOn w:val="150"/>
    <w:qFormat/>
    <w:uiPriority w:val="0"/>
    <w:rPr>
      <w:rFonts w:ascii="宋体" w:eastAsia="宋体"/>
    </w:rPr>
  </w:style>
  <w:style w:type="paragraph" w:customStyle="1" w:styleId="215">
    <w:name w:val="示例×："/>
    <w:basedOn w:val="152"/>
    <w:qFormat/>
    <w:uiPriority w:val="0"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216">
    <w:name w:val="B5"/>
    <w:basedOn w:val="46"/>
    <w:qFormat/>
    <w:uiPriority w:val="0"/>
  </w:style>
  <w:style w:type="paragraph" w:customStyle="1" w:styleId="217">
    <w:name w:val="其他发布日期"/>
    <w:basedOn w:val="167"/>
    <w:qFormat/>
    <w:uiPriority w:val="0"/>
  </w:style>
  <w:style w:type="paragraph" w:customStyle="1" w:styleId="218">
    <w:name w:val="B4"/>
    <w:basedOn w:val="47"/>
    <w:link w:val="275"/>
    <w:qFormat/>
    <w:uiPriority w:val="0"/>
  </w:style>
  <w:style w:type="paragraph" w:customStyle="1" w:styleId="219">
    <w:name w:val="NO"/>
    <w:basedOn w:val="1"/>
    <w:link w:val="278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220">
    <w:name w:val="Review-comment2"/>
    <w:basedOn w:val="161"/>
    <w:qFormat/>
    <w:uiPriority w:val="0"/>
    <w:rPr>
      <w:color w:val="0070C0"/>
    </w:rPr>
  </w:style>
  <w:style w:type="paragraph" w:customStyle="1" w:styleId="221">
    <w:name w:val="注×：（正文）"/>
    <w:qFormat/>
    <w:uiPriority w:val="0"/>
    <w:pPr>
      <w:spacing w:after="160" w:line="259" w:lineRule="auto"/>
      <w:ind w:firstLine="363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22">
    <w:name w:val="附录表标号"/>
    <w:basedOn w:val="1"/>
    <w:next w:val="43"/>
    <w:qFormat/>
    <w:uiPriority w:val="0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223">
    <w:name w:val="附录图标题"/>
    <w:basedOn w:val="1"/>
    <w:next w:val="43"/>
    <w:qFormat/>
    <w:uiPriority w:val="0"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224">
    <w:name w:val="附录标题"/>
    <w:basedOn w:val="43"/>
    <w:next w:val="43"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225">
    <w:name w:val="数字编号列项（二级）"/>
    <w:qFormat/>
    <w:uiPriority w:val="0"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26">
    <w:name w:val="标准书眉_偶数页"/>
    <w:basedOn w:val="141"/>
    <w:next w:val="1"/>
    <w:qFormat/>
    <w:uiPriority w:val="0"/>
    <w:pPr>
      <w:jc w:val="left"/>
    </w:pPr>
  </w:style>
  <w:style w:type="paragraph" w:customStyle="1" w:styleId="227">
    <w:name w:val="附录三级无"/>
    <w:basedOn w:val="158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28">
    <w:name w:val="TAR"/>
    <w:basedOn w:val="105"/>
    <w:qFormat/>
    <w:uiPriority w:val="0"/>
    <w:pPr>
      <w:jc w:val="right"/>
    </w:pPr>
    <w:rPr>
      <w:szCs w:val="20"/>
      <w:lang w:eastAsia="en-US"/>
    </w:rPr>
  </w:style>
  <w:style w:type="paragraph" w:customStyle="1" w:styleId="229">
    <w:name w:val="ZV"/>
    <w:basedOn w:val="143"/>
    <w:qFormat/>
    <w:uiPriority w:val="0"/>
    <w:pPr>
      <w:framePr w:y="16161"/>
    </w:pPr>
  </w:style>
  <w:style w:type="paragraph" w:customStyle="1" w:styleId="230">
    <w:name w:val="字母编号列项（一级）"/>
    <w:qFormat/>
    <w:uiPriority w:val="0"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1">
    <w:name w:val="附录字母编号列项（一级）"/>
    <w:qFormat/>
    <w:uiPriority w:val="0"/>
    <w:pPr>
      <w:tabs>
        <w:tab w:val="left" w:pos="839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2">
    <w:name w:val="NW"/>
    <w:basedOn w:val="219"/>
    <w:qFormat/>
    <w:uiPriority w:val="0"/>
    <w:pPr>
      <w:spacing w:after="0"/>
    </w:pPr>
    <w:rPr>
      <w:rFonts w:eastAsia="MS Mincho"/>
      <w:lang w:eastAsia="en-US"/>
    </w:rPr>
  </w:style>
  <w:style w:type="paragraph" w:customStyle="1" w:styleId="233">
    <w:name w:val="目次、索引正文"/>
    <w:qFormat/>
    <w:uiPriority w:val="0"/>
    <w:pPr>
      <w:spacing w:after="160" w:line="320" w:lineRule="exact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4">
    <w:name w:val="标准称谓"/>
    <w:next w:val="1"/>
    <w:qFormat/>
    <w:uiPriority w:val="0"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hAnsi="Times New Roman" w:cs="Times New Roman" w:eastAsiaTheme="minorEastAsia"/>
      <w:b/>
      <w:bCs/>
      <w:spacing w:val="20"/>
      <w:w w:val="148"/>
      <w:sz w:val="48"/>
      <w:lang w:val="en-US" w:eastAsia="zh-CN" w:bidi="ar-SA"/>
    </w:rPr>
  </w:style>
  <w:style w:type="paragraph" w:customStyle="1" w:styleId="235">
    <w:name w:val="二级无"/>
    <w:basedOn w:val="145"/>
    <w:qFormat/>
    <w:uiPriority w:val="0"/>
    <w:rPr>
      <w:rFonts w:ascii="宋体" w:eastAsia="宋体"/>
    </w:rPr>
  </w:style>
  <w:style w:type="paragraph" w:customStyle="1" w:styleId="236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237">
    <w:name w:val="注：（正文）"/>
    <w:basedOn w:val="155"/>
    <w:next w:val="43"/>
    <w:qFormat/>
    <w:uiPriority w:val="0"/>
    <w:pPr>
      <w:tabs>
        <w:tab w:val="left" w:pos="840"/>
      </w:tabs>
      <w:ind w:left="839" w:hanging="419"/>
    </w:pPr>
  </w:style>
  <w:style w:type="paragraph" w:customStyle="1" w:styleId="238">
    <w:name w:val="MiniHeading"/>
    <w:basedOn w:val="99"/>
    <w:qFormat/>
    <w:uiPriority w:val="0"/>
    <w:pPr>
      <w:spacing w:before="180"/>
    </w:pPr>
    <w:rPr>
      <w:u w:val="single"/>
      <w:lang w:val="en-US" w:eastAsia="zh-CN"/>
    </w:rPr>
  </w:style>
  <w:style w:type="paragraph" w:customStyle="1" w:styleId="239">
    <w:name w:val="Editor's Note"/>
    <w:basedOn w:val="219"/>
    <w:qFormat/>
    <w:uiPriority w:val="0"/>
    <w:rPr>
      <w:rFonts w:eastAsia="MS Mincho"/>
      <w:color w:val="FF0000"/>
      <w:lang w:eastAsia="en-US"/>
    </w:rPr>
  </w:style>
  <w:style w:type="paragraph" w:customStyle="1" w:styleId="240">
    <w:name w:val="终结线"/>
    <w:basedOn w:val="1"/>
    <w:qFormat/>
    <w:uiPriority w:val="0"/>
  </w:style>
  <w:style w:type="paragraph" w:customStyle="1" w:styleId="241">
    <w:name w:val="五级无"/>
    <w:basedOn w:val="175"/>
    <w:qFormat/>
    <w:uiPriority w:val="0"/>
    <w:rPr>
      <w:rFonts w:ascii="宋体" w:eastAsia="宋体"/>
    </w:rPr>
  </w:style>
  <w:style w:type="paragraph" w:customStyle="1" w:styleId="242">
    <w:name w:val="正文公式编号制表符"/>
    <w:basedOn w:val="43"/>
    <w:next w:val="43"/>
    <w:qFormat/>
    <w:uiPriority w:val="0"/>
    <w:pPr>
      <w:ind w:firstLine="0" w:firstLineChars="0"/>
    </w:pPr>
  </w:style>
  <w:style w:type="paragraph" w:customStyle="1" w:styleId="243">
    <w:name w:val="列项——（一级）"/>
    <w:qFormat/>
    <w:uiPriority w:val="0"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44">
    <w:name w:val="封面标准文稿编辑信息2"/>
    <w:basedOn w:val="245"/>
    <w:qFormat/>
    <w:uiPriority w:val="0"/>
  </w:style>
  <w:style w:type="paragraph" w:customStyle="1" w:styleId="245">
    <w:name w:val="封面标准文稿编辑信息"/>
    <w:basedOn w:val="171"/>
    <w:qFormat/>
    <w:uiPriority w:val="0"/>
    <w:pPr>
      <w:spacing w:before="180" w:line="180" w:lineRule="exact"/>
    </w:pPr>
    <w:rPr>
      <w:sz w:val="21"/>
    </w:rPr>
  </w:style>
  <w:style w:type="paragraph" w:customStyle="1" w:styleId="24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247">
    <w:name w:val="NF"/>
    <w:basedOn w:val="219"/>
    <w:qFormat/>
    <w:uiPriority w:val="0"/>
    <w:pPr>
      <w:keepNext/>
      <w:spacing w:after="0"/>
    </w:pPr>
    <w:rPr>
      <w:rFonts w:ascii="Arial" w:hAnsi="Arial" w:eastAsia="MS Mincho"/>
      <w:sz w:val="18"/>
      <w:lang w:eastAsia="en-US"/>
    </w:rPr>
  </w:style>
  <w:style w:type="paragraph" w:customStyle="1" w:styleId="248">
    <w:name w:val="Style1"/>
    <w:basedOn w:val="5"/>
    <w:qFormat/>
    <w:uiPriority w:val="0"/>
    <w:pPr>
      <w:tabs>
        <w:tab w:val="left" w:pos="907"/>
        <w:tab w:val="clear" w:pos="864"/>
        <w:tab w:val="clear" w:pos="2071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24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250">
    <w:name w:val="列项●（二级）"/>
    <w:qFormat/>
    <w:uiPriority w:val="0"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51">
    <w:name w:val="封面标准名称2"/>
    <w:basedOn w:val="174"/>
    <w:qFormat/>
    <w:uiPriority w:val="0"/>
    <w:pPr>
      <w:spacing w:beforeLines="630"/>
    </w:pPr>
  </w:style>
  <w:style w:type="paragraph" w:customStyle="1" w:styleId="252">
    <w:name w:val="前言、引言标题"/>
    <w:next w:val="43"/>
    <w:qFormat/>
    <w:uiPriority w:val="0"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53">
    <w:name w:val="EQ"/>
    <w:basedOn w:val="1"/>
    <w:next w:val="1"/>
    <w:qFormat/>
    <w:uiPriority w:val="0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254">
    <w:name w:val="comments"/>
    <w:basedOn w:val="1"/>
    <w:qFormat/>
    <w:uiPriority w:val="0"/>
    <w:pPr>
      <w:widowControl/>
      <w:spacing w:before="40"/>
      <w:jc w:val="left"/>
    </w:pPr>
    <w:rPr>
      <w:rFonts w:ascii="Arial" w:hAnsi="Arial" w:eastAsia="Calibri" w:cs="Arial"/>
      <w:i/>
      <w:iCs/>
      <w:kern w:val="0"/>
      <w:sz w:val="18"/>
      <w:szCs w:val="18"/>
      <w:lang w:eastAsia="en-US"/>
    </w:rPr>
  </w:style>
  <w:style w:type="paragraph" w:customStyle="1" w:styleId="255">
    <w:name w:val="Revision1"/>
    <w:semiHidden/>
    <w:qFormat/>
    <w:uiPriority w:val="99"/>
    <w:pPr>
      <w:spacing w:after="160" w:line="259" w:lineRule="auto"/>
    </w:pPr>
    <w:rPr>
      <w:rFonts w:ascii="Arial" w:hAnsi="Arial" w:eastAsia="MS Mincho" w:cs="Times New Roman"/>
      <w:szCs w:val="24"/>
      <w:lang w:val="en-GB" w:eastAsia="en-GB" w:bidi="ar-SA"/>
    </w:rPr>
  </w:style>
  <w:style w:type="paragraph" w:customStyle="1" w:styleId="256">
    <w:name w:val="ZTD"/>
    <w:basedOn w:val="135"/>
    <w:qFormat/>
    <w:uiPriority w:val="0"/>
    <w:pPr>
      <w:framePr w:hRule="auto" w:y="852"/>
    </w:pPr>
    <w:rPr>
      <w:i w:val="0"/>
      <w:sz w:val="40"/>
    </w:rPr>
  </w:style>
  <w:style w:type="paragraph" w:customStyle="1" w:styleId="257">
    <w:name w:val="附录表标题"/>
    <w:basedOn w:val="1"/>
    <w:next w:val="43"/>
    <w:qFormat/>
    <w:uiPriority w:val="0"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258">
    <w:name w:val="附录图标号"/>
    <w:basedOn w:val="1"/>
    <w:qFormat/>
    <w:uiPriority w:val="0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259">
    <w:name w:val="标准书脚_奇数页"/>
    <w:qFormat/>
    <w:uiPriority w:val="0"/>
    <w:pPr>
      <w:spacing w:before="120" w:after="160" w:line="259" w:lineRule="auto"/>
      <w:ind w:right="198"/>
      <w:jc w:val="right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60">
    <w:name w:val="附录二级无"/>
    <w:basedOn w:val="159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1">
    <w:name w:val="附录一级无"/>
    <w:basedOn w:val="148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2">
    <w:name w:val="列项说明数字编号"/>
    <w:qFormat/>
    <w:uiPriority w:val="0"/>
    <w:pPr>
      <w:spacing w:after="160" w:line="259" w:lineRule="auto"/>
      <w:ind w:left="600" w:leftChars="400" w:hanging="200" w:hangingChars="200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63">
    <w:name w:val="目次、标准名称标题"/>
    <w:basedOn w:val="1"/>
    <w:next w:val="43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64">
    <w:name w:val="TAN"/>
    <w:basedOn w:val="105"/>
    <w:qFormat/>
    <w:uiPriority w:val="0"/>
    <w:pPr>
      <w:ind w:left="851" w:hanging="851"/>
    </w:pPr>
    <w:rPr>
      <w:szCs w:val="20"/>
      <w:lang w:eastAsia="en-US"/>
    </w:rPr>
  </w:style>
  <w:style w:type="paragraph" w:customStyle="1" w:styleId="265">
    <w:name w:val="封面正文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266">
    <w:name w:val="2 Ch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6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68">
    <w:name w:val="标准书脚_偶数页"/>
    <w:qFormat/>
    <w:uiPriority w:val="0"/>
    <w:pPr>
      <w:spacing w:before="120" w:after="160" w:line="259" w:lineRule="auto"/>
      <w:ind w:left="221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69">
    <w:name w:val="EW"/>
    <w:basedOn w:val="147"/>
    <w:qFormat/>
    <w:uiPriority w:val="0"/>
    <w:pPr>
      <w:spacing w:after="0"/>
    </w:pPr>
  </w:style>
  <w:style w:type="paragraph" w:customStyle="1" w:styleId="270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Times New Roman" w:hAnsi="Times New Roman" w:cs="Times New Roman" w:eastAsiaTheme="minorEastAsia"/>
      <w:sz w:val="28"/>
      <w:lang w:val="en-US" w:eastAsia="zh-CN" w:bidi="ar-SA"/>
    </w:rPr>
  </w:style>
  <w:style w:type="character" w:customStyle="1" w:styleId="271">
    <w:name w:val="B1 Char"/>
    <w:qFormat/>
    <w:uiPriority w:val="0"/>
    <w:rPr>
      <w:rFonts w:ascii="Arial" w:hAnsi="Arial" w:eastAsia="Times New Roman"/>
      <w:lang w:val="en-GB" w:eastAsia="en-US"/>
    </w:rPr>
  </w:style>
  <w:style w:type="paragraph" w:customStyle="1" w:styleId="272">
    <w:name w:val="Observation"/>
    <w:basedOn w:val="207"/>
    <w:qFormat/>
    <w:uiPriority w:val="0"/>
    <w:pPr>
      <w:numPr>
        <w:ilvl w:val="0"/>
        <w:numId w:val="2"/>
      </w:numPr>
      <w:ind w:left="1701" w:hanging="1701"/>
    </w:pPr>
    <w:rPr>
      <w:rFonts w:eastAsiaTheme="minorEastAsia"/>
    </w:rPr>
  </w:style>
  <w:style w:type="character" w:customStyle="1" w:styleId="273">
    <w:name w:val="列出段落 Char"/>
    <w:link w:val="70"/>
    <w:qFormat/>
    <w:locked/>
    <w:uiPriority w:val="34"/>
    <w:rPr>
      <w:kern w:val="2"/>
      <w:sz w:val="21"/>
      <w:szCs w:val="24"/>
    </w:rPr>
  </w:style>
  <w:style w:type="character" w:customStyle="1" w:styleId="274">
    <w:name w:val="B3 Char"/>
    <w:basedOn w:val="58"/>
    <w:qFormat/>
    <w:uiPriority w:val="0"/>
    <w:rPr>
      <w:lang w:val="en-GB"/>
    </w:rPr>
  </w:style>
  <w:style w:type="character" w:customStyle="1" w:styleId="275">
    <w:name w:val="B4 Char"/>
    <w:link w:val="218"/>
    <w:qFormat/>
    <w:uiPriority w:val="0"/>
    <w:rPr>
      <w:rFonts w:eastAsia="MS Mincho"/>
      <w:lang w:val="en-GB" w:eastAsia="en-US"/>
    </w:rPr>
  </w:style>
  <w:style w:type="paragraph" w:customStyle="1" w:styleId="276">
    <w:name w:val="Guidance"/>
    <w:basedOn w:val="1"/>
    <w:link w:val="279"/>
    <w:qFormat/>
    <w:uiPriority w:val="0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277">
    <w:name w:val="B1 Zchn"/>
    <w:qFormat/>
    <w:uiPriority w:val="0"/>
    <w:rPr>
      <w:lang w:eastAsia="en-US"/>
    </w:rPr>
  </w:style>
  <w:style w:type="character" w:customStyle="1" w:styleId="278">
    <w:name w:val="NO Zchn"/>
    <w:link w:val="219"/>
    <w:qFormat/>
    <w:uiPriority w:val="0"/>
    <w:rPr>
      <w:lang w:val="en-GB" w:eastAsia="ja-JP"/>
    </w:rPr>
  </w:style>
  <w:style w:type="character" w:customStyle="1" w:styleId="279">
    <w:name w:val="Guidance Char"/>
    <w:link w:val="276"/>
    <w:qFormat/>
    <w:uiPriority w:val="0"/>
    <w:rPr>
      <w:i/>
      <w:color w:val="0000FF"/>
      <w:lang w:val="en-GB" w:eastAsia="en-US"/>
    </w:rPr>
  </w:style>
  <w:style w:type="paragraph" w:customStyle="1" w:styleId="280">
    <w:name w:val="Reference"/>
    <w:basedOn w:val="1"/>
    <w:qFormat/>
    <w:uiPriority w:val="0"/>
    <w:pPr>
      <w:numPr>
        <w:ilvl w:val="0"/>
        <w:numId w:val="3"/>
      </w:numPr>
    </w:pPr>
  </w:style>
  <w:style w:type="paragraph" w:customStyle="1" w:styleId="281">
    <w:name w:val="Pat Appl"/>
    <w:basedOn w:val="1"/>
    <w:qFormat/>
    <w:uiPriority w:val="0"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2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28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b/>
      <w:sz w:val="24"/>
    </w:rPr>
  </w:style>
  <w:style w:type="paragraph" w:customStyle="1" w:styleId="284">
    <w:name w:val="修订1"/>
    <w:hidden/>
    <w:semiHidden/>
    <w:qFormat/>
    <w:uiPriority w:val="99"/>
    <w:rPr>
      <w:rFonts w:ascii="Times New Roman" w:hAnsi="Times New Roman" w:cs="Times New Roman" w:eastAsiaTheme="minorEastAsia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B9E5A9-52FE-47BF-8223-6ED0666DAE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www.zte.com.cn</Company>
  <Pages>7</Pages>
  <Words>1920</Words>
  <Characters>10947</Characters>
  <Lines>91</Lines>
  <Paragraphs>25</Paragraphs>
  <TotalTime>15</TotalTime>
  <ScaleCrop>false</ScaleCrop>
  <LinksUpToDate>false</LinksUpToDate>
  <CharactersWithSpaces>12842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2020-02-14T02:22:00Z</dcterms:created>
  <dc:creator>10033860</dc:creator>
  <cp:lastModifiedBy>ZTE(Wenting)</cp:lastModifiedBy>
  <cp:lastPrinted>2113-01-01T00:00:00Z</cp:lastPrinted>
  <dcterms:modified xsi:type="dcterms:W3CDTF">2021-05-12T09:17:27Z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