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eastAsia" w:ascii="Arial" w:hAnsi="Arial" w:eastAsia="宋体" w:cs="Times New Roman"/>
          <w:b/>
          <w:strike w:val="0"/>
          <w:dstrike w:val="0"/>
          <w:kern w:val="2"/>
          <w:sz w:val="24"/>
          <w:szCs w:val="21"/>
          <w:highlight w:val="none"/>
          <w:lang w:val="en-US" w:eastAsia="zh-CN" w:bidi="ar-SA"/>
        </w:rPr>
      </w:pPr>
      <w:bookmarkStart w:id="0" w:name="_Toc18404533"/>
      <w:bookmarkStart w:id="1" w:name="_Toc18403966"/>
      <w:bookmarkStart w:id="2" w:name="_Toc18413600"/>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14-e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2106428</w:t>
      </w:r>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19 May</w:t>
      </w:r>
      <w:r>
        <w:rPr>
          <w:strike w:val="0"/>
          <w:dstrike w:val="0"/>
          <w:highlight w:val="none"/>
        </w:rPr>
        <w:t xml:space="preserve"> – </w:t>
      </w:r>
      <w:r>
        <w:rPr>
          <w:rFonts w:hint="eastAsia" w:eastAsia="宋体"/>
          <w:strike w:val="0"/>
          <w:dstrike w:val="0"/>
          <w:highlight w:val="none"/>
          <w:lang w:val="en-US" w:eastAsia="zh-CN"/>
        </w:rPr>
        <w:t>27</w:t>
      </w:r>
      <w:r>
        <w:rPr>
          <w:strike w:val="0"/>
          <w:dstrike w:val="0"/>
          <w:highlight w:val="none"/>
        </w:rPr>
        <w:t xml:space="preserve"> </w:t>
      </w:r>
      <w:r>
        <w:rPr>
          <w:rFonts w:hint="eastAsia"/>
          <w:strike w:val="0"/>
          <w:dstrike w:val="0"/>
          <w:highlight w:val="none"/>
          <w:lang w:val="en-US" w:eastAsia="zh-CN"/>
        </w:rPr>
        <w:t>May</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2"/>
      <w:bookmarkStart w:id="5" w:name="OLE_LINK5"/>
      <w:r>
        <w:rPr>
          <w:rFonts w:hint="eastAsia"/>
          <w:b/>
          <w:sz w:val="24"/>
          <w:highlight w:val="none"/>
          <w:lang w:val="en-US" w:eastAsia="zh-CN"/>
        </w:rPr>
        <w:t>Discussion on</w:t>
      </w:r>
      <w:bookmarkEnd w:id="4"/>
      <w:bookmarkEnd w:id="5"/>
      <w:r>
        <w:rPr>
          <w:rFonts w:hint="eastAsia"/>
          <w:b/>
          <w:sz w:val="24"/>
          <w:highlight w:val="none"/>
          <w:lang w:val="en-US" w:eastAsia="zh-CN"/>
        </w:rPr>
        <w:t xml:space="preserve"> positioning integrity data calculation and LS to RTCM</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8.11.5</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default" w:ascii="Arial" w:hAnsi="Arial" w:eastAsia="宋体" w:cs="Arial"/>
          <w:sz w:val="21"/>
          <w:szCs w:val="21"/>
          <w:highlight w:val="none"/>
          <w:lang w:val="en-US" w:eastAsia="zh-CN"/>
        </w:rPr>
      </w:pPr>
      <w:r>
        <w:rPr>
          <w:rFonts w:hint="default" w:ascii="Arial" w:hAnsi="Arial" w:eastAsia="宋体" w:cs="Arial"/>
          <w:sz w:val="21"/>
          <w:szCs w:val="21"/>
          <w:highlight w:val="none"/>
          <w:lang w:val="en-US" w:eastAsia="zh-CN"/>
        </w:rPr>
        <w:t>The WI on NR positioning enhancement has been approved in RAN#</w:t>
      </w:r>
      <w:r>
        <w:rPr>
          <w:rFonts w:hint="eastAsia" w:eastAsia="宋体" w:cs="Arial"/>
          <w:sz w:val="21"/>
          <w:szCs w:val="21"/>
          <w:highlight w:val="none"/>
          <w:lang w:val="en-US" w:eastAsia="zh-CN"/>
        </w:rPr>
        <w:t>91</w:t>
      </w:r>
      <w:r>
        <w:rPr>
          <w:rFonts w:hint="default" w:ascii="Arial" w:hAnsi="Arial" w:eastAsia="宋体" w:cs="Arial"/>
          <w:sz w:val="21"/>
          <w:szCs w:val="21"/>
          <w:highlight w:val="none"/>
          <w:lang w:val="en-US" w:eastAsia="zh-CN"/>
        </w:rPr>
        <w:t>e(RP-210903)</w:t>
      </w:r>
      <w:r>
        <w:rPr>
          <w:rFonts w:hint="eastAsia" w:eastAsia="宋体" w:cs="Arial"/>
          <w:sz w:val="21"/>
          <w:szCs w:val="21"/>
          <w:highlight w:val="none"/>
          <w:lang w:val="en-US" w:eastAsia="zh-CN"/>
        </w:rPr>
        <w:t xml:space="preserve"> </w:t>
      </w:r>
      <w:r>
        <w:rPr>
          <w:rFonts w:hint="default" w:ascii="Arial" w:hAnsi="Arial" w:eastAsia="宋体" w:cs="Arial"/>
          <w:sz w:val="21"/>
          <w:szCs w:val="21"/>
          <w:highlight w:val="none"/>
          <w:lang w:val="en-US" w:eastAsia="zh-CN"/>
        </w:rPr>
        <w:t>[1], and the following objectives have been agreed in WID:</w:t>
      </w:r>
    </w:p>
    <w:p>
      <w:pPr>
        <w:pStyle w:val="55"/>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numPr>
          <w:ilvl w:val="0"/>
          <w:numId w:val="6"/>
        </w:numPr>
        <w:overflowPunct/>
        <w:autoSpaceDE/>
        <w:autoSpaceDN/>
        <w:adjustRightInd/>
        <w:spacing w:after="0" w:line="276" w:lineRule="auto"/>
        <w:textAlignment w:val="auto"/>
      </w:pPr>
      <w:r>
        <w:t>Specify the signalling, and procedures to support GNSS positioning integrity determination, including [RAN2, RAN3]:</w:t>
      </w:r>
    </w:p>
    <w:p>
      <w:pPr>
        <w:numPr>
          <w:ilvl w:val="1"/>
          <w:numId w:val="6"/>
        </w:numPr>
        <w:rPr>
          <w:rFonts w:eastAsia="MS Mincho"/>
        </w:rPr>
      </w:pPr>
      <w:r>
        <w:rPr>
          <w:rFonts w:eastAsia="MS Mincho"/>
        </w:rPr>
        <w:t>The assistance information that will be used to support integrity determination</w:t>
      </w:r>
    </w:p>
    <w:p>
      <w:pPr>
        <w:numPr>
          <w:ilvl w:val="1"/>
          <w:numId w:val="6"/>
        </w:numPr>
        <w:rPr>
          <w:rFonts w:eastAsia="MS Mincho"/>
        </w:rPr>
      </w:pPr>
      <w:r>
        <w:rPr>
          <w:rFonts w:eastAsia="MS Mincho"/>
        </w:rPr>
        <w:t>The information that will be used to provide the positioning integrity KPIs and integrity results</w:t>
      </w:r>
    </w:p>
    <w:p>
      <w:pPr>
        <w:numPr>
          <w:ilvl w:val="1"/>
          <w:numId w:val="6"/>
        </w:numPr>
        <w:rPr>
          <w:rFonts w:eastAsia="MS Mincho"/>
        </w:rPr>
      </w:pPr>
      <w:r>
        <w:rPr>
          <w:rFonts w:eastAsia="MS Mincho"/>
        </w:rPr>
        <w:t>Support of integrity for UE-based and UE-assisted A-GNSS positioning.</w:t>
      </w:r>
    </w:p>
    <w:p>
      <w:pPr>
        <w:ind w:left="720"/>
        <w:rPr>
          <w:rFonts w:hint="eastAsia" w:eastAsia="宋体" w:cs="Arial"/>
          <w:color w:val="000000"/>
          <w:sz w:val="21"/>
          <w:lang w:val="en-US" w:eastAsia="zh-CN"/>
        </w:rPr>
      </w:pPr>
      <w:bookmarkStart w:id="8" w:name="_Hlk67595233"/>
      <w:r>
        <w:rPr>
          <w:rFonts w:eastAsia="MS Mincho"/>
        </w:rPr>
        <w:t>Note: This objective is applicable to NR and E-UTRA.</w:t>
      </w:r>
      <w:bookmarkEnd w:id="8"/>
    </w:p>
    <w:p>
      <w:pPr>
        <w:pStyle w:val="55"/>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pStyle w:val="55"/>
        <w:spacing w:before="75" w:beforeAutospacing="0" w:after="75" w:afterAutospacing="0" w:line="315" w:lineRule="atLeast"/>
        <w:rPr>
          <w:rFonts w:hint="default" w:eastAsia="宋体" w:cs="Arial"/>
          <w:color w:val="000000"/>
          <w:sz w:val="21"/>
          <w:highlight w:val="none"/>
          <w:lang w:val="en-US" w:eastAsia="zh-CN"/>
        </w:rPr>
      </w:pPr>
      <w:r>
        <w:rPr>
          <w:rFonts w:hint="eastAsia" w:eastAsia="宋体" w:cs="Arial"/>
          <w:color w:val="000000"/>
          <w:sz w:val="21"/>
          <w:highlight w:val="none"/>
          <w:lang w:val="en-US" w:eastAsia="zh-CN"/>
        </w:rPr>
        <w:t>The intention of this contribution is to share some views on the positioning integrity data transportation and reporting based on the NR positioning WI and RAN2#113bis_e discussion results [2].</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Positioning integrity calculation</w:t>
      </w:r>
    </w:p>
    <w:p>
      <w:pPr>
        <w:numPr>
          <w:ilvl w:val="0"/>
          <w:numId w:val="0"/>
        </w:numPr>
        <w:rPr>
          <w:rFonts w:hint="eastAsia" w:eastAsia="宋体"/>
          <w:lang w:val="en-US" w:eastAsia="zh-CN"/>
        </w:rPr>
      </w:pPr>
      <w:r>
        <w:rPr>
          <w:rFonts w:hint="eastAsia" w:eastAsia="宋体"/>
          <w:lang w:val="en-US" w:eastAsia="zh-CN"/>
        </w:rPr>
        <w:t>Based on the current definition in TS 38.305 [3], LMF will configure whether the UE is responsible for the estimate location calculation in LPP Request Location Information message(e.g. UE-based, UE-assisted, gNB-assisted) after LMF handles the UE</w:t>
      </w:r>
      <w:r>
        <w:rPr>
          <w:rFonts w:hint="default" w:eastAsia="宋体"/>
          <w:lang w:val="en-US" w:eastAsia="zh-CN"/>
        </w:rPr>
        <w:t>’</w:t>
      </w:r>
      <w:r>
        <w:rPr>
          <w:rFonts w:hint="eastAsia" w:eastAsia="宋体"/>
          <w:lang w:val="en-US" w:eastAsia="zh-CN"/>
        </w:rPr>
        <w:t>s positioning capability. Similar to the location calculation, positioning integrity result(PL) can also be calculated by either UE or LMF. From our point of view, a convenient and straight forward way about the integrity calculation handling is to map this function to the estimate location calculation. In other word, for UE-based positioning, UE is responsible for both positioning integrity and estimate location calculating. And for UE-assisted or gNB-assisted positioning, LMF is responsible for the positioning integrity and estimate location calculating.</w:t>
      </w:r>
    </w:p>
    <w:p>
      <w:pPr>
        <w:numPr>
          <w:ilvl w:val="0"/>
          <w:numId w:val="0"/>
        </w:numPr>
        <w:rPr>
          <w:rFonts w:hint="eastAsia" w:eastAsia="宋体"/>
          <w:b/>
          <w:bCs/>
          <w:lang w:val="en-US" w:eastAsia="zh-CN"/>
        </w:rPr>
      </w:pPr>
      <w:r>
        <w:rPr>
          <w:rFonts w:hint="eastAsia" w:eastAsia="宋体"/>
          <w:b/>
          <w:bCs/>
          <w:lang w:val="en-US" w:eastAsia="zh-CN"/>
        </w:rPr>
        <w:t>Proposal 1: RAN2 shall consider that an entity which is responsible for the estimate location calculation should also handle the positioning integrity calculation.</w:t>
      </w:r>
    </w:p>
    <w:p>
      <w:pPr>
        <w:numPr>
          <w:ilvl w:val="0"/>
          <w:numId w:val="7"/>
        </w:numPr>
        <w:ind w:left="420" w:leftChars="0" w:hanging="420" w:firstLineChars="0"/>
        <w:rPr>
          <w:rFonts w:hint="eastAsia" w:eastAsia="宋体"/>
          <w:b/>
          <w:bCs/>
          <w:lang w:val="en-US" w:eastAsia="zh-CN"/>
        </w:rPr>
      </w:pPr>
      <w:r>
        <w:rPr>
          <w:rFonts w:hint="eastAsia" w:eastAsia="宋体"/>
          <w:b/>
          <w:bCs/>
          <w:lang w:val="en-US" w:eastAsia="zh-CN"/>
        </w:rPr>
        <w:t>For UE-based positioning, UE is responsible for estimate location and positioning integrity calculation.</w:t>
      </w:r>
    </w:p>
    <w:p>
      <w:pPr>
        <w:numPr>
          <w:ilvl w:val="0"/>
          <w:numId w:val="7"/>
        </w:numPr>
        <w:ind w:left="420" w:leftChars="0" w:hanging="420" w:firstLineChars="0"/>
        <w:rPr>
          <w:rFonts w:hint="default" w:eastAsia="宋体"/>
          <w:lang w:val="en-US" w:eastAsia="zh-CN"/>
        </w:rPr>
      </w:pPr>
      <w:r>
        <w:rPr>
          <w:rFonts w:hint="eastAsia" w:eastAsia="宋体"/>
          <w:b/>
          <w:bCs/>
          <w:lang w:val="en-US" w:eastAsia="zh-CN"/>
        </w:rPr>
        <w:t>For UE-assisted or gNB-assisted positioning, LMF is responsible for estimate location and positioning calculation.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LS to RTCM SC134</w:t>
      </w:r>
    </w:p>
    <w:p>
      <w:pPr>
        <w:rPr>
          <w:rFonts w:hint="eastAsia"/>
          <w:lang w:val="en-US" w:eastAsia="zh-CN"/>
        </w:rPr>
      </w:pPr>
      <w:r>
        <w:rPr>
          <w:rFonts w:hint="eastAsia"/>
          <w:lang w:val="en-US" w:eastAsia="zh-CN"/>
        </w:rPr>
        <w:t>There is no agreement about whether to send an LS to RTCM during RAN2#113bis_e online discussion [2] due to time shortage. Companies believe RAN2 may need to spend some time on discussing what to ask in the LS. From our point of view, it is still valuable to send LS to RTCM. And the following information can be discussed by RAN2 and added into the LS:</w:t>
      </w:r>
    </w:p>
    <w:p>
      <w:pPr>
        <w:numPr>
          <w:ilvl w:val="0"/>
          <w:numId w:val="0"/>
        </w:numPr>
        <w:rPr>
          <w:rFonts w:hint="default"/>
          <w:u w:val="single"/>
          <w:lang w:val="en-US" w:eastAsia="zh-CN"/>
        </w:rPr>
      </w:pPr>
      <w:r>
        <w:rPr>
          <w:rFonts w:hint="eastAsia"/>
          <w:u w:val="single"/>
          <w:lang w:val="en-US" w:eastAsia="zh-CN"/>
        </w:rPr>
        <w:t>The structure of the integrity message.</w:t>
      </w:r>
    </w:p>
    <w:p>
      <w:pPr>
        <w:numPr>
          <w:ilvl w:val="0"/>
          <w:numId w:val="0"/>
        </w:numPr>
        <w:rPr>
          <w:rFonts w:hint="default"/>
          <w:lang w:val="en-US" w:eastAsia="zh-CN"/>
        </w:rPr>
      </w:pPr>
      <w:r>
        <w:rPr>
          <w:rFonts w:hint="eastAsia"/>
          <w:lang w:val="en-US" w:eastAsia="zh-CN"/>
        </w:rPr>
        <w:t>RTCM has defined the integrity message. It is valuable for RAN2 to add such definition in Rel-17. RAN2 can almost directly use the definition/structure of the integrity message with little further discussion if RTCM can share the related definitions with 3GPP.</w:t>
      </w:r>
    </w:p>
    <w:p>
      <w:pPr>
        <w:numPr>
          <w:ilvl w:val="0"/>
          <w:numId w:val="0"/>
        </w:numPr>
        <w:rPr>
          <w:rFonts w:hint="default"/>
          <w:u w:val="single"/>
          <w:lang w:val="en-US" w:eastAsia="zh-CN"/>
        </w:rPr>
      </w:pPr>
      <w:r>
        <w:rPr>
          <w:rFonts w:hint="eastAsia"/>
          <w:u w:val="single"/>
          <w:lang w:val="en-US" w:eastAsia="zh-CN"/>
        </w:rPr>
        <w:t>Feared events definition.</w:t>
      </w:r>
    </w:p>
    <w:p>
      <w:pPr>
        <w:numPr>
          <w:ilvl w:val="0"/>
          <w:numId w:val="0"/>
        </w:numPr>
        <w:rPr>
          <w:rFonts w:hint="default"/>
          <w:lang w:val="en-US" w:eastAsia="zh-CN"/>
        </w:rPr>
      </w:pPr>
      <w:r>
        <w:rPr>
          <w:rFonts w:hint="eastAsia"/>
          <w:lang w:val="en-US" w:eastAsia="zh-CN"/>
        </w:rPr>
        <w:t>Compared with Rel-16, RAN2 has introduced new feared events for A-GNSS in Rel-17 SI phase. The new introduced feared events can be detected in either 3GPP system or GNSS system. We may send our new defined feared events results to RTCM and ask their suggestions. If RTCM defines new feared events in GNSS based on their study, RAN2 shall consider to add the new defined feared events according to RTCM</w:t>
      </w:r>
      <w:r>
        <w:rPr>
          <w:rFonts w:hint="default"/>
          <w:lang w:val="en-US" w:eastAsia="zh-CN"/>
        </w:rPr>
        <w:t>’</w:t>
      </w:r>
      <w:r>
        <w:rPr>
          <w:rFonts w:hint="eastAsia"/>
          <w:lang w:val="en-US" w:eastAsia="zh-CN"/>
        </w:rPr>
        <w:t xml:space="preserve">s reply LS. </w:t>
      </w:r>
    </w:p>
    <w:p>
      <w:pPr>
        <w:bidi w:val="0"/>
        <w:rPr>
          <w:rFonts w:hint="default" w:eastAsia="宋体"/>
          <w:b/>
          <w:bCs/>
          <w:lang w:val="en-US" w:eastAsia="zh-CN"/>
        </w:rPr>
      </w:pPr>
      <w:r>
        <w:rPr>
          <w:rFonts w:hint="eastAsia"/>
          <w:b/>
          <w:bCs/>
          <w:lang w:val="en-US" w:eastAsia="zh-CN"/>
        </w:rPr>
        <w:t>Proposal 2: RAN2 shall consider to send LS to RTCM SC134 and discuss the content of the LS.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bidi w:val="0"/>
      </w:pPr>
      <w:r>
        <w:rPr>
          <w:rFonts w:hint="eastAsia"/>
          <w:lang w:val="en-US" w:eastAsia="zh-CN"/>
        </w:rPr>
        <w:t>Based on the discussions above, we have the following proposal.</w:t>
      </w:r>
    </w:p>
    <w:p>
      <w:pPr>
        <w:numPr>
          <w:ilvl w:val="0"/>
          <w:numId w:val="0"/>
        </w:numPr>
        <w:rPr>
          <w:rFonts w:hint="eastAsia" w:eastAsia="宋体"/>
          <w:b/>
          <w:bCs/>
          <w:lang w:val="en-US" w:eastAsia="zh-CN"/>
        </w:rPr>
      </w:pPr>
      <w:bookmarkStart w:id="9" w:name="_Toc18403976"/>
      <w:bookmarkStart w:id="10" w:name="_Toc18404543"/>
      <w:bookmarkStart w:id="11" w:name="_Toc18413612"/>
      <w:r>
        <w:rPr>
          <w:rFonts w:hint="eastAsia" w:eastAsia="宋体"/>
          <w:b/>
          <w:bCs/>
          <w:lang w:val="en-US" w:eastAsia="zh-CN"/>
        </w:rPr>
        <w:t>Proposal 1: RAN2 shall consider that an entity which is responsible for the estimate location calculation should also handle the positioning integrity calculation.</w:t>
      </w:r>
    </w:p>
    <w:p>
      <w:pPr>
        <w:numPr>
          <w:ilvl w:val="0"/>
          <w:numId w:val="7"/>
        </w:numPr>
        <w:ind w:left="420" w:leftChars="0" w:hanging="420" w:firstLineChars="0"/>
        <w:rPr>
          <w:rFonts w:hint="eastAsia" w:eastAsia="宋体"/>
          <w:b/>
          <w:bCs/>
          <w:lang w:val="en-US" w:eastAsia="zh-CN"/>
        </w:rPr>
      </w:pPr>
      <w:r>
        <w:rPr>
          <w:rFonts w:hint="eastAsia" w:eastAsia="宋体"/>
          <w:b/>
          <w:bCs/>
          <w:lang w:val="en-US" w:eastAsia="zh-CN"/>
        </w:rPr>
        <w:t>For UE-based positioning, UE is responsible for estimate location and positioning integrity calculation.</w:t>
      </w:r>
    </w:p>
    <w:p>
      <w:pPr>
        <w:numPr>
          <w:ilvl w:val="0"/>
          <w:numId w:val="7"/>
        </w:numPr>
        <w:ind w:left="420" w:leftChars="0" w:hanging="420" w:firstLineChars="0"/>
        <w:rPr>
          <w:rFonts w:hint="default" w:eastAsia="宋体"/>
          <w:b/>
          <w:bCs/>
          <w:lang w:val="en-US" w:eastAsia="zh-CN"/>
        </w:rPr>
      </w:pPr>
      <w:r>
        <w:rPr>
          <w:rFonts w:hint="eastAsia" w:eastAsia="宋体"/>
          <w:b/>
          <w:bCs/>
          <w:lang w:val="en-US" w:eastAsia="zh-CN"/>
        </w:rPr>
        <w:t>For UE-assisted or gNB-assisted positioning, LMF is responsible for estimate location and positioning calculation.</w:t>
      </w:r>
    </w:p>
    <w:p>
      <w:pPr>
        <w:bidi w:val="0"/>
        <w:rPr>
          <w:rFonts w:hint="default" w:eastAsia="宋体"/>
          <w:b/>
          <w:bCs/>
          <w:lang w:val="en-US" w:eastAsia="zh-CN"/>
        </w:rPr>
      </w:pPr>
      <w:r>
        <w:rPr>
          <w:rFonts w:hint="eastAsia"/>
          <w:b/>
          <w:bCs/>
          <w:lang w:val="en-US" w:eastAsia="zh-CN"/>
        </w:rPr>
        <w:t>Proposal 2: RAN2 shall consider to send LS to RTCM SC134 and discuss the content of the LS.</w:t>
      </w:r>
      <w:bookmarkStart w:id="13" w:name="_GoBack"/>
      <w:bookmarkEnd w:id="13"/>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9"/>
      <w:bookmarkEnd w:id="10"/>
      <w:bookmarkEnd w:id="11"/>
    </w:p>
    <w:p>
      <w:pPr>
        <w:numPr>
          <w:ilvl w:val="0"/>
          <w:numId w:val="8"/>
        </w:numPr>
        <w:spacing w:line="240" w:lineRule="auto"/>
        <w:rPr>
          <w:rFonts w:eastAsia="宋体" w:cs="Arial"/>
          <w:lang w:val="en-US" w:eastAsia="zh-CN"/>
        </w:rPr>
      </w:pPr>
      <w:bookmarkStart w:id="12" w:name="OLE_LINK3"/>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210903,</w:t>
      </w:r>
      <w:r>
        <w:rPr>
          <w:rFonts w:eastAsia="宋体" w:cs="Arial"/>
          <w:lang w:val="en-US" w:eastAsia="zh-CN"/>
        </w:rPr>
        <w:t xml:space="preserve">“Work Item Description: </w:t>
      </w:r>
      <w:r>
        <w:rPr>
          <w:rFonts w:hint="eastAsia" w:eastAsia="宋体" w:cs="Arial"/>
          <w:lang w:val="en-US" w:eastAsia="zh-CN"/>
        </w:rPr>
        <w:t>NR Positioning Enhancements</w:t>
      </w:r>
      <w:r>
        <w:rPr>
          <w:rFonts w:eastAsia="宋体" w:cs="Arial"/>
          <w:lang w:val="en-US" w:eastAsia="zh-CN"/>
        </w:rPr>
        <w:t>”, RAN</w:t>
      </w:r>
      <w:r>
        <w:rPr>
          <w:rFonts w:hint="eastAsia" w:eastAsia="宋体" w:cs="Arial"/>
          <w:lang w:val="en-US" w:eastAsia="zh-CN"/>
        </w:rPr>
        <w:t>,Mar,26, 2021.</w:t>
      </w:r>
    </w:p>
    <w:p>
      <w:pPr>
        <w:numPr>
          <w:ilvl w:val="0"/>
          <w:numId w:val="8"/>
        </w:numPr>
        <w:spacing w:line="240" w:lineRule="auto"/>
        <w:rPr>
          <w:rFonts w:eastAsia="宋体" w:cs="Arial"/>
          <w:lang w:val="en-US" w:eastAsia="zh-CN"/>
        </w:rPr>
      </w:pPr>
      <w:r>
        <w:rPr>
          <w:rFonts w:hint="eastAsia" w:eastAsia="宋体" w:cs="Arial"/>
          <w:sz w:val="21"/>
          <w:szCs w:val="21"/>
          <w:highlight w:val="none"/>
          <w:lang w:val="en-US" w:eastAsia="zh-CN"/>
        </w:rPr>
        <w:t>Chairman note for RAN2-113bis-e-Positioning-Relay-2021-04-20-1600_eom.</w:t>
      </w:r>
    </w:p>
    <w:bookmarkEnd w:id="12"/>
    <w:p>
      <w:pPr>
        <w:pStyle w:val="55"/>
        <w:numPr>
          <w:ilvl w:val="0"/>
          <w:numId w:val="8"/>
        </w:numPr>
        <w:spacing w:before="75" w:beforeAutospacing="0" w:after="75" w:afterAutospacing="0" w:line="240" w:lineRule="auto"/>
        <w:rPr>
          <w:sz w:val="21"/>
          <w:szCs w:val="21"/>
        </w:rPr>
      </w:pPr>
      <w:r>
        <w:rPr>
          <w:rFonts w:hint="eastAsia" w:eastAsia="宋体" w:cs="Arial"/>
          <w:color w:val="000000"/>
          <w:sz w:val="21"/>
          <w:szCs w:val="21"/>
          <w:lang w:val="en-US" w:eastAsia="zh-CN"/>
        </w:rPr>
        <w:t xml:space="preserve">3GPP TR 38.857, </w:t>
      </w:r>
      <w:r>
        <w:rPr>
          <w:rFonts w:eastAsia="宋体" w:cs="Arial"/>
          <w:color w:val="000000"/>
          <w:sz w:val="21"/>
          <w:szCs w:val="21"/>
          <w:lang w:val="en-US" w:eastAsia="zh-CN"/>
        </w:rPr>
        <w:t>“</w:t>
      </w:r>
      <w:r>
        <w:rPr>
          <w:sz w:val="21"/>
          <w:szCs w:val="21"/>
        </w:rPr>
        <w:t>Study on NR Positioning Enhancements</w:t>
      </w:r>
      <w:r>
        <w:rPr>
          <w:rFonts w:eastAsia="宋体" w:cs="Arial"/>
          <w:color w:val="000000"/>
          <w:sz w:val="21"/>
          <w:szCs w:val="21"/>
          <w:lang w:val="en-US" w:eastAsia="zh-CN"/>
        </w:rPr>
        <w:t>”</w:t>
      </w:r>
      <w:r>
        <w:rPr>
          <w:rFonts w:hint="eastAsia" w:eastAsia="宋体" w:cs="Arial"/>
          <w:color w:val="000000"/>
          <w:sz w:val="21"/>
          <w:szCs w:val="21"/>
          <w:lang w:val="en-US" w:eastAsia="zh-CN"/>
        </w:rPr>
        <w:t>, Release 17,v1.1.0, Feb, 2020.</w:t>
      </w:r>
    </w:p>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D5C98D"/>
    <w:multiLevelType w:val="singleLevel"/>
    <w:tmpl w:val="9FD5C98D"/>
    <w:lvl w:ilvl="0" w:tentative="0">
      <w:start w:val="1"/>
      <w:numFmt w:val="bullet"/>
      <w:lvlText w:val=""/>
      <w:lvlJc w:val="left"/>
      <w:pPr>
        <w:ind w:left="420" w:hanging="420"/>
      </w:pPr>
      <w:rPr>
        <w:rFonts w:hint="default" w:ascii="Wingdings" w:hAnsi="Wingdings"/>
      </w:rPr>
    </w:lvl>
  </w:abstractNum>
  <w:abstractNum w:abstractNumId="1">
    <w:nsid w:val="B165565A"/>
    <w:multiLevelType w:val="singleLevel"/>
    <w:tmpl w:val="B165565A"/>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7"/>
  </w:num>
  <w:num w:numId="3">
    <w:abstractNumId w:val="5"/>
  </w:num>
  <w:num w:numId="4">
    <w:abstractNumId w:val="6"/>
  </w:num>
  <w:num w:numId="5">
    <w:abstractNumId w:val="4"/>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3BC3684"/>
    <w:rsid w:val="0427122D"/>
    <w:rsid w:val="04405CD4"/>
    <w:rsid w:val="045430DF"/>
    <w:rsid w:val="05AE40A8"/>
    <w:rsid w:val="05D1293B"/>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1D67F1"/>
    <w:rsid w:val="0B545B44"/>
    <w:rsid w:val="0BE13081"/>
    <w:rsid w:val="0C34609D"/>
    <w:rsid w:val="0C4A196E"/>
    <w:rsid w:val="0CBA1583"/>
    <w:rsid w:val="0CBC415D"/>
    <w:rsid w:val="0CD249CC"/>
    <w:rsid w:val="0D9222C1"/>
    <w:rsid w:val="0DC045AB"/>
    <w:rsid w:val="0DFF7D07"/>
    <w:rsid w:val="0E2167DC"/>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7F1FFA"/>
    <w:rsid w:val="11B5797D"/>
    <w:rsid w:val="11DD4AE3"/>
    <w:rsid w:val="11E15AE5"/>
    <w:rsid w:val="11E53E9B"/>
    <w:rsid w:val="11FC5F30"/>
    <w:rsid w:val="120048B1"/>
    <w:rsid w:val="12015140"/>
    <w:rsid w:val="12153CE3"/>
    <w:rsid w:val="12394E59"/>
    <w:rsid w:val="1299671F"/>
    <w:rsid w:val="12A742B1"/>
    <w:rsid w:val="131813A1"/>
    <w:rsid w:val="132566F8"/>
    <w:rsid w:val="13DC640D"/>
    <w:rsid w:val="141842FE"/>
    <w:rsid w:val="14352831"/>
    <w:rsid w:val="146B64E1"/>
    <w:rsid w:val="14993B21"/>
    <w:rsid w:val="14D73601"/>
    <w:rsid w:val="15014A40"/>
    <w:rsid w:val="156B4B8B"/>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95B2085"/>
    <w:rsid w:val="1A45032B"/>
    <w:rsid w:val="1A640E62"/>
    <w:rsid w:val="1A713779"/>
    <w:rsid w:val="1A84217D"/>
    <w:rsid w:val="1A9B1F53"/>
    <w:rsid w:val="1ABB54B3"/>
    <w:rsid w:val="1AE025B8"/>
    <w:rsid w:val="1B3D4012"/>
    <w:rsid w:val="1B481AFB"/>
    <w:rsid w:val="1B6D267A"/>
    <w:rsid w:val="1B7A1663"/>
    <w:rsid w:val="1B8F6978"/>
    <w:rsid w:val="1BC27038"/>
    <w:rsid w:val="1BC73993"/>
    <w:rsid w:val="1BD24B16"/>
    <w:rsid w:val="1BF62321"/>
    <w:rsid w:val="1C130C67"/>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21B7641"/>
    <w:rsid w:val="222E4F94"/>
    <w:rsid w:val="224F5646"/>
    <w:rsid w:val="229A0A46"/>
    <w:rsid w:val="22D5441E"/>
    <w:rsid w:val="22D61F71"/>
    <w:rsid w:val="232660FF"/>
    <w:rsid w:val="23730FC9"/>
    <w:rsid w:val="23BE01FF"/>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6FB3353"/>
    <w:rsid w:val="270C27AD"/>
    <w:rsid w:val="27B132D6"/>
    <w:rsid w:val="27FF1FDA"/>
    <w:rsid w:val="28915210"/>
    <w:rsid w:val="28937E74"/>
    <w:rsid w:val="29095102"/>
    <w:rsid w:val="293E1B9C"/>
    <w:rsid w:val="29A81AA0"/>
    <w:rsid w:val="29B32846"/>
    <w:rsid w:val="29ED63D5"/>
    <w:rsid w:val="2A275682"/>
    <w:rsid w:val="2A275D46"/>
    <w:rsid w:val="2AA14025"/>
    <w:rsid w:val="2AB8768B"/>
    <w:rsid w:val="2B2348E2"/>
    <w:rsid w:val="2B5D0645"/>
    <w:rsid w:val="2B907720"/>
    <w:rsid w:val="2BCD0751"/>
    <w:rsid w:val="2C7F2EA6"/>
    <w:rsid w:val="2C8C2358"/>
    <w:rsid w:val="2C8E4E6A"/>
    <w:rsid w:val="2C9927E7"/>
    <w:rsid w:val="2CA372E9"/>
    <w:rsid w:val="2CA56F60"/>
    <w:rsid w:val="2CAF2767"/>
    <w:rsid w:val="2CFB59F1"/>
    <w:rsid w:val="2D125EB2"/>
    <w:rsid w:val="2D1E05D5"/>
    <w:rsid w:val="2D5627A8"/>
    <w:rsid w:val="2D8D29A8"/>
    <w:rsid w:val="2D9A6090"/>
    <w:rsid w:val="2DBD4FAF"/>
    <w:rsid w:val="2E09336F"/>
    <w:rsid w:val="2E596F71"/>
    <w:rsid w:val="2EC27772"/>
    <w:rsid w:val="2ED0428B"/>
    <w:rsid w:val="2F137786"/>
    <w:rsid w:val="2F263E1B"/>
    <w:rsid w:val="2F337D9E"/>
    <w:rsid w:val="2FFC2D71"/>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7C392C"/>
    <w:rsid w:val="33C54618"/>
    <w:rsid w:val="34030AE2"/>
    <w:rsid w:val="34211C7C"/>
    <w:rsid w:val="347A4EB8"/>
    <w:rsid w:val="35183D8B"/>
    <w:rsid w:val="35387D52"/>
    <w:rsid w:val="356926AE"/>
    <w:rsid w:val="35746D1B"/>
    <w:rsid w:val="358E0757"/>
    <w:rsid w:val="35AE7101"/>
    <w:rsid w:val="35BB43C3"/>
    <w:rsid w:val="35F9212A"/>
    <w:rsid w:val="36281B26"/>
    <w:rsid w:val="36336C04"/>
    <w:rsid w:val="366043F8"/>
    <w:rsid w:val="366626F2"/>
    <w:rsid w:val="37426367"/>
    <w:rsid w:val="374F6194"/>
    <w:rsid w:val="377F6041"/>
    <w:rsid w:val="37BC7D72"/>
    <w:rsid w:val="37E15A1B"/>
    <w:rsid w:val="382E42A6"/>
    <w:rsid w:val="38A75F14"/>
    <w:rsid w:val="38BD2C6C"/>
    <w:rsid w:val="38FA0996"/>
    <w:rsid w:val="39467E4B"/>
    <w:rsid w:val="396E02FE"/>
    <w:rsid w:val="3982272C"/>
    <w:rsid w:val="399648C1"/>
    <w:rsid w:val="39BB3B43"/>
    <w:rsid w:val="3A156CE0"/>
    <w:rsid w:val="3A277789"/>
    <w:rsid w:val="3A2D66D3"/>
    <w:rsid w:val="3A891A0E"/>
    <w:rsid w:val="3A9620D1"/>
    <w:rsid w:val="3AA26C9B"/>
    <w:rsid w:val="3ADC5E36"/>
    <w:rsid w:val="3AFC2B33"/>
    <w:rsid w:val="3AFC41BB"/>
    <w:rsid w:val="3B7F2802"/>
    <w:rsid w:val="3B8B43E4"/>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495E7B"/>
    <w:rsid w:val="3F5B21D1"/>
    <w:rsid w:val="3FB60A94"/>
    <w:rsid w:val="3FBD74AC"/>
    <w:rsid w:val="402D7D95"/>
    <w:rsid w:val="402F67F2"/>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5465A74"/>
    <w:rsid w:val="457210D8"/>
    <w:rsid w:val="45E30915"/>
    <w:rsid w:val="45E40321"/>
    <w:rsid w:val="46180BED"/>
    <w:rsid w:val="46200329"/>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600E9"/>
    <w:rsid w:val="48E03D9C"/>
    <w:rsid w:val="49374149"/>
    <w:rsid w:val="49613924"/>
    <w:rsid w:val="496D0F3E"/>
    <w:rsid w:val="49E12571"/>
    <w:rsid w:val="49E378C6"/>
    <w:rsid w:val="4A834EBE"/>
    <w:rsid w:val="4B3040AF"/>
    <w:rsid w:val="4B55574A"/>
    <w:rsid w:val="4B8B3072"/>
    <w:rsid w:val="4BA90131"/>
    <w:rsid w:val="4BB36285"/>
    <w:rsid w:val="4BD35EC5"/>
    <w:rsid w:val="4BF55CE7"/>
    <w:rsid w:val="4C1B3C0A"/>
    <w:rsid w:val="4C4846F9"/>
    <w:rsid w:val="4CBC728A"/>
    <w:rsid w:val="4CFB69A6"/>
    <w:rsid w:val="4D2316EA"/>
    <w:rsid w:val="4D267491"/>
    <w:rsid w:val="4D830955"/>
    <w:rsid w:val="4DF641D3"/>
    <w:rsid w:val="4E3E017D"/>
    <w:rsid w:val="4E5F59DA"/>
    <w:rsid w:val="4EA44C2A"/>
    <w:rsid w:val="4EF23E87"/>
    <w:rsid w:val="4F2941D5"/>
    <w:rsid w:val="4FFC0A94"/>
    <w:rsid w:val="50081059"/>
    <w:rsid w:val="504F4E51"/>
    <w:rsid w:val="50F36CD9"/>
    <w:rsid w:val="512E641B"/>
    <w:rsid w:val="517D059D"/>
    <w:rsid w:val="51FA56D9"/>
    <w:rsid w:val="521723B7"/>
    <w:rsid w:val="523F7F97"/>
    <w:rsid w:val="53047529"/>
    <w:rsid w:val="53B9060B"/>
    <w:rsid w:val="54032F66"/>
    <w:rsid w:val="54107975"/>
    <w:rsid w:val="5451551D"/>
    <w:rsid w:val="548C2C0D"/>
    <w:rsid w:val="54D6790A"/>
    <w:rsid w:val="55205953"/>
    <w:rsid w:val="553A4CBA"/>
    <w:rsid w:val="557E6857"/>
    <w:rsid w:val="55E15918"/>
    <w:rsid w:val="55E65C45"/>
    <w:rsid w:val="55F9753C"/>
    <w:rsid w:val="55FA344A"/>
    <w:rsid w:val="5616542D"/>
    <w:rsid w:val="563A460F"/>
    <w:rsid w:val="566B6C45"/>
    <w:rsid w:val="56975E59"/>
    <w:rsid w:val="569C350B"/>
    <w:rsid w:val="56BF0EA2"/>
    <w:rsid w:val="56EA3918"/>
    <w:rsid w:val="57460503"/>
    <w:rsid w:val="575272DC"/>
    <w:rsid w:val="575370FA"/>
    <w:rsid w:val="57BD0A78"/>
    <w:rsid w:val="57DC6FDD"/>
    <w:rsid w:val="57FB5F50"/>
    <w:rsid w:val="580719A4"/>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D81A5C"/>
    <w:rsid w:val="620D1678"/>
    <w:rsid w:val="62B8321C"/>
    <w:rsid w:val="630962B4"/>
    <w:rsid w:val="63766DF5"/>
    <w:rsid w:val="63BE6B4B"/>
    <w:rsid w:val="63E41E32"/>
    <w:rsid w:val="6406254B"/>
    <w:rsid w:val="6421466C"/>
    <w:rsid w:val="643636FB"/>
    <w:rsid w:val="64522BD2"/>
    <w:rsid w:val="646766DC"/>
    <w:rsid w:val="64E010F2"/>
    <w:rsid w:val="6503009D"/>
    <w:rsid w:val="651E5E20"/>
    <w:rsid w:val="65535A1B"/>
    <w:rsid w:val="657E2D0B"/>
    <w:rsid w:val="65817DB1"/>
    <w:rsid w:val="65FE510C"/>
    <w:rsid w:val="660E507B"/>
    <w:rsid w:val="66373410"/>
    <w:rsid w:val="664D4AB5"/>
    <w:rsid w:val="66576902"/>
    <w:rsid w:val="669369C9"/>
    <w:rsid w:val="66943B2D"/>
    <w:rsid w:val="67165E6D"/>
    <w:rsid w:val="675A1CF7"/>
    <w:rsid w:val="6761194F"/>
    <w:rsid w:val="677F7400"/>
    <w:rsid w:val="67A01566"/>
    <w:rsid w:val="67A63D55"/>
    <w:rsid w:val="67A84465"/>
    <w:rsid w:val="67AB3B49"/>
    <w:rsid w:val="68384317"/>
    <w:rsid w:val="685F312A"/>
    <w:rsid w:val="68603781"/>
    <w:rsid w:val="68CC70D7"/>
    <w:rsid w:val="69291ACC"/>
    <w:rsid w:val="693F57CE"/>
    <w:rsid w:val="69433D4A"/>
    <w:rsid w:val="696B32FD"/>
    <w:rsid w:val="69797C2C"/>
    <w:rsid w:val="69AB78DD"/>
    <w:rsid w:val="69D171A3"/>
    <w:rsid w:val="69D74CDC"/>
    <w:rsid w:val="6A206938"/>
    <w:rsid w:val="6A2F1F48"/>
    <w:rsid w:val="6A6C5A40"/>
    <w:rsid w:val="6A9B47A1"/>
    <w:rsid w:val="6AFF14C0"/>
    <w:rsid w:val="6B0E13E7"/>
    <w:rsid w:val="6B1301B0"/>
    <w:rsid w:val="6B29781B"/>
    <w:rsid w:val="6B5068BA"/>
    <w:rsid w:val="6BFF0085"/>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1A03F2"/>
    <w:rsid w:val="701B6FD8"/>
    <w:rsid w:val="70206DE6"/>
    <w:rsid w:val="704266E6"/>
    <w:rsid w:val="706A7B0F"/>
    <w:rsid w:val="7080412D"/>
    <w:rsid w:val="70AA115D"/>
    <w:rsid w:val="7127456D"/>
    <w:rsid w:val="712914EF"/>
    <w:rsid w:val="717C199B"/>
    <w:rsid w:val="71EF2FA5"/>
    <w:rsid w:val="7210341D"/>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7946EE"/>
    <w:rsid w:val="75DF32A0"/>
    <w:rsid w:val="75ED010F"/>
    <w:rsid w:val="760A43BF"/>
    <w:rsid w:val="761321E0"/>
    <w:rsid w:val="761450E8"/>
    <w:rsid w:val="765D589D"/>
    <w:rsid w:val="76A133C0"/>
    <w:rsid w:val="76D36025"/>
    <w:rsid w:val="772F2936"/>
    <w:rsid w:val="776B6DA8"/>
    <w:rsid w:val="77AF6C41"/>
    <w:rsid w:val="77B21E06"/>
    <w:rsid w:val="780F0912"/>
    <w:rsid w:val="784F6AB7"/>
    <w:rsid w:val="78D61CB2"/>
    <w:rsid w:val="78F104FB"/>
    <w:rsid w:val="79493EB1"/>
    <w:rsid w:val="797C66CF"/>
    <w:rsid w:val="7A1A044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50A77"/>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2"/>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1"/>
    <w:next w:val="5"/>
    <w:link w:val="73"/>
    <w:qFormat/>
    <w:uiPriority w:val="0"/>
    <w:pPr>
      <w:numPr>
        <w:ilvl w:val="2"/>
        <w:numId w:val="1"/>
      </w:numPr>
      <w:spacing w:before="260" w:after="260" w:line="416" w:lineRule="auto"/>
      <w:outlineLvl w:val="2"/>
    </w:pPr>
    <w:rPr>
      <w:b/>
      <w:bCs/>
    </w:rPr>
  </w:style>
  <w:style w:type="paragraph" w:styleId="7">
    <w:name w:val="heading 4"/>
    <w:basedOn w:val="1"/>
    <w:next w:val="1"/>
    <w:link w:val="74"/>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8">
    <w:name w:val="heading 5"/>
    <w:basedOn w:val="1"/>
    <w:next w:val="1"/>
    <w:link w:val="75"/>
    <w:qFormat/>
    <w:uiPriority w:val="0"/>
    <w:pPr>
      <w:keepNext/>
      <w:keepLines/>
      <w:tabs>
        <w:tab w:val="left" w:pos="1008"/>
        <w:tab w:val="left" w:pos="2383"/>
      </w:tabs>
      <w:spacing w:before="280" w:after="290" w:line="372" w:lineRule="auto"/>
      <w:ind w:left="2196" w:hanging="528"/>
      <w:outlineLvl w:val="4"/>
    </w:pPr>
    <w:rPr>
      <w:b/>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link w:val="110"/>
    <w:qFormat/>
    <w:uiPriority w:val="0"/>
    <w:pPr>
      <w:widowControl/>
      <w:ind w:left="1260" w:hanging="1260"/>
      <w:jc w:val="left"/>
    </w:pPr>
    <w:rPr>
      <w:rFonts w:eastAsia="MS Mincho"/>
      <w:kern w:val="0"/>
      <w:sz w:val="20"/>
    </w:rPr>
  </w:style>
  <w:style w:type="paragraph" w:customStyle="1" w:styleId="6">
    <w:name w:val="Doc-text2"/>
    <w:basedOn w:val="1"/>
    <w:link w:val="130"/>
    <w:qFormat/>
    <w:uiPriority w:val="0"/>
    <w:pPr>
      <w:widowControl/>
      <w:tabs>
        <w:tab w:val="left" w:pos="1622"/>
      </w:tabs>
      <w:ind w:left="1622" w:hanging="363"/>
      <w:jc w:val="left"/>
    </w:pPr>
    <w:rPr>
      <w:rFonts w:eastAsia="MS Mincho"/>
      <w:kern w:val="0"/>
      <w:sz w:val="20"/>
    </w:rPr>
  </w:style>
  <w:style w:type="paragraph" w:styleId="13">
    <w:name w:val="List 3"/>
    <w:basedOn w:val="1"/>
    <w:qFormat/>
    <w:uiPriority w:val="0"/>
    <w:pPr>
      <w:widowControl/>
      <w:spacing w:before="40"/>
      <w:ind w:left="849" w:hanging="283"/>
      <w:contextualSpacing/>
      <w:jc w:val="left"/>
    </w:pPr>
    <w:rPr>
      <w:rFonts w:eastAsia="MS Mincho"/>
      <w:kern w:val="0"/>
      <w:sz w:val="20"/>
    </w:r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5"/>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4"/>
    <w:qFormat/>
    <w:uiPriority w:val="0"/>
    <w:pPr>
      <w:widowControl/>
      <w:spacing w:before="40" w:after="120"/>
      <w:jc w:val="left"/>
    </w:pPr>
    <w:rPr>
      <w:rFonts w:eastAsia="MS Mincho"/>
      <w:kern w:val="0"/>
      <w:sz w:val="20"/>
    </w:rPr>
  </w:style>
  <w:style w:type="paragraph" w:styleId="29">
    <w:name w:val="List 2"/>
    <w:basedOn w:val="1"/>
    <w:unhideWhenUsed/>
    <w:qFormat/>
    <w:uiPriority w:val="0"/>
    <w:pPr>
      <w:ind w:left="100" w:leftChars="200" w:hanging="200" w:hangingChars="200"/>
      <w:contextualSpacing/>
    </w:p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rPr>
  </w:style>
  <w:style w:type="paragraph" w:styleId="32">
    <w:name w:val="toc 3"/>
    <w:basedOn w:val="1"/>
    <w:next w:val="1"/>
    <w:qFormat/>
    <w:uiPriority w:val="39"/>
    <w:pPr>
      <w:tabs>
        <w:tab w:val="right" w:leader="dot" w:pos="9241"/>
      </w:tabs>
      <w:ind w:firstLine="100" w:firstLineChars="100"/>
      <w:jc w:val="left"/>
    </w:pPr>
    <w:rPr>
      <w:rFonts w:ascii="宋体"/>
    </w:rPr>
  </w:style>
  <w:style w:type="paragraph" w:styleId="33">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4">
    <w:name w:val="List Bullet 5"/>
    <w:basedOn w:val="18"/>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style>
  <w:style w:type="paragraph" w:styleId="42">
    <w:name w:val="toc 4"/>
    <w:basedOn w:val="1"/>
    <w:next w:val="1"/>
    <w:qFormat/>
    <w:uiPriority w:val="0"/>
    <w:pPr>
      <w:tabs>
        <w:tab w:val="right" w:leader="dot" w:pos="9241"/>
      </w:tabs>
      <w:ind w:firstLine="200" w:firstLineChars="200"/>
      <w:jc w:val="left"/>
    </w:pPr>
    <w:rPr>
      <w:rFonts w:ascii="宋体"/>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3">
    <w:name w:val="toc 2"/>
    <w:basedOn w:val="1"/>
    <w:next w:val="1"/>
    <w:qFormat/>
    <w:uiPriority w:val="39"/>
    <w:pPr>
      <w:tabs>
        <w:tab w:val="right" w:leader="dot" w:pos="9242"/>
      </w:tabs>
    </w:pPr>
    <w:rPr>
      <w:rFonts w:ascii="宋体"/>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6"/>
    <w:next w:val="26"/>
    <w:link w:val="91"/>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8"/>
    <w:qFormat/>
    <w:uiPriority w:val="0"/>
    <w:rPr>
      <w:kern w:val="2"/>
      <w:sz w:val="18"/>
      <w:szCs w:val="18"/>
    </w:rPr>
  </w:style>
  <w:style w:type="paragraph" w:styleId="69">
    <w:name w:val="List Paragraph"/>
    <w:basedOn w:val="1"/>
    <w:link w:val="272"/>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b/>
      <w:bCs/>
      <w:kern w:val="2"/>
      <w:sz w:val="32"/>
      <w:szCs w:val="32"/>
    </w:rPr>
  </w:style>
  <w:style w:type="character" w:customStyle="1" w:styleId="74">
    <w:name w:val="标题 4 Char"/>
    <w:basedOn w:val="60"/>
    <w:link w:val="7"/>
    <w:qFormat/>
    <w:uiPriority w:val="0"/>
    <w:rPr>
      <w:rFonts w:ascii="Arial" w:hAnsi="Arial" w:eastAsia="黑体"/>
      <w:b/>
      <w:kern w:val="2"/>
      <w:sz w:val="28"/>
      <w:szCs w:val="24"/>
    </w:rPr>
  </w:style>
  <w:style w:type="character" w:customStyle="1" w:styleId="75">
    <w:name w:val="标题 5 Char"/>
    <w:basedOn w:val="60"/>
    <w:link w:val="8"/>
    <w:qFormat/>
    <w:uiPriority w:val="0"/>
    <w:rPr>
      <w:b/>
      <w:kern w:val="2"/>
      <w:sz w:val="28"/>
      <w:szCs w:val="24"/>
    </w:rPr>
  </w:style>
  <w:style w:type="character" w:customStyle="1" w:styleId="76">
    <w:name w:val="标题 6 Char"/>
    <w:basedOn w:val="60"/>
    <w:link w:val="9"/>
    <w:qFormat/>
    <w:uiPriority w:val="0"/>
    <w:rPr>
      <w:rFonts w:ascii="Arial" w:hAnsi="Arial" w:eastAsia="黑体"/>
      <w:b/>
      <w:kern w:val="2"/>
      <w:sz w:val="24"/>
      <w:szCs w:val="24"/>
    </w:rPr>
  </w:style>
  <w:style w:type="character" w:customStyle="1" w:styleId="77">
    <w:name w:val="标题 7 Char"/>
    <w:basedOn w:val="60"/>
    <w:link w:val="10"/>
    <w:qFormat/>
    <w:uiPriority w:val="0"/>
    <w:rPr>
      <w:b/>
      <w:kern w:val="2"/>
      <w:sz w:val="24"/>
      <w:szCs w:val="24"/>
    </w:rPr>
  </w:style>
  <w:style w:type="character" w:customStyle="1" w:styleId="78">
    <w:name w:val="标题 8 Char"/>
    <w:basedOn w:val="60"/>
    <w:link w:val="11"/>
    <w:qFormat/>
    <w:uiPriority w:val="0"/>
    <w:rPr>
      <w:rFonts w:ascii="Arial" w:hAnsi="Arial" w:eastAsia="黑体"/>
      <w:kern w:val="2"/>
      <w:sz w:val="24"/>
      <w:szCs w:val="24"/>
    </w:rPr>
  </w:style>
  <w:style w:type="character" w:customStyle="1" w:styleId="79">
    <w:name w:val="标题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
    <w:next w:val="6"/>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5"/>
    <w:link w:val="119"/>
    <w:qFormat/>
    <w:uiPriority w:val="0"/>
    <w:pPr>
      <w:widowControl/>
      <w:spacing w:before="240" w:after="60"/>
      <w:jc w:val="left"/>
      <w:outlineLvl w:val="8"/>
    </w:pPr>
    <w:rPr>
      <w:rFonts w:eastAsia="MS Mincho"/>
      <w:b/>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3"/>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批注主题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9"/>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5"/>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9"/>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纯文本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60"/>
    <w:link w:val="28"/>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5"/>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40"/>
    <w:qFormat/>
    <w:uiPriority w:val="99"/>
    <w:rPr>
      <w:kern w:val="2"/>
      <w:sz w:val="18"/>
      <w:szCs w:val="18"/>
    </w:rPr>
  </w:style>
  <w:style w:type="character" w:customStyle="1" w:styleId="130">
    <w:name w:val="Doc-text2 Char Char"/>
    <w:basedOn w:val="60"/>
    <w:link w:val="6"/>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脚注文本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5"/>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6"/>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60"/>
    <w:link w:val="26"/>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6"/>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5"/>
    <w:next w:val="45"/>
    <w:qFormat/>
    <w:uiPriority w:val="0"/>
    <w:pPr>
      <w:ind w:firstLine="360"/>
    </w:pPr>
    <w:rPr>
      <w:sz w:val="18"/>
    </w:rPr>
  </w:style>
  <w:style w:type="paragraph" w:customStyle="1" w:styleId="202">
    <w:name w:val="图标脚注说明"/>
    <w:basedOn w:val="45"/>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5"/>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
    <w:qFormat/>
    <w:uiPriority w:val="0"/>
  </w:style>
  <w:style w:type="paragraph" w:customStyle="1" w:styleId="215">
    <w:name w:val="B5"/>
    <w:basedOn w:val="48"/>
    <w:qFormat/>
    <w:uiPriority w:val="0"/>
  </w:style>
  <w:style w:type="paragraph" w:customStyle="1" w:styleId="216">
    <w:name w:val="其他发布日期"/>
    <w:basedOn w:val="165"/>
    <w:qFormat/>
    <w:uiPriority w:val="0"/>
  </w:style>
  <w:style w:type="paragraph" w:customStyle="1" w:styleId="217">
    <w:name w:val="B4"/>
    <w:basedOn w:val="49"/>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5"/>
    <w:qFormat/>
    <w:uiPriority w:val="0"/>
    <w:pPr>
      <w:spacing w:line="14" w:lineRule="exact"/>
      <w:ind w:left="811" w:hanging="448"/>
      <w:jc w:val="center"/>
      <w:outlineLvl w:val="0"/>
    </w:pPr>
    <w:rPr>
      <w:color w:val="FFFFFF"/>
    </w:rPr>
  </w:style>
  <w:style w:type="paragraph" w:customStyle="1" w:styleId="222">
    <w:name w:val="附录图标题"/>
    <w:basedOn w:val="1"/>
    <w:next w:val="45"/>
    <w:qFormat/>
    <w:uiPriority w:val="0"/>
    <w:pPr>
      <w:tabs>
        <w:tab w:val="left" w:pos="363"/>
      </w:tabs>
      <w:spacing w:beforeLines="50" w:afterLines="50"/>
      <w:jc w:val="center"/>
    </w:pPr>
    <w:rPr>
      <w:rFonts w:ascii="黑体" w:eastAsia="黑体"/>
    </w:rPr>
  </w:style>
  <w:style w:type="paragraph" w:customStyle="1" w:styleId="223">
    <w:name w:val="附录标题"/>
    <w:basedOn w:val="45"/>
    <w:next w:val="45"/>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60"/>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9"/>
    <w:link w:val="283"/>
    <w:qFormat/>
    <w:uiPriority w:val="0"/>
    <w:pPr>
      <w:numPr>
        <w:ilvl w:val="0"/>
        <w:numId w:val="3"/>
      </w:numPr>
      <w:ind w:firstLine="0" w:firstLineChars="0"/>
    </w:pPr>
    <w:rPr>
      <w:rFonts w:cs="Arial"/>
      <w:color w:val="000000"/>
    </w:rPr>
  </w:style>
  <w:style w:type="paragraph" w:customStyle="1" w:styleId="282">
    <w:name w:val="3GPPObservation"/>
    <w:basedOn w:val="69"/>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1</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2021-05-11T06:42:07Z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