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FEFA2" w14:textId="58E0B890" w:rsidR="00170CDB" w:rsidRPr="005D7AB5" w:rsidRDefault="00B1119B" w:rsidP="005D7AB5">
      <w:pPr>
        <w:overflowPunct w:val="0"/>
        <w:autoSpaceDE w:val="0"/>
        <w:autoSpaceDN w:val="0"/>
        <w:adjustRightInd w:val="0"/>
        <w:snapToGrid w:val="0"/>
        <w:spacing w:before="156"/>
        <w:jc w:val="left"/>
        <w:textAlignment w:val="baseline"/>
        <w:rPr>
          <w:rFonts w:ascii="Arial" w:hAnsi="Arial" w:cs="Arial"/>
          <w:b/>
          <w:bCs/>
          <w:kern w:val="0"/>
          <w:sz w:val="24"/>
        </w:rPr>
      </w:pPr>
      <w:r w:rsidRPr="00961D5E">
        <w:rPr>
          <w:rFonts w:ascii="Arial" w:hAnsi="Arial" w:cs="Arial"/>
          <w:b/>
          <w:sz w:val="24"/>
        </w:rPr>
        <w:t>3GPP TSG RAN</w:t>
      </w:r>
      <w:r>
        <w:rPr>
          <w:rFonts w:ascii="Arial" w:hAnsi="Arial" w:cs="Arial"/>
          <w:b/>
          <w:sz w:val="24"/>
        </w:rPr>
        <w:t xml:space="preserve"> WG2</w:t>
      </w:r>
      <w:r w:rsidRPr="00961D5E">
        <w:rPr>
          <w:rFonts w:ascii="Arial" w:hAnsi="Arial" w:cs="Arial"/>
          <w:b/>
          <w:sz w:val="24"/>
        </w:rPr>
        <w:t xml:space="preserve"> Meeting #</w:t>
      </w:r>
      <w:r>
        <w:rPr>
          <w:rFonts w:ascii="Arial" w:hAnsi="Arial" w:cs="Arial"/>
          <w:b/>
          <w:sz w:val="24"/>
        </w:rPr>
        <w:t>11</w:t>
      </w:r>
      <w:r w:rsidR="003E7586">
        <w:rPr>
          <w:rFonts w:ascii="Arial" w:hAnsi="Arial" w:cs="Arial"/>
          <w:b/>
          <w:sz w:val="24"/>
        </w:rPr>
        <w:t>4</w:t>
      </w:r>
      <w:r>
        <w:rPr>
          <w:rFonts w:ascii="Arial" w:hAnsi="Arial" w:cs="Arial"/>
          <w:b/>
          <w:sz w:val="24"/>
        </w:rPr>
        <w:t>-</w:t>
      </w:r>
      <w:r w:rsidRPr="00961D5E">
        <w:rPr>
          <w:rFonts w:ascii="Arial" w:hAnsi="Arial" w:cs="Arial"/>
          <w:b/>
          <w:sz w:val="24"/>
        </w:rPr>
        <w:t>e</w:t>
      </w:r>
      <w:r w:rsidR="00C76477">
        <w:rPr>
          <w:rFonts w:ascii="Arial" w:hAnsi="Arial" w:cs="Arial" w:hint="eastAsia"/>
          <w:b/>
          <w:bCs/>
          <w:kern w:val="0"/>
          <w:sz w:val="24"/>
        </w:rPr>
        <w:t xml:space="preserve">                </w:t>
      </w:r>
      <w:r w:rsidR="00C76477">
        <w:rPr>
          <w:rFonts w:ascii="Arial" w:hAnsi="Arial" w:cs="Arial"/>
          <w:b/>
          <w:bCs/>
          <w:kern w:val="0"/>
          <w:sz w:val="24"/>
        </w:rPr>
        <w:t xml:space="preserve">    </w:t>
      </w:r>
      <w:r w:rsidR="00C76477">
        <w:rPr>
          <w:rFonts w:ascii="Arial" w:hAnsi="Arial" w:cs="Arial" w:hint="eastAsia"/>
          <w:b/>
          <w:bCs/>
          <w:kern w:val="0"/>
          <w:sz w:val="24"/>
        </w:rPr>
        <w:t xml:space="preserve">   </w:t>
      </w:r>
      <w:r w:rsidR="00F36F60">
        <w:rPr>
          <w:rFonts w:ascii="Arial" w:hAnsi="Arial" w:cs="Arial"/>
          <w:b/>
          <w:bCs/>
          <w:kern w:val="0"/>
          <w:sz w:val="24"/>
        </w:rPr>
        <w:t xml:space="preserve">       </w:t>
      </w:r>
      <w:r w:rsidR="00D66979">
        <w:rPr>
          <w:rFonts w:ascii="Arial" w:hAnsi="Arial" w:cs="Arial"/>
          <w:b/>
          <w:bCs/>
          <w:kern w:val="0"/>
          <w:sz w:val="24"/>
        </w:rPr>
        <w:tab/>
      </w:r>
      <w:r w:rsidR="003E7586">
        <w:rPr>
          <w:rFonts w:ascii="Arial" w:hAnsi="Arial" w:cs="Arial"/>
          <w:b/>
          <w:bCs/>
          <w:kern w:val="0"/>
          <w:sz w:val="24"/>
        </w:rPr>
        <w:tab/>
      </w:r>
      <w:r w:rsidR="00C76477">
        <w:rPr>
          <w:rFonts w:ascii="Arial" w:hAnsi="Arial" w:cs="Arial" w:hint="eastAsia"/>
          <w:b/>
          <w:bCs/>
          <w:kern w:val="0"/>
          <w:sz w:val="24"/>
          <w:lang w:val="en-GB"/>
        </w:rPr>
        <w:t>R</w:t>
      </w:r>
      <w:r>
        <w:rPr>
          <w:rFonts w:ascii="Arial" w:hAnsi="Arial" w:cs="Arial"/>
          <w:b/>
          <w:bCs/>
          <w:kern w:val="0"/>
          <w:sz w:val="24"/>
          <w:lang w:val="en-GB"/>
        </w:rPr>
        <w:t>2</w:t>
      </w:r>
      <w:r w:rsidR="00C76477">
        <w:rPr>
          <w:rFonts w:ascii="Arial" w:hAnsi="Arial" w:cs="Arial" w:hint="eastAsia"/>
          <w:b/>
          <w:bCs/>
          <w:kern w:val="0"/>
          <w:sz w:val="24"/>
          <w:lang w:val="en-GB"/>
        </w:rPr>
        <w:t>-</w:t>
      </w:r>
      <w:r>
        <w:rPr>
          <w:rFonts w:ascii="Arial" w:hAnsi="Arial" w:cs="Arial"/>
          <w:b/>
          <w:bCs/>
          <w:kern w:val="0"/>
          <w:sz w:val="24"/>
          <w:lang w:val="en-GB"/>
        </w:rPr>
        <w:t>2</w:t>
      </w:r>
      <w:r w:rsidR="00AB5281">
        <w:rPr>
          <w:rFonts w:ascii="Arial" w:hAnsi="Arial" w:cs="Arial"/>
          <w:b/>
          <w:bCs/>
          <w:kern w:val="0"/>
          <w:sz w:val="24"/>
          <w:lang w:val="en-GB"/>
        </w:rPr>
        <w:t>1</w:t>
      </w:r>
      <w:r w:rsidR="0048359F">
        <w:rPr>
          <w:rFonts w:ascii="Arial" w:hAnsi="Arial" w:cs="Arial"/>
          <w:b/>
          <w:bCs/>
          <w:kern w:val="0"/>
          <w:sz w:val="24"/>
          <w:lang w:val="en-GB"/>
        </w:rPr>
        <w:t>06081</w:t>
      </w:r>
      <w:r w:rsidR="005D7AB5">
        <w:rPr>
          <w:rFonts w:ascii="Arial" w:hAnsi="Arial" w:cs="Arial"/>
          <w:b/>
          <w:bCs/>
          <w:kern w:val="0"/>
          <w:sz w:val="24"/>
        </w:rPr>
        <w:br/>
      </w:r>
      <w:r w:rsidR="00C76477">
        <w:rPr>
          <w:rFonts w:ascii="Arial" w:hAnsi="Arial" w:cs="Arial"/>
          <w:b/>
          <w:bCs/>
          <w:kern w:val="0"/>
          <w:sz w:val="24"/>
        </w:rPr>
        <w:t>Electronic Meeting</w:t>
      </w:r>
      <w:r w:rsidR="00C76477">
        <w:rPr>
          <w:rFonts w:ascii="Arial" w:hAnsi="Arial" w:cs="Arial" w:hint="eastAsia"/>
          <w:b/>
          <w:bCs/>
          <w:kern w:val="0"/>
          <w:sz w:val="24"/>
        </w:rPr>
        <w:t>,</w:t>
      </w:r>
      <w:r w:rsidR="00C76477">
        <w:rPr>
          <w:rFonts w:ascii="Arial" w:hAnsi="Arial" w:cs="Arial"/>
          <w:b/>
          <w:bCs/>
          <w:kern w:val="0"/>
          <w:sz w:val="24"/>
          <w:lang w:val="en-GB"/>
        </w:rPr>
        <w:t xml:space="preserve"> </w:t>
      </w:r>
      <w:r w:rsidR="003E7586">
        <w:rPr>
          <w:rFonts w:ascii="Arial" w:hAnsi="Arial" w:cs="Arial"/>
          <w:b/>
          <w:bCs/>
          <w:kern w:val="0"/>
          <w:sz w:val="24"/>
          <w:lang w:val="en-GB"/>
        </w:rPr>
        <w:t>May 19</w:t>
      </w:r>
      <w:r w:rsidR="00C76477">
        <w:rPr>
          <w:rFonts w:ascii="Arial" w:hAnsi="Arial" w:cs="Arial"/>
          <w:b/>
          <w:bCs/>
          <w:kern w:val="0"/>
          <w:sz w:val="24"/>
          <w:lang w:val="en-GB"/>
        </w:rPr>
        <w:t xml:space="preserve"> – </w:t>
      </w:r>
      <w:r w:rsidR="004C6FB7">
        <w:rPr>
          <w:rFonts w:ascii="Arial" w:hAnsi="Arial" w:cs="Arial"/>
          <w:b/>
          <w:bCs/>
          <w:kern w:val="0"/>
          <w:sz w:val="24"/>
        </w:rPr>
        <w:t>Ma</w:t>
      </w:r>
      <w:r w:rsidR="003E7586">
        <w:rPr>
          <w:rFonts w:ascii="Arial" w:hAnsi="Arial" w:cs="Arial"/>
          <w:b/>
          <w:bCs/>
          <w:kern w:val="0"/>
          <w:sz w:val="24"/>
        </w:rPr>
        <w:t>y 27</w:t>
      </w:r>
      <w:r w:rsidR="00C76477">
        <w:rPr>
          <w:rFonts w:ascii="Arial" w:hAnsi="Arial" w:cs="Arial" w:hint="eastAsia"/>
          <w:b/>
          <w:bCs/>
          <w:kern w:val="0"/>
          <w:sz w:val="24"/>
          <w:lang w:val="en-GB"/>
        </w:rPr>
        <w:t xml:space="preserve"> </w:t>
      </w:r>
      <w:r w:rsidR="00C76477">
        <w:rPr>
          <w:rFonts w:ascii="Arial" w:hAnsi="Arial" w:cs="Arial"/>
          <w:b/>
          <w:bCs/>
          <w:kern w:val="0"/>
          <w:sz w:val="24"/>
          <w:lang w:val="en-GB"/>
        </w:rPr>
        <w:t>2021</w:t>
      </w:r>
      <w:r w:rsidR="003E7586">
        <w:rPr>
          <w:rFonts w:ascii="Arial" w:hAnsi="Arial" w:cs="Arial"/>
          <w:b/>
          <w:bCs/>
          <w:kern w:val="0"/>
          <w:sz w:val="24"/>
          <w:lang w:val="en-GB"/>
        </w:rPr>
        <w:tab/>
      </w:r>
      <w:r w:rsidR="00C76477">
        <w:rPr>
          <w:rFonts w:ascii="Arial" w:hAnsi="Arial" w:cs="Arial"/>
          <w:b/>
          <w:bCs/>
          <w:kern w:val="0"/>
          <w:sz w:val="24"/>
          <w:lang w:val="en-GB"/>
        </w:rPr>
        <w:t xml:space="preserve"> </w:t>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p>
    <w:p w14:paraId="3F19054D" w14:textId="77777777" w:rsidR="00170CDB" w:rsidRDefault="00170CDB">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DED2095" w14:textId="6434F720"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B26D97">
        <w:rPr>
          <w:rFonts w:ascii="Arial" w:hAnsi="Arial" w:cs="Arial"/>
          <w:b/>
          <w:bCs/>
          <w:snapToGrid w:val="0"/>
          <w:kern w:val="0"/>
          <w:sz w:val="24"/>
        </w:rPr>
        <w:t>Apple Inc</w:t>
      </w:r>
    </w:p>
    <w:p w14:paraId="06A6090B" w14:textId="1332C6EB" w:rsidR="00B1119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7701FC">
        <w:rPr>
          <w:rFonts w:ascii="Arial" w:hAnsi="Arial" w:cs="Arial"/>
          <w:b/>
          <w:sz w:val="24"/>
        </w:rPr>
        <w:t xml:space="preserve">RAN2 </w:t>
      </w:r>
      <w:proofErr w:type="spellStart"/>
      <w:r w:rsidR="007701FC">
        <w:rPr>
          <w:rFonts w:ascii="Arial" w:hAnsi="Arial" w:cs="Arial"/>
          <w:b/>
          <w:sz w:val="24"/>
        </w:rPr>
        <w:t>datapath</w:t>
      </w:r>
      <w:proofErr w:type="spellEnd"/>
      <w:r w:rsidR="007701FC">
        <w:rPr>
          <w:rFonts w:ascii="Arial" w:hAnsi="Arial" w:cs="Arial"/>
          <w:b/>
          <w:sz w:val="24"/>
        </w:rPr>
        <w:t xml:space="preserve"> impact from &gt;52GHz</w:t>
      </w:r>
      <w:r w:rsidR="00B1119B">
        <w:rPr>
          <w:rFonts w:ascii="Arial" w:hAnsi="Arial" w:cs="Arial"/>
          <w:b/>
          <w:bCs/>
          <w:snapToGrid w:val="0"/>
          <w:kern w:val="0"/>
          <w:sz w:val="24"/>
        </w:rPr>
        <w:t xml:space="preserve"> </w:t>
      </w:r>
    </w:p>
    <w:p w14:paraId="3DFCE5B5" w14:textId="008A15D3" w:rsidR="00170CD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7701FC">
        <w:rPr>
          <w:rFonts w:ascii="Arial" w:hAnsi="Arial" w:cs="Arial"/>
          <w:b/>
          <w:sz w:val="24"/>
        </w:rPr>
        <w:t>8.18</w:t>
      </w:r>
    </w:p>
    <w:p w14:paraId="2A052CEB" w14:textId="77777777"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1F67847E" w14:textId="56462A67" w:rsidR="00170CDB" w:rsidRPr="001A0CD5" w:rsidRDefault="00C76477" w:rsidP="001A0CD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Background</w:t>
      </w:r>
    </w:p>
    <w:p w14:paraId="21BA4B9B" w14:textId="6DE7FC22" w:rsidR="007701FC" w:rsidRDefault="007701FC" w:rsidP="007701FC">
      <w:pPr>
        <w:rPr>
          <w:bCs/>
        </w:rPr>
      </w:pPr>
      <w:r w:rsidRPr="007701FC">
        <w:rPr>
          <w:bCs/>
          <w:lang w:val="en-GB"/>
        </w:rPr>
        <w:t xml:space="preserve">According to the outcome of the study item on </w:t>
      </w:r>
      <w:r w:rsidRPr="007701FC">
        <w:rPr>
          <w:rFonts w:hint="eastAsia"/>
          <w:bCs/>
        </w:rPr>
        <w:t>s</w:t>
      </w:r>
      <w:r w:rsidR="00C96E3F" w:rsidRPr="007701FC">
        <w:rPr>
          <w:bCs/>
          <w:lang w:val="en-GB"/>
        </w:rPr>
        <w:t>supporting</w:t>
      </w:r>
      <w:r w:rsidRPr="007701FC">
        <w:rPr>
          <w:bCs/>
          <w:lang w:val="en-GB"/>
        </w:rPr>
        <w:t xml:space="preserve"> NR above 52.6</w:t>
      </w:r>
      <w:r w:rsidRPr="007701FC">
        <w:rPr>
          <w:rFonts w:hint="eastAsia"/>
          <w:bCs/>
        </w:rPr>
        <w:t xml:space="preserve"> </w:t>
      </w:r>
      <w:r w:rsidRPr="007701FC">
        <w:rPr>
          <w:bCs/>
          <w:lang w:val="en-GB"/>
        </w:rPr>
        <w:t xml:space="preserve">GHz </w:t>
      </w:r>
      <w:r w:rsidRPr="007701FC">
        <w:rPr>
          <w:rFonts w:hint="eastAsia"/>
          <w:bCs/>
        </w:rPr>
        <w:t>[1]</w:t>
      </w:r>
      <w:r w:rsidRPr="007701FC">
        <w:rPr>
          <w:bCs/>
          <w:lang w:val="en-GB"/>
        </w:rPr>
        <w:t xml:space="preserve">, </w:t>
      </w:r>
      <w:r w:rsidRPr="007701FC">
        <w:rPr>
          <w:rFonts w:hint="eastAsia"/>
          <w:bCs/>
        </w:rPr>
        <w:t xml:space="preserve">in </w:t>
      </w:r>
      <w:r w:rsidRPr="007701FC">
        <w:rPr>
          <w:rFonts w:hint="eastAsia"/>
        </w:rPr>
        <w:t xml:space="preserve">3GPP RAN #91 plenary e-meeting in March 2021, </w:t>
      </w:r>
      <w:r w:rsidRPr="007701FC">
        <w:rPr>
          <w:rFonts w:hint="eastAsia"/>
          <w:bCs/>
        </w:rPr>
        <w:t xml:space="preserve">an update WID </w:t>
      </w:r>
      <w:r w:rsidRPr="007701FC">
        <w:rPr>
          <w:rFonts w:hint="eastAsia"/>
        </w:rPr>
        <w:t>RP-210862 [2] was approved</w:t>
      </w:r>
      <w:r w:rsidRPr="007701FC">
        <w:rPr>
          <w:rFonts w:hint="eastAsia"/>
          <w:bCs/>
        </w:rPr>
        <w:t xml:space="preserve"> to extend NR operation up to 71 GHz considering both licensed and unlicensed operation. </w:t>
      </w:r>
    </w:p>
    <w:p w14:paraId="77C09531" w14:textId="17A55A9F" w:rsidR="00C96E3F" w:rsidRPr="007701FC" w:rsidRDefault="00C96E3F" w:rsidP="007701FC">
      <w:pPr>
        <w:rPr>
          <w:bCs/>
        </w:rPr>
      </w:pPr>
      <w:r>
        <w:rPr>
          <w:bCs/>
        </w:rPr>
        <w:t>The WID states that RAN2 implement the design aspects related to this operation. In this paper, we discuss the data-path impact from above 52.6 GHz operation and provide some proposals for discussion.</w:t>
      </w:r>
    </w:p>
    <w:p w14:paraId="16681698" w14:textId="02F33D6C" w:rsidR="00170CDB" w:rsidRDefault="002927DF">
      <w:r>
        <w:t xml:space="preserve"> </w:t>
      </w:r>
      <w:r w:rsidR="005D7AB5">
        <w:t xml:space="preserve"> </w:t>
      </w:r>
    </w:p>
    <w:p w14:paraId="32378F40" w14:textId="7CAE1428" w:rsidR="00170CDB" w:rsidRDefault="00C96E3F">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Faster data-rates with higher sub-carrier-spacing</w:t>
      </w:r>
    </w:p>
    <w:p w14:paraId="44E35124" w14:textId="1F431BB1" w:rsidR="005D309F" w:rsidRDefault="00C96E3F" w:rsidP="0056694F">
      <w:r>
        <w:t>It is agreed in RAN1 that 960 kHz sub-carrier spacing is allowed for operation when using above 52 GHz spectrum. While the bandwidth in terms of PRBs has not increased in these carriers (275PRB is still the max limit), the operation at higher sub-carrier spacing implies that the data-rate is still higher due to shorter slot times.</w:t>
      </w:r>
    </w:p>
    <w:p w14:paraId="4FD9A1F7" w14:textId="3EFFF78B" w:rsidR="00EB4291" w:rsidRPr="00EB4291" w:rsidRDefault="00EB4291" w:rsidP="0056694F">
      <w:pPr>
        <w:rPr>
          <w:b/>
          <w:bCs/>
        </w:rPr>
      </w:pPr>
      <w:r w:rsidRPr="00EB4291">
        <w:rPr>
          <w:b/>
          <w:bCs/>
        </w:rPr>
        <w:t>Observation 1:</w:t>
      </w:r>
      <w:r>
        <w:rPr>
          <w:b/>
          <w:bCs/>
        </w:rPr>
        <w:t xml:space="preserve"> </w:t>
      </w:r>
      <w:r w:rsidR="00C96E3F">
        <w:rPr>
          <w:b/>
          <w:bCs/>
        </w:rPr>
        <w:t>Support of 480/960 SCS for above 52.6GHz operation still increases the data-rate due to shorter time in slot, even when the bandwidth in PRBs is still the same (275 PRBs).</w:t>
      </w:r>
    </w:p>
    <w:p w14:paraId="52AF5F23" w14:textId="336A2438" w:rsidR="00C96E3F" w:rsidRPr="00C96E3F" w:rsidRDefault="00C96E3F" w:rsidP="00C96E3F">
      <w:pPr>
        <w:pStyle w:val="Heading2"/>
        <w:numPr>
          <w:ilvl w:val="0"/>
          <w:numId w:val="0"/>
        </w:numPr>
        <w:rPr>
          <w:sz w:val="28"/>
          <w:szCs w:val="28"/>
        </w:rPr>
      </w:pPr>
      <w:r>
        <w:rPr>
          <w:sz w:val="28"/>
          <w:szCs w:val="28"/>
        </w:rPr>
        <w:t>2</w:t>
      </w:r>
      <w:r w:rsidRPr="00761688">
        <w:rPr>
          <w:sz w:val="28"/>
          <w:szCs w:val="28"/>
        </w:rPr>
        <w:t>.</w:t>
      </w:r>
      <w:r>
        <w:rPr>
          <w:sz w:val="28"/>
          <w:szCs w:val="28"/>
        </w:rPr>
        <w:t>1</w:t>
      </w:r>
      <w:r w:rsidRPr="00761688">
        <w:rPr>
          <w:sz w:val="28"/>
          <w:szCs w:val="28"/>
        </w:rPr>
        <w:t xml:space="preserve"> </w:t>
      </w:r>
      <w:r>
        <w:rPr>
          <w:sz w:val="28"/>
          <w:szCs w:val="28"/>
        </w:rPr>
        <w:t>RTT and L2 buffer impact</w:t>
      </w:r>
    </w:p>
    <w:p w14:paraId="19B6C162" w14:textId="67911BE4" w:rsidR="00C96E3F" w:rsidRDefault="00C96E3F" w:rsidP="00C96E3F">
      <w:r>
        <w:t>The maximum L2 buffer size for effective transmission of RLC packets using AM is dependent on the RTT value. And as stated above, the RTT value is dependent on the transmission time interval, which is dependent on the sub-carrier spacing used. TS 38.306 defines the RTT of each SCS, and this needs to be adjusted for higher SCS that will be part of &gt;52 GHz operation.</w:t>
      </w:r>
    </w:p>
    <w:p w14:paraId="44E7D757" w14:textId="357FB763" w:rsidR="00E26F3A" w:rsidRDefault="00E26F3A" w:rsidP="00C96E3F">
      <w:r>
        <w:t>With the RTT updated, the L2 buffer calculation at the UE would reflect the increased data-rate and no change in L2 buffer calculation would be needed.</w:t>
      </w:r>
    </w:p>
    <w:p w14:paraId="65D6D6E5" w14:textId="4A5B1761" w:rsidR="00355F2F" w:rsidRPr="00F11278" w:rsidRDefault="00E26F3A" w:rsidP="00355F2F">
      <w:pPr>
        <w:pStyle w:val="TH"/>
        <w:ind w:firstLine="420"/>
      </w:pPr>
      <w:r>
        <w:lastRenderedPageBreak/>
        <w:t xml:space="preserve">TS 38.306 </w:t>
      </w:r>
      <w:r w:rsidR="00355F2F" w:rsidRPr="00F11278">
        <w:t>Table 4.1.4-1: 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355F2F" w:rsidRPr="00F11278" w14:paraId="7FB1187E" w14:textId="77777777" w:rsidTr="000018DA">
        <w:trPr>
          <w:cantSplit/>
          <w:tblHeader/>
          <w:jc w:val="center"/>
        </w:trPr>
        <w:tc>
          <w:tcPr>
            <w:tcW w:w="2406" w:type="dxa"/>
          </w:tcPr>
          <w:p w14:paraId="7DFEF11F" w14:textId="77777777" w:rsidR="00355F2F" w:rsidRPr="00F11278" w:rsidRDefault="00355F2F" w:rsidP="000018DA">
            <w:pPr>
              <w:pStyle w:val="TAH"/>
              <w:ind w:firstLine="630"/>
            </w:pPr>
            <w:r w:rsidRPr="00F11278">
              <w:t>SCS (</w:t>
            </w:r>
            <w:proofErr w:type="spellStart"/>
            <w:r w:rsidRPr="00F11278">
              <w:t>KHz</w:t>
            </w:r>
            <w:proofErr w:type="spellEnd"/>
            <w:r w:rsidRPr="00F11278">
              <w:t>)</w:t>
            </w:r>
          </w:p>
        </w:tc>
        <w:tc>
          <w:tcPr>
            <w:tcW w:w="1957" w:type="dxa"/>
          </w:tcPr>
          <w:p w14:paraId="38751B9D" w14:textId="77777777" w:rsidR="00355F2F" w:rsidRPr="00F11278" w:rsidRDefault="00355F2F" w:rsidP="000018DA">
            <w:pPr>
              <w:pStyle w:val="TAH"/>
              <w:ind w:firstLine="630"/>
            </w:pPr>
            <w:r w:rsidRPr="00F11278">
              <w:t>RLC RTT (</w:t>
            </w:r>
            <w:proofErr w:type="spellStart"/>
            <w:r w:rsidRPr="00F11278">
              <w:t>ms</w:t>
            </w:r>
            <w:proofErr w:type="spellEnd"/>
            <w:r w:rsidRPr="00F11278">
              <w:t>)</w:t>
            </w:r>
          </w:p>
        </w:tc>
      </w:tr>
      <w:tr w:rsidR="00355F2F" w:rsidRPr="00F11278" w14:paraId="32AE2B74" w14:textId="77777777" w:rsidTr="000018DA">
        <w:trPr>
          <w:cantSplit/>
          <w:jc w:val="center"/>
        </w:trPr>
        <w:tc>
          <w:tcPr>
            <w:tcW w:w="2406" w:type="dxa"/>
          </w:tcPr>
          <w:p w14:paraId="48059E65" w14:textId="77777777" w:rsidR="00355F2F" w:rsidRPr="00F11278" w:rsidRDefault="00355F2F" w:rsidP="000018DA">
            <w:pPr>
              <w:pStyle w:val="TAL"/>
              <w:jc w:val="center"/>
              <w:rPr>
                <w:bCs/>
                <w:iCs/>
              </w:rPr>
            </w:pPr>
            <w:r w:rsidRPr="00F11278">
              <w:rPr>
                <w:bCs/>
                <w:iCs/>
              </w:rPr>
              <w:t>15KHz</w:t>
            </w:r>
          </w:p>
        </w:tc>
        <w:tc>
          <w:tcPr>
            <w:tcW w:w="1957" w:type="dxa"/>
          </w:tcPr>
          <w:p w14:paraId="1A9A7604" w14:textId="77777777" w:rsidR="00355F2F" w:rsidRPr="00F11278" w:rsidRDefault="00355F2F" w:rsidP="000018DA">
            <w:pPr>
              <w:pStyle w:val="TAL"/>
              <w:jc w:val="center"/>
              <w:rPr>
                <w:bCs/>
                <w:iCs/>
              </w:rPr>
            </w:pPr>
            <w:r w:rsidRPr="00F11278">
              <w:rPr>
                <w:bCs/>
                <w:iCs/>
              </w:rPr>
              <w:t>50</w:t>
            </w:r>
          </w:p>
        </w:tc>
      </w:tr>
      <w:tr w:rsidR="00355F2F" w:rsidRPr="00F11278" w14:paraId="065E33AC" w14:textId="77777777" w:rsidTr="000018DA">
        <w:trPr>
          <w:cantSplit/>
          <w:trHeight w:val="47"/>
          <w:jc w:val="center"/>
        </w:trPr>
        <w:tc>
          <w:tcPr>
            <w:tcW w:w="2406" w:type="dxa"/>
          </w:tcPr>
          <w:p w14:paraId="5EC5DD3A" w14:textId="77777777" w:rsidR="00355F2F" w:rsidRPr="00F11278" w:rsidRDefault="00355F2F" w:rsidP="000018DA">
            <w:pPr>
              <w:pStyle w:val="TAL"/>
              <w:jc w:val="center"/>
              <w:rPr>
                <w:bCs/>
                <w:iCs/>
              </w:rPr>
            </w:pPr>
            <w:r w:rsidRPr="00F11278">
              <w:rPr>
                <w:bCs/>
                <w:iCs/>
              </w:rPr>
              <w:t>30KHz</w:t>
            </w:r>
          </w:p>
        </w:tc>
        <w:tc>
          <w:tcPr>
            <w:tcW w:w="1957" w:type="dxa"/>
          </w:tcPr>
          <w:p w14:paraId="67C4DCF9" w14:textId="77777777" w:rsidR="00355F2F" w:rsidRPr="00F11278" w:rsidRDefault="00355F2F" w:rsidP="000018DA">
            <w:pPr>
              <w:pStyle w:val="TAL"/>
              <w:jc w:val="center"/>
              <w:rPr>
                <w:bCs/>
                <w:iCs/>
              </w:rPr>
            </w:pPr>
            <w:r w:rsidRPr="00F11278">
              <w:rPr>
                <w:bCs/>
                <w:iCs/>
              </w:rPr>
              <w:t>40</w:t>
            </w:r>
          </w:p>
        </w:tc>
      </w:tr>
      <w:tr w:rsidR="00355F2F" w:rsidRPr="00F11278" w14:paraId="74EDDA91" w14:textId="77777777" w:rsidTr="000018DA">
        <w:trPr>
          <w:cantSplit/>
          <w:jc w:val="center"/>
        </w:trPr>
        <w:tc>
          <w:tcPr>
            <w:tcW w:w="2406" w:type="dxa"/>
          </w:tcPr>
          <w:p w14:paraId="66F10095" w14:textId="77777777" w:rsidR="00355F2F" w:rsidRPr="00F11278" w:rsidRDefault="00355F2F" w:rsidP="000018DA">
            <w:pPr>
              <w:pStyle w:val="TAL"/>
              <w:jc w:val="center"/>
              <w:rPr>
                <w:bCs/>
                <w:iCs/>
              </w:rPr>
            </w:pPr>
            <w:r w:rsidRPr="00F11278">
              <w:rPr>
                <w:bCs/>
                <w:iCs/>
              </w:rPr>
              <w:t>60KHz</w:t>
            </w:r>
          </w:p>
        </w:tc>
        <w:tc>
          <w:tcPr>
            <w:tcW w:w="1957" w:type="dxa"/>
          </w:tcPr>
          <w:p w14:paraId="46B04FB0" w14:textId="77777777" w:rsidR="00355F2F" w:rsidRPr="00F11278" w:rsidRDefault="00355F2F" w:rsidP="000018DA">
            <w:pPr>
              <w:pStyle w:val="TAL"/>
              <w:jc w:val="center"/>
              <w:rPr>
                <w:bCs/>
                <w:iCs/>
              </w:rPr>
            </w:pPr>
            <w:r w:rsidRPr="00F11278">
              <w:rPr>
                <w:bCs/>
                <w:iCs/>
              </w:rPr>
              <w:t>30</w:t>
            </w:r>
          </w:p>
        </w:tc>
      </w:tr>
      <w:tr w:rsidR="00355F2F" w:rsidRPr="00F11278" w14:paraId="5A661216" w14:textId="77777777" w:rsidTr="000018DA">
        <w:trPr>
          <w:cantSplit/>
          <w:jc w:val="center"/>
        </w:trPr>
        <w:tc>
          <w:tcPr>
            <w:tcW w:w="2406" w:type="dxa"/>
          </w:tcPr>
          <w:p w14:paraId="63E6DF64" w14:textId="77777777" w:rsidR="00355F2F" w:rsidRPr="00F11278" w:rsidRDefault="00355F2F" w:rsidP="000018DA">
            <w:pPr>
              <w:pStyle w:val="TAL"/>
              <w:jc w:val="center"/>
              <w:rPr>
                <w:bCs/>
                <w:iCs/>
              </w:rPr>
            </w:pPr>
            <w:r w:rsidRPr="00F11278">
              <w:rPr>
                <w:bCs/>
                <w:iCs/>
              </w:rPr>
              <w:t>120KHz</w:t>
            </w:r>
          </w:p>
        </w:tc>
        <w:tc>
          <w:tcPr>
            <w:tcW w:w="1957" w:type="dxa"/>
          </w:tcPr>
          <w:p w14:paraId="2B14DCC4" w14:textId="77777777" w:rsidR="00355F2F" w:rsidRPr="00F11278" w:rsidRDefault="00355F2F" w:rsidP="000018DA">
            <w:pPr>
              <w:pStyle w:val="TAL"/>
              <w:jc w:val="center"/>
              <w:rPr>
                <w:bCs/>
                <w:iCs/>
              </w:rPr>
            </w:pPr>
            <w:r w:rsidRPr="00F11278">
              <w:rPr>
                <w:bCs/>
                <w:iCs/>
              </w:rPr>
              <w:t>20</w:t>
            </w:r>
          </w:p>
        </w:tc>
      </w:tr>
      <w:tr w:rsidR="00355F2F" w:rsidRPr="00F11278" w14:paraId="57BEE244" w14:textId="77777777" w:rsidTr="000018DA">
        <w:trPr>
          <w:cantSplit/>
          <w:jc w:val="center"/>
        </w:trPr>
        <w:tc>
          <w:tcPr>
            <w:tcW w:w="2406" w:type="dxa"/>
          </w:tcPr>
          <w:p w14:paraId="7FCCBEFF" w14:textId="24EAA0E0" w:rsidR="00355F2F" w:rsidRPr="00355F2F" w:rsidRDefault="00355F2F" w:rsidP="00355F2F">
            <w:pPr>
              <w:pStyle w:val="TAL"/>
              <w:jc w:val="center"/>
              <w:rPr>
                <w:bCs/>
                <w:iCs/>
                <w:color w:val="FF0000"/>
                <w:u w:val="single"/>
              </w:rPr>
            </w:pPr>
            <w:r w:rsidRPr="00355F2F">
              <w:rPr>
                <w:bCs/>
                <w:iCs/>
                <w:color w:val="FF0000"/>
                <w:u w:val="single"/>
              </w:rPr>
              <w:t>240KHz</w:t>
            </w:r>
          </w:p>
        </w:tc>
        <w:tc>
          <w:tcPr>
            <w:tcW w:w="1957" w:type="dxa"/>
          </w:tcPr>
          <w:p w14:paraId="6CC835A5" w14:textId="6EBADD42" w:rsidR="00355F2F" w:rsidRPr="00355F2F" w:rsidRDefault="00355F2F" w:rsidP="00355F2F">
            <w:pPr>
              <w:pStyle w:val="TAL"/>
              <w:jc w:val="center"/>
              <w:rPr>
                <w:bCs/>
                <w:iCs/>
                <w:color w:val="FF0000"/>
                <w:u w:val="single"/>
              </w:rPr>
            </w:pPr>
            <w:r w:rsidRPr="00355F2F">
              <w:rPr>
                <w:bCs/>
                <w:iCs/>
                <w:color w:val="FF0000"/>
                <w:u w:val="single"/>
              </w:rPr>
              <w:t>10</w:t>
            </w:r>
          </w:p>
        </w:tc>
      </w:tr>
      <w:tr w:rsidR="00355F2F" w:rsidRPr="00F11278" w14:paraId="23EA71E6" w14:textId="77777777" w:rsidTr="000018DA">
        <w:trPr>
          <w:cantSplit/>
          <w:jc w:val="center"/>
        </w:trPr>
        <w:tc>
          <w:tcPr>
            <w:tcW w:w="2406" w:type="dxa"/>
          </w:tcPr>
          <w:p w14:paraId="50FB3720" w14:textId="6D6326F2" w:rsidR="00355F2F" w:rsidRPr="00355F2F" w:rsidRDefault="00355F2F" w:rsidP="00355F2F">
            <w:pPr>
              <w:pStyle w:val="TAL"/>
              <w:jc w:val="center"/>
              <w:rPr>
                <w:bCs/>
                <w:iCs/>
                <w:color w:val="FF0000"/>
                <w:u w:val="single"/>
              </w:rPr>
            </w:pPr>
            <w:r w:rsidRPr="00355F2F">
              <w:rPr>
                <w:bCs/>
                <w:iCs/>
                <w:color w:val="FF0000"/>
                <w:u w:val="single"/>
              </w:rPr>
              <w:t>480KHz</w:t>
            </w:r>
          </w:p>
        </w:tc>
        <w:tc>
          <w:tcPr>
            <w:tcW w:w="1957" w:type="dxa"/>
          </w:tcPr>
          <w:p w14:paraId="507E9A18" w14:textId="7E56CF6D" w:rsidR="00355F2F" w:rsidRPr="00355F2F" w:rsidRDefault="00355F2F" w:rsidP="00355F2F">
            <w:pPr>
              <w:pStyle w:val="TAL"/>
              <w:jc w:val="center"/>
              <w:rPr>
                <w:bCs/>
                <w:iCs/>
                <w:color w:val="FF0000"/>
                <w:u w:val="single"/>
              </w:rPr>
            </w:pPr>
            <w:r w:rsidRPr="00355F2F">
              <w:rPr>
                <w:bCs/>
                <w:iCs/>
                <w:color w:val="FF0000"/>
                <w:u w:val="single"/>
              </w:rPr>
              <w:t>5</w:t>
            </w:r>
          </w:p>
        </w:tc>
      </w:tr>
      <w:tr w:rsidR="00355F2F" w:rsidRPr="00F11278" w14:paraId="093DAE90" w14:textId="77777777" w:rsidTr="000018DA">
        <w:trPr>
          <w:cantSplit/>
          <w:jc w:val="center"/>
        </w:trPr>
        <w:tc>
          <w:tcPr>
            <w:tcW w:w="2406" w:type="dxa"/>
          </w:tcPr>
          <w:p w14:paraId="74203C99" w14:textId="0FC98A78" w:rsidR="00355F2F" w:rsidRPr="00355F2F" w:rsidRDefault="00355F2F" w:rsidP="00355F2F">
            <w:pPr>
              <w:pStyle w:val="TAL"/>
              <w:jc w:val="center"/>
              <w:rPr>
                <w:bCs/>
                <w:iCs/>
                <w:color w:val="FF0000"/>
                <w:u w:val="single"/>
              </w:rPr>
            </w:pPr>
            <w:r w:rsidRPr="00355F2F">
              <w:rPr>
                <w:bCs/>
                <w:iCs/>
                <w:color w:val="FF0000"/>
                <w:u w:val="single"/>
              </w:rPr>
              <w:t>960KHz</w:t>
            </w:r>
          </w:p>
        </w:tc>
        <w:tc>
          <w:tcPr>
            <w:tcW w:w="1957" w:type="dxa"/>
          </w:tcPr>
          <w:p w14:paraId="13C1B4B1" w14:textId="41B4AC84" w:rsidR="00355F2F" w:rsidRPr="00355F2F" w:rsidRDefault="00355F2F" w:rsidP="00355F2F">
            <w:pPr>
              <w:pStyle w:val="TAL"/>
              <w:jc w:val="center"/>
              <w:rPr>
                <w:bCs/>
                <w:iCs/>
                <w:color w:val="FF0000"/>
                <w:u w:val="single"/>
              </w:rPr>
            </w:pPr>
            <w:r w:rsidRPr="00355F2F">
              <w:rPr>
                <w:bCs/>
                <w:iCs/>
                <w:color w:val="FF0000"/>
                <w:u w:val="single"/>
              </w:rPr>
              <w:t>3</w:t>
            </w:r>
          </w:p>
        </w:tc>
      </w:tr>
    </w:tbl>
    <w:p w14:paraId="311A590A" w14:textId="70CA3DEE" w:rsidR="00C96E3F" w:rsidRDefault="00C96E3F" w:rsidP="00C96E3F">
      <w:r>
        <w:t xml:space="preserve">  </w:t>
      </w:r>
    </w:p>
    <w:p w14:paraId="7A96B47B" w14:textId="6CB6F064" w:rsidR="00355F2F" w:rsidRPr="00355F2F" w:rsidRDefault="00355F2F" w:rsidP="00C96E3F">
      <w:pPr>
        <w:rPr>
          <w:b/>
          <w:bCs/>
        </w:rPr>
      </w:pPr>
      <w:r w:rsidRPr="00355F2F">
        <w:rPr>
          <w:b/>
          <w:bCs/>
        </w:rPr>
        <w:t>Proposal 1: RAN2 to discuss on adding RTTs values of 10,5,3ms for 240,480,960SCS respectively.</w:t>
      </w:r>
    </w:p>
    <w:p w14:paraId="6539CB22" w14:textId="4385A3F4" w:rsidR="00E26F3A" w:rsidRPr="00E26F3A" w:rsidRDefault="00E26F3A" w:rsidP="00C96E3F">
      <w:pPr>
        <w:rPr>
          <w:b/>
          <w:bCs/>
        </w:rPr>
      </w:pPr>
      <w:r w:rsidRPr="00E26F3A">
        <w:rPr>
          <w:b/>
          <w:bCs/>
        </w:rPr>
        <w:t>Proposal 2: No change in L2 buffer size calculation is needed with the RTT adjusted for higher sub-carrier-spacing values.</w:t>
      </w:r>
    </w:p>
    <w:p w14:paraId="5853344A" w14:textId="02CA8E67" w:rsidR="000E3F24" w:rsidRPr="000E3F24" w:rsidRDefault="000E3F24" w:rsidP="000E3F24">
      <w:pPr>
        <w:pStyle w:val="Heading2"/>
        <w:numPr>
          <w:ilvl w:val="0"/>
          <w:numId w:val="0"/>
        </w:numPr>
        <w:rPr>
          <w:b/>
          <w:bCs/>
        </w:rPr>
      </w:pPr>
      <w:r>
        <w:rPr>
          <w:sz w:val="28"/>
          <w:szCs w:val="28"/>
        </w:rPr>
        <w:t>2</w:t>
      </w:r>
      <w:r w:rsidRPr="00761688">
        <w:rPr>
          <w:sz w:val="28"/>
          <w:szCs w:val="28"/>
        </w:rPr>
        <w:t>.</w:t>
      </w:r>
      <w:r>
        <w:rPr>
          <w:sz w:val="28"/>
          <w:szCs w:val="28"/>
        </w:rPr>
        <w:t>2</w:t>
      </w:r>
      <w:r w:rsidRPr="00761688">
        <w:rPr>
          <w:sz w:val="28"/>
          <w:szCs w:val="28"/>
        </w:rPr>
        <w:t xml:space="preserve"> </w:t>
      </w:r>
      <w:r>
        <w:rPr>
          <w:sz w:val="28"/>
          <w:szCs w:val="28"/>
        </w:rPr>
        <w:t>RLC feedback handling</w:t>
      </w:r>
    </w:p>
    <w:p w14:paraId="0D8DC88D" w14:textId="41E86829" w:rsidR="00C96E3F" w:rsidRDefault="000E3F24" w:rsidP="00C96E3F">
      <w:r>
        <w:t xml:space="preserve">The decrease in the RTT would also </w:t>
      </w:r>
      <w:r w:rsidR="00B52F6E">
        <w:t>have to go hand-in-hand</w:t>
      </w:r>
      <w:r>
        <w:t xml:space="preserve"> </w:t>
      </w:r>
      <w:r w:rsidR="00B52F6E">
        <w:t xml:space="preserve">with the faster </w:t>
      </w:r>
      <w:r>
        <w:t>RLC control feedback messages</w:t>
      </w:r>
      <w:r w:rsidR="00B52F6E">
        <w:t xml:space="preserve">, for </w:t>
      </w:r>
      <w:proofErr w:type="spellStart"/>
      <w:r w:rsidR="00B52F6E">
        <w:t>eg.</w:t>
      </w:r>
      <w:proofErr w:type="spellEnd"/>
      <w:r w:rsidR="00B52F6E">
        <w:t>, the ability of the receiver to provide the status feedback faster, the ability of the transmitter to trigger (re-trigger) for a poll faster etc., to keep the transmission window operation in RLC AM mode moving faster vis-à-vis the increased data-rate operation.</w:t>
      </w:r>
    </w:p>
    <w:p w14:paraId="0BF0C397" w14:textId="527971F4" w:rsidR="00E51A07" w:rsidRPr="00E51A07" w:rsidRDefault="00E51A07" w:rsidP="00C96E3F">
      <w:pPr>
        <w:rPr>
          <w:i/>
          <w:iCs/>
        </w:rPr>
      </w:pPr>
      <w:r>
        <w:t xml:space="preserve">We can see that </w:t>
      </w:r>
      <w:proofErr w:type="spellStart"/>
      <w:r>
        <w:t>atleast</w:t>
      </w:r>
      <w:proofErr w:type="spellEnd"/>
      <w:r>
        <w:t xml:space="preserve"> some RLC timers need to be changed for </w:t>
      </w:r>
      <w:proofErr w:type="spellStart"/>
      <w:r>
        <w:t>eg.</w:t>
      </w:r>
      <w:proofErr w:type="spellEnd"/>
      <w:r>
        <w:t xml:space="preserve">, </w:t>
      </w:r>
      <w:r>
        <w:rPr>
          <w:i/>
          <w:iCs/>
        </w:rPr>
        <w:t>t-</w:t>
      </w:r>
      <w:proofErr w:type="spellStart"/>
      <w:r>
        <w:rPr>
          <w:i/>
          <w:iCs/>
        </w:rPr>
        <w:t>StatusProhibit</w:t>
      </w:r>
      <w:proofErr w:type="spellEnd"/>
      <w:r>
        <w:rPr>
          <w:i/>
          <w:iCs/>
        </w:rPr>
        <w:t xml:space="preserve"> </w:t>
      </w:r>
      <w:r>
        <w:t>need to operate in single-digit to sub-</w:t>
      </w:r>
      <w:proofErr w:type="spellStart"/>
      <w:r>
        <w:t>ms</w:t>
      </w:r>
      <w:proofErr w:type="spellEnd"/>
      <w:r>
        <w:t xml:space="preserve"> range. </w:t>
      </w:r>
    </w:p>
    <w:p w14:paraId="558587A6" w14:textId="5BA1BCDD" w:rsidR="00EB4291" w:rsidRPr="00EB4291" w:rsidRDefault="00EB4291" w:rsidP="0056694F">
      <w:pPr>
        <w:rPr>
          <w:rFonts w:eastAsia="SimSun"/>
          <w:b/>
          <w:bCs/>
          <w:szCs w:val="20"/>
          <w:lang w:val="en-GB" w:eastAsia="ja-JP"/>
        </w:rPr>
      </w:pPr>
      <w:r w:rsidRPr="00EB4291">
        <w:rPr>
          <w:b/>
          <w:bCs/>
        </w:rPr>
        <w:t xml:space="preserve">Observation </w:t>
      </w:r>
      <w:r w:rsidR="007B2116">
        <w:rPr>
          <w:b/>
          <w:bCs/>
        </w:rPr>
        <w:t>2</w:t>
      </w:r>
      <w:r w:rsidRPr="00EB4291">
        <w:rPr>
          <w:b/>
          <w:bCs/>
        </w:rPr>
        <w:t xml:space="preserve">: </w:t>
      </w:r>
      <w:r w:rsidR="007B2116">
        <w:rPr>
          <w:b/>
          <w:bCs/>
        </w:rPr>
        <w:t>RLC control configuration related to status feedback needs to be adapted to operate with the reduced RTT in above 52GHz operation</w:t>
      </w:r>
      <w:r w:rsidRPr="00EB4291">
        <w:rPr>
          <w:b/>
          <w:bCs/>
        </w:rPr>
        <w:t xml:space="preserve">.  </w:t>
      </w:r>
    </w:p>
    <w:p w14:paraId="217D2F0E" w14:textId="62DAEF98" w:rsidR="009B779C" w:rsidRDefault="009B779C" w:rsidP="00C6032C">
      <w:r>
        <w:t>The key item to note with changing the RLC control configuration for status feedback is that, per current design RLC entity feedback operation is agnostic to the physical layer carrier configuration.</w:t>
      </w:r>
    </w:p>
    <w:p w14:paraId="0426782F" w14:textId="57329F31" w:rsidR="009B779C" w:rsidRPr="00B428AE" w:rsidRDefault="009B779C" w:rsidP="00C6032C">
      <w:pPr>
        <w:rPr>
          <w:b/>
          <w:bCs/>
        </w:rPr>
      </w:pPr>
      <w:r w:rsidRPr="00B428AE">
        <w:rPr>
          <w:b/>
          <w:bCs/>
        </w:rPr>
        <w:t>Observation 3: RLC control configuration for status feedback that is part of RLC entity feedback operation, is agnostic to the physical layer carrier configuration, and configured per logical channel.</w:t>
      </w:r>
    </w:p>
    <w:p w14:paraId="67A1A26C" w14:textId="38A6CC23" w:rsidR="00862B93" w:rsidRPr="00862B93" w:rsidRDefault="00862B93" w:rsidP="00C6032C">
      <w:pPr>
        <w:rPr>
          <w:b/>
          <w:bCs/>
        </w:rPr>
      </w:pPr>
      <w:r w:rsidRPr="00862B93">
        <w:rPr>
          <w:b/>
          <w:bCs/>
        </w:rPr>
        <w:t xml:space="preserve">Observation 4: With CA operation where we have legacy carriers and above 52GHz carriers, the RLC operation with faster feedback on above 52GHz carriers, while keeping the legacy configuration with legacy carriers is not possible without some changes in </w:t>
      </w:r>
      <w:proofErr w:type="spellStart"/>
      <w:r w:rsidRPr="00862B93">
        <w:rPr>
          <w:b/>
          <w:bCs/>
        </w:rPr>
        <w:t>datapath</w:t>
      </w:r>
      <w:proofErr w:type="spellEnd"/>
      <w:r w:rsidRPr="00862B93">
        <w:rPr>
          <w:b/>
          <w:bCs/>
        </w:rPr>
        <w:t xml:space="preserve"> protocols.</w:t>
      </w:r>
    </w:p>
    <w:p w14:paraId="26E9E51E" w14:textId="1B8F6851" w:rsidR="00C6032C" w:rsidRDefault="00EC0306" w:rsidP="00C6032C">
      <w:r>
        <w:t>There are several options to address this including existing means and creating new design principles</w:t>
      </w:r>
      <w:r w:rsidR="00EB4291">
        <w:t>.</w:t>
      </w:r>
      <w:r>
        <w:t xml:space="preserve"> The below table lists some options and their potential impact.</w:t>
      </w:r>
    </w:p>
    <w:tbl>
      <w:tblPr>
        <w:tblStyle w:val="TableGrid"/>
        <w:tblW w:w="0" w:type="auto"/>
        <w:tblLook w:val="04A0" w:firstRow="1" w:lastRow="0" w:firstColumn="1" w:lastColumn="0" w:noHBand="0" w:noVBand="1"/>
      </w:tblPr>
      <w:tblGrid>
        <w:gridCol w:w="3257"/>
        <w:gridCol w:w="3257"/>
        <w:gridCol w:w="3257"/>
      </w:tblGrid>
      <w:tr w:rsidR="00B428AE" w14:paraId="2EC5A758" w14:textId="77777777" w:rsidTr="00830882">
        <w:tc>
          <w:tcPr>
            <w:tcW w:w="3257" w:type="dxa"/>
            <w:shd w:val="clear" w:color="auto" w:fill="BFBFBF" w:themeFill="background1" w:themeFillShade="BF"/>
          </w:tcPr>
          <w:p w14:paraId="29D8A6AE" w14:textId="07153F83" w:rsidR="00B428AE" w:rsidRDefault="00B428AE" w:rsidP="00830882">
            <w:pPr>
              <w:jc w:val="center"/>
            </w:pPr>
            <w:r>
              <w:t>Option</w:t>
            </w:r>
          </w:p>
        </w:tc>
        <w:tc>
          <w:tcPr>
            <w:tcW w:w="3257" w:type="dxa"/>
            <w:shd w:val="clear" w:color="auto" w:fill="BFBFBF" w:themeFill="background1" w:themeFillShade="BF"/>
          </w:tcPr>
          <w:p w14:paraId="777F18A8" w14:textId="41BDF929" w:rsidR="00B428AE" w:rsidRDefault="00B428AE" w:rsidP="00830882">
            <w:pPr>
              <w:jc w:val="center"/>
            </w:pPr>
            <w:r>
              <w:t>Description</w:t>
            </w:r>
          </w:p>
        </w:tc>
        <w:tc>
          <w:tcPr>
            <w:tcW w:w="3257" w:type="dxa"/>
            <w:shd w:val="clear" w:color="auto" w:fill="BFBFBF" w:themeFill="background1" w:themeFillShade="BF"/>
          </w:tcPr>
          <w:p w14:paraId="61E1CEC1" w14:textId="1D94AC28" w:rsidR="00B428AE" w:rsidRDefault="00B428AE" w:rsidP="00830882">
            <w:pPr>
              <w:jc w:val="center"/>
            </w:pPr>
            <w:r>
              <w:t>Remarks</w:t>
            </w:r>
          </w:p>
        </w:tc>
      </w:tr>
      <w:tr w:rsidR="00B428AE" w14:paraId="196A8CDD" w14:textId="77777777" w:rsidTr="00B428AE">
        <w:tc>
          <w:tcPr>
            <w:tcW w:w="3257" w:type="dxa"/>
          </w:tcPr>
          <w:p w14:paraId="6FB19DA7" w14:textId="6C894A78" w:rsidR="00B428AE" w:rsidRDefault="002763F1" w:rsidP="00C6032C">
            <w:r>
              <w:t xml:space="preserve">Approach #1: </w:t>
            </w:r>
            <w:r w:rsidR="00862B93">
              <w:t xml:space="preserve">PDCP with multiple </w:t>
            </w:r>
            <w:r w:rsidR="00862B93">
              <w:lastRenderedPageBreak/>
              <w:t>logical channels</w:t>
            </w:r>
          </w:p>
        </w:tc>
        <w:tc>
          <w:tcPr>
            <w:tcW w:w="3257" w:type="dxa"/>
          </w:tcPr>
          <w:p w14:paraId="0BFA02D6" w14:textId="2185735C" w:rsidR="00B428AE" w:rsidRDefault="00862B93" w:rsidP="00C6032C">
            <w:r>
              <w:lastRenderedPageBreak/>
              <w:t xml:space="preserve">Use synchronous NR-DC approach </w:t>
            </w:r>
            <w:r>
              <w:lastRenderedPageBreak/>
              <w:t>where above 52GHz carriers are grouped into a cell group that operates on different RLC entity</w:t>
            </w:r>
          </w:p>
        </w:tc>
        <w:tc>
          <w:tcPr>
            <w:tcW w:w="3257" w:type="dxa"/>
          </w:tcPr>
          <w:p w14:paraId="7D0C6497" w14:textId="77777777" w:rsidR="00B428AE" w:rsidRDefault="00862B93" w:rsidP="00862B93">
            <w:pPr>
              <w:pStyle w:val="ListParagraph"/>
              <w:numPr>
                <w:ilvl w:val="0"/>
                <w:numId w:val="34"/>
              </w:numPr>
              <w:rPr>
                <w:lang w:eastAsia="en-US"/>
              </w:rPr>
            </w:pPr>
            <w:r>
              <w:rPr>
                <w:lang w:eastAsia="en-US"/>
              </w:rPr>
              <w:lastRenderedPageBreak/>
              <w:t xml:space="preserve">Can work with existing </w:t>
            </w:r>
            <w:r>
              <w:rPr>
                <w:lang w:eastAsia="en-US"/>
              </w:rPr>
              <w:lastRenderedPageBreak/>
              <w:t>framework, if we restrict above 52Ghz operation to synchronous NR-DC alone.</w:t>
            </w:r>
          </w:p>
          <w:p w14:paraId="114B8644" w14:textId="6EB47AD9" w:rsidR="00862B93" w:rsidRDefault="00862B93" w:rsidP="00862B93">
            <w:pPr>
              <w:pStyle w:val="ListParagraph"/>
              <w:numPr>
                <w:ilvl w:val="0"/>
                <w:numId w:val="34"/>
              </w:numPr>
              <w:rPr>
                <w:lang w:eastAsia="en-US"/>
              </w:rPr>
            </w:pPr>
            <w:r>
              <w:rPr>
                <w:lang w:eastAsia="en-US"/>
              </w:rPr>
              <w:t>While it can be prevented, RAN4 might need to be aware of this and may need to define NR-DC requirements for all CA combinations.</w:t>
            </w:r>
          </w:p>
        </w:tc>
      </w:tr>
      <w:tr w:rsidR="00577326" w14:paraId="174A6D0E" w14:textId="77777777" w:rsidTr="00B428AE">
        <w:tc>
          <w:tcPr>
            <w:tcW w:w="3257" w:type="dxa"/>
          </w:tcPr>
          <w:p w14:paraId="27AAA991" w14:textId="3D117703" w:rsidR="00577326" w:rsidRDefault="002763F1" w:rsidP="00577326">
            <w:r>
              <w:lastRenderedPageBreak/>
              <w:t xml:space="preserve">Approach #2: </w:t>
            </w:r>
            <w:r w:rsidR="00577326">
              <w:t>Restrict RLC entity to a particular carrier</w:t>
            </w:r>
          </w:p>
        </w:tc>
        <w:tc>
          <w:tcPr>
            <w:tcW w:w="3257" w:type="dxa"/>
          </w:tcPr>
          <w:p w14:paraId="5937EAC1" w14:textId="196724AB" w:rsidR="00577326" w:rsidRDefault="00577326" w:rsidP="00577326">
            <w:r>
              <w:t>Use logical channel restriction to allow the use of a particular logical channel by RLC entity to a particular carrier or a group of carriers that operate in above 52GHz frequency.</w:t>
            </w:r>
          </w:p>
        </w:tc>
        <w:tc>
          <w:tcPr>
            <w:tcW w:w="3257" w:type="dxa"/>
          </w:tcPr>
          <w:p w14:paraId="68E6B980" w14:textId="4FAF838B" w:rsidR="00577326" w:rsidRDefault="002763F1" w:rsidP="00577326">
            <w:pPr>
              <w:pStyle w:val="ListParagraph"/>
              <w:numPr>
                <w:ilvl w:val="0"/>
                <w:numId w:val="34"/>
              </w:numPr>
              <w:rPr>
                <w:lang w:eastAsia="en-US"/>
              </w:rPr>
            </w:pPr>
            <w:r>
              <w:rPr>
                <w:lang w:eastAsia="en-US"/>
              </w:rPr>
              <w:t>Can work with existing framework.</w:t>
            </w:r>
          </w:p>
          <w:p w14:paraId="1B565D17" w14:textId="3B8396ED" w:rsidR="002763F1" w:rsidRDefault="002763F1" w:rsidP="00577326">
            <w:pPr>
              <w:pStyle w:val="ListParagraph"/>
              <w:numPr>
                <w:ilvl w:val="0"/>
                <w:numId w:val="34"/>
              </w:numPr>
              <w:rPr>
                <w:lang w:eastAsia="en-US"/>
              </w:rPr>
            </w:pPr>
            <w:r>
              <w:rPr>
                <w:lang w:eastAsia="en-US"/>
              </w:rPr>
              <w:t>But the restriction means that the UE and NW would be using higher frequencies alone for DRB while missing out on the legacy carriers which can not only reduce the throughput, but also the reliability associated with legacy carriers compared the wireless characteristics of the above 52GHz carriers.</w:t>
            </w:r>
          </w:p>
          <w:p w14:paraId="5135C81A" w14:textId="4241C65C" w:rsidR="00577326" w:rsidRDefault="00577326" w:rsidP="00577326"/>
        </w:tc>
      </w:tr>
      <w:tr w:rsidR="00577326" w14:paraId="77A1C7B4" w14:textId="77777777" w:rsidTr="00B428AE">
        <w:tc>
          <w:tcPr>
            <w:tcW w:w="3257" w:type="dxa"/>
          </w:tcPr>
          <w:p w14:paraId="1D46833C" w14:textId="5261F681" w:rsidR="00577326" w:rsidRDefault="002763F1" w:rsidP="00577326">
            <w:r>
              <w:t>Approach #3 New RLC functionality where RLC entity can be configured with carrier-specific feedback</w:t>
            </w:r>
          </w:p>
        </w:tc>
        <w:tc>
          <w:tcPr>
            <w:tcW w:w="3257" w:type="dxa"/>
          </w:tcPr>
          <w:p w14:paraId="352563C6" w14:textId="36ECD86A" w:rsidR="00577326" w:rsidRDefault="002763F1" w:rsidP="00577326">
            <w:r>
              <w:t>A single RLC entity can be configured with per-carrier control feedback operation.</w:t>
            </w:r>
          </w:p>
        </w:tc>
        <w:tc>
          <w:tcPr>
            <w:tcW w:w="3257" w:type="dxa"/>
          </w:tcPr>
          <w:p w14:paraId="44CB6003" w14:textId="21CC53BE" w:rsidR="002763F1" w:rsidRDefault="002763F1" w:rsidP="002763F1">
            <w:pPr>
              <w:pStyle w:val="ListParagraph"/>
              <w:numPr>
                <w:ilvl w:val="0"/>
                <w:numId w:val="34"/>
              </w:numPr>
              <w:rPr>
                <w:lang w:eastAsia="en-US"/>
              </w:rPr>
            </w:pPr>
            <w:r>
              <w:rPr>
                <w:lang w:eastAsia="en-US"/>
              </w:rPr>
              <w:t>New functionality, but the changes can be limited to RLC only for UEs/NWs using above 52GHz with specific SCS.</w:t>
            </w:r>
          </w:p>
          <w:p w14:paraId="36B57225" w14:textId="346010A7" w:rsidR="002763F1" w:rsidRDefault="002763F1" w:rsidP="002763F1">
            <w:pPr>
              <w:pStyle w:val="ListParagraph"/>
              <w:rPr>
                <w:lang w:eastAsia="en-US"/>
              </w:rPr>
            </w:pPr>
          </w:p>
          <w:p w14:paraId="767167A3" w14:textId="77777777" w:rsidR="00577326" w:rsidRDefault="00577326" w:rsidP="00577326"/>
        </w:tc>
      </w:tr>
      <w:tr w:rsidR="00577326" w14:paraId="5C93D9A8" w14:textId="77777777" w:rsidTr="00B428AE">
        <w:tc>
          <w:tcPr>
            <w:tcW w:w="3257" w:type="dxa"/>
          </w:tcPr>
          <w:p w14:paraId="14774F63" w14:textId="699540F9" w:rsidR="00577326" w:rsidRDefault="002763F1" w:rsidP="00577326">
            <w:r>
              <w:t>Approach #4: PDCP with multiple RLC, without NR-DC</w:t>
            </w:r>
          </w:p>
        </w:tc>
        <w:tc>
          <w:tcPr>
            <w:tcW w:w="3257" w:type="dxa"/>
          </w:tcPr>
          <w:p w14:paraId="402D3A58" w14:textId="16424D08" w:rsidR="00577326" w:rsidRDefault="002763F1" w:rsidP="00577326">
            <w:r>
              <w:t>similar to approach #1, the PDCP can operate with more than one logical channel without NR-DC</w:t>
            </w:r>
          </w:p>
        </w:tc>
        <w:tc>
          <w:tcPr>
            <w:tcW w:w="3257" w:type="dxa"/>
          </w:tcPr>
          <w:p w14:paraId="22E1FC81" w14:textId="4A1BB1C6" w:rsidR="002763F1" w:rsidRDefault="002763F1" w:rsidP="002763F1">
            <w:pPr>
              <w:pStyle w:val="ListParagraph"/>
              <w:numPr>
                <w:ilvl w:val="0"/>
                <w:numId w:val="34"/>
              </w:numPr>
              <w:rPr>
                <w:lang w:eastAsia="en-US"/>
              </w:rPr>
            </w:pPr>
            <w:r>
              <w:rPr>
                <w:lang w:eastAsia="en-US"/>
              </w:rPr>
              <w:t>New functionality at PDCP that operates with more than one RLC entities without NR-DC.</w:t>
            </w:r>
          </w:p>
          <w:p w14:paraId="237FD64B" w14:textId="77777777" w:rsidR="002763F1" w:rsidRDefault="002763F1" w:rsidP="002763F1">
            <w:pPr>
              <w:pStyle w:val="ListParagraph"/>
              <w:rPr>
                <w:lang w:eastAsia="en-US"/>
              </w:rPr>
            </w:pPr>
          </w:p>
          <w:p w14:paraId="22241059" w14:textId="77777777" w:rsidR="00577326" w:rsidRDefault="00577326" w:rsidP="00577326"/>
        </w:tc>
      </w:tr>
      <w:tr w:rsidR="00577326" w14:paraId="2DC9BAF5" w14:textId="77777777" w:rsidTr="00B428AE">
        <w:tc>
          <w:tcPr>
            <w:tcW w:w="3257" w:type="dxa"/>
          </w:tcPr>
          <w:p w14:paraId="2F11EC22" w14:textId="1AF936DA" w:rsidR="00577326" w:rsidRDefault="00626CBA" w:rsidP="00577326">
            <w:r>
              <w:t>Approach #5: No change</w:t>
            </w:r>
          </w:p>
        </w:tc>
        <w:tc>
          <w:tcPr>
            <w:tcW w:w="3257" w:type="dxa"/>
          </w:tcPr>
          <w:p w14:paraId="5D9C8F9E" w14:textId="3C72C973" w:rsidR="00577326" w:rsidRDefault="00626CBA" w:rsidP="00577326">
            <w:r>
              <w:t>Re-use the current design as is</w:t>
            </w:r>
          </w:p>
        </w:tc>
        <w:tc>
          <w:tcPr>
            <w:tcW w:w="3257" w:type="dxa"/>
          </w:tcPr>
          <w:p w14:paraId="70CA6580" w14:textId="0A7A35F2" w:rsidR="00626CBA" w:rsidRDefault="00626CBA" w:rsidP="00626CBA">
            <w:pPr>
              <w:pStyle w:val="ListParagraph"/>
              <w:numPr>
                <w:ilvl w:val="0"/>
                <w:numId w:val="34"/>
              </w:numPr>
              <w:rPr>
                <w:lang w:eastAsia="en-US"/>
              </w:rPr>
            </w:pPr>
            <w:proofErr w:type="spellStart"/>
            <w:r>
              <w:rPr>
                <w:lang w:eastAsia="en-US"/>
              </w:rPr>
              <w:t>Atleast</w:t>
            </w:r>
            <w:proofErr w:type="spellEnd"/>
            <w:r>
              <w:rPr>
                <w:lang w:eastAsia="en-US"/>
              </w:rPr>
              <w:t xml:space="preserve"> at the UE side, the UE may not be able to request for (re)polling faster, may not be able to </w:t>
            </w:r>
            <w:r>
              <w:rPr>
                <w:lang w:eastAsia="en-US"/>
              </w:rPr>
              <w:lastRenderedPageBreak/>
              <w:t xml:space="preserve">transmit status PDUs faster, leading up to delayed feedback, which can increase L2 buffering requirements. </w:t>
            </w:r>
          </w:p>
          <w:p w14:paraId="5A3E943C" w14:textId="77777777" w:rsidR="00577326" w:rsidRDefault="00577326" w:rsidP="00577326"/>
        </w:tc>
      </w:tr>
    </w:tbl>
    <w:p w14:paraId="70678AA8" w14:textId="126B09E1" w:rsidR="00B428AE" w:rsidRDefault="00F77712" w:rsidP="00F77712">
      <w:pPr>
        <w:tabs>
          <w:tab w:val="left" w:pos="3340"/>
        </w:tabs>
        <w:jc w:val="center"/>
        <w:rPr>
          <w:b/>
          <w:bCs/>
        </w:rPr>
      </w:pPr>
      <w:r>
        <w:rPr>
          <w:b/>
          <w:bCs/>
        </w:rPr>
        <w:lastRenderedPageBreak/>
        <w:t>Table 1: Approaches to handling faster RLC feedback for lower RTT from higher SCS operation.</w:t>
      </w:r>
    </w:p>
    <w:p w14:paraId="2F66C9D7" w14:textId="155A136D" w:rsidR="00F77712" w:rsidRDefault="00F77712" w:rsidP="00F77712">
      <w:pPr>
        <w:tabs>
          <w:tab w:val="left" w:pos="3340"/>
        </w:tabs>
        <w:jc w:val="left"/>
        <w:rPr>
          <w:b/>
          <w:bCs/>
        </w:rPr>
      </w:pPr>
    </w:p>
    <w:p w14:paraId="3BA7F9AA" w14:textId="0CC9ECB0" w:rsidR="00F77712" w:rsidRDefault="00F77712" w:rsidP="00F77712">
      <w:pPr>
        <w:tabs>
          <w:tab w:val="left" w:pos="3340"/>
        </w:tabs>
        <w:jc w:val="left"/>
      </w:pPr>
      <w:r>
        <w:t xml:space="preserve">We understand that a </w:t>
      </w:r>
      <w:r w:rsidR="004044A6">
        <w:t xml:space="preserve">major </w:t>
      </w:r>
      <w:r>
        <w:t xml:space="preserve">change in RLC or other data-path protocol operation might not be amenable for Rel-17 operation and a re-design might be more practical for Rel-18 to counter the higher data-rates envisioned. But we also see that a change might be still needed in Rel-17 for above 52GHz operation. </w:t>
      </w:r>
    </w:p>
    <w:p w14:paraId="60C9BB61" w14:textId="24A6528B" w:rsidR="00F77712" w:rsidRDefault="00F77712" w:rsidP="00F77712">
      <w:pPr>
        <w:tabs>
          <w:tab w:val="left" w:pos="3340"/>
        </w:tabs>
        <w:jc w:val="left"/>
      </w:pPr>
      <w:r>
        <w:t>There we propose that RAN2 discuss the above options (or any other alternative that can be practical) to handle the higher data-rates from above 52 GHz operation.</w:t>
      </w:r>
    </w:p>
    <w:p w14:paraId="1BB96D06" w14:textId="16FD9A17" w:rsidR="00F77712" w:rsidRPr="004044A6" w:rsidRDefault="00F77712" w:rsidP="00F77712">
      <w:pPr>
        <w:tabs>
          <w:tab w:val="left" w:pos="3340"/>
        </w:tabs>
        <w:jc w:val="left"/>
        <w:rPr>
          <w:b/>
          <w:bCs/>
        </w:rPr>
      </w:pPr>
      <w:r w:rsidRPr="004044A6">
        <w:rPr>
          <w:b/>
          <w:bCs/>
        </w:rPr>
        <w:t>Proposal 1: RAN2 to discuss which of the above approaches to be taken for handling higher data-rates from above 52GHz operation using higher sub-carrier-spacings.</w:t>
      </w:r>
    </w:p>
    <w:p w14:paraId="7FEA7C82" w14:textId="0BE5E720" w:rsidR="00D76C43" w:rsidRDefault="00D76C43" w:rsidP="00D76C43">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Proposals </w:t>
      </w:r>
    </w:p>
    <w:p w14:paraId="421859AA" w14:textId="2DA6DCBB" w:rsidR="00170CDB" w:rsidRDefault="00A53D36">
      <w:pPr>
        <w:spacing w:before="156"/>
      </w:pPr>
      <w:r>
        <w:t>To be added.</w:t>
      </w:r>
    </w:p>
    <w:p w14:paraId="3B349FE8" w14:textId="77777777" w:rsidR="00170CDB" w:rsidRDefault="00C7647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7B9F9BFB" w14:textId="77777777" w:rsidR="007701FC" w:rsidRPr="007701FC" w:rsidRDefault="007701FC" w:rsidP="007701FC">
      <w:pPr>
        <w:pStyle w:val="ListParagraph"/>
        <w:numPr>
          <w:ilvl w:val="0"/>
          <w:numId w:val="20"/>
        </w:numPr>
        <w:spacing w:before="156"/>
        <w:rPr>
          <w:bCs/>
          <w:lang w:val="en-GB"/>
        </w:rPr>
      </w:pPr>
      <w:r w:rsidRPr="007701FC">
        <w:t xml:space="preserve">RP-193259, New SID: Study on supporting NR from 52.6GHz to 71GHz. Intel, </w:t>
      </w:r>
      <w:proofErr w:type="spellStart"/>
      <w:r w:rsidRPr="007701FC">
        <w:t>Sitges</w:t>
      </w:r>
      <w:proofErr w:type="spellEnd"/>
      <w:r w:rsidRPr="007701FC">
        <w:t xml:space="preserve">, Spain, RAN#86, December 9 – 12, 2019 </w:t>
      </w:r>
    </w:p>
    <w:p w14:paraId="352FDA67" w14:textId="77777777" w:rsidR="007701FC" w:rsidRPr="007701FC" w:rsidRDefault="007701FC" w:rsidP="007701FC">
      <w:pPr>
        <w:pStyle w:val="ListParagraph"/>
        <w:numPr>
          <w:ilvl w:val="0"/>
          <w:numId w:val="20"/>
        </w:numPr>
        <w:spacing w:before="156"/>
        <w:rPr>
          <w:bCs/>
          <w:lang w:val="en-GB"/>
        </w:rPr>
      </w:pPr>
      <w:r w:rsidRPr="007701FC">
        <w:rPr>
          <w:bCs/>
          <w:lang w:val="en-GB"/>
        </w:rPr>
        <w:t>RP-210862</w:t>
      </w:r>
      <w:r w:rsidRPr="007701FC">
        <w:rPr>
          <w:rFonts w:hint="eastAsia"/>
          <w:bCs/>
        </w:rPr>
        <w:t xml:space="preserve">, </w:t>
      </w:r>
      <w:r w:rsidRPr="007701FC">
        <w:rPr>
          <w:bCs/>
          <w:lang w:val="en-GB"/>
        </w:rPr>
        <w:t>Revised WID on Extending current NR operation to 71GHz</w:t>
      </w:r>
      <w:r w:rsidRPr="007701FC">
        <w:rPr>
          <w:rFonts w:hint="eastAsia"/>
          <w:bCs/>
        </w:rPr>
        <w:t xml:space="preserve">, </w:t>
      </w:r>
      <w:r w:rsidRPr="007701FC">
        <w:rPr>
          <w:bCs/>
          <w:lang w:val="en-GB"/>
        </w:rPr>
        <w:t>CMCC</w:t>
      </w:r>
      <w:r w:rsidRPr="007701FC">
        <w:rPr>
          <w:rFonts w:hint="eastAsia"/>
          <w:bCs/>
        </w:rPr>
        <w:t>, RAN #91e, March 16- March 26, 2021.</w:t>
      </w:r>
    </w:p>
    <w:p w14:paraId="07DA82C1" w14:textId="77777777" w:rsidR="007701FC" w:rsidRPr="007701FC" w:rsidRDefault="007701FC" w:rsidP="007701FC">
      <w:pPr>
        <w:pStyle w:val="ListParagraph"/>
        <w:numPr>
          <w:ilvl w:val="0"/>
          <w:numId w:val="20"/>
        </w:numPr>
        <w:spacing w:before="156"/>
        <w:rPr>
          <w:bCs/>
          <w:lang w:val="en-GB"/>
        </w:rPr>
      </w:pPr>
      <w:r w:rsidRPr="007701FC">
        <w:rPr>
          <w:rFonts w:hint="eastAsia"/>
          <w:bCs/>
          <w:lang w:val="en-GB"/>
        </w:rPr>
        <w:t>draft_MeetingReport_RAN_91e_210330_eom</w:t>
      </w:r>
      <w:r w:rsidRPr="007701FC">
        <w:rPr>
          <w:rFonts w:hint="eastAsia"/>
          <w:bCs/>
        </w:rPr>
        <w:t>.</w:t>
      </w:r>
    </w:p>
    <w:p w14:paraId="69DA9665" w14:textId="411C741F" w:rsidR="00170CDB" w:rsidRPr="007701FC" w:rsidRDefault="00170CDB" w:rsidP="007701FC">
      <w:pPr>
        <w:spacing w:before="156"/>
        <w:ind w:left="360"/>
        <w:rPr>
          <w:sz w:val="22"/>
        </w:rPr>
      </w:pPr>
    </w:p>
    <w:sectPr w:rsidR="00170CDB" w:rsidRPr="007701FC">
      <w:headerReference w:type="even" r:id="rId14"/>
      <w:headerReference w:type="default" r:id="rId15"/>
      <w:footerReference w:type="even" r:id="rId16"/>
      <w:footerReference w:type="default" r:id="rId17"/>
      <w:headerReference w:type="first" r:id="rId18"/>
      <w:footerReference w:type="first" r:id="rId19"/>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ADE86C" w14:textId="77777777" w:rsidR="0039544F" w:rsidRDefault="0039544F">
      <w:pPr>
        <w:spacing w:after="0"/>
      </w:pPr>
      <w:r>
        <w:separator/>
      </w:r>
    </w:p>
  </w:endnote>
  <w:endnote w:type="continuationSeparator" w:id="0">
    <w:p w14:paraId="1C75493D" w14:textId="77777777" w:rsidR="0039544F" w:rsidRDefault="003954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TFa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133E" w14:textId="77777777" w:rsidR="00170CDB" w:rsidRDefault="00C76477">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1137340D" w14:textId="77777777" w:rsidR="00170CDB" w:rsidRDefault="00170CDB">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37C44" w14:textId="77777777" w:rsidR="00170CDB" w:rsidRDefault="00170CDB">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FCE03" w14:textId="77777777" w:rsidR="00170CDB" w:rsidRDefault="00170CDB">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8FA9B2" w14:textId="77777777" w:rsidR="0039544F" w:rsidRDefault="0039544F">
      <w:pPr>
        <w:spacing w:after="0"/>
      </w:pPr>
      <w:r>
        <w:separator/>
      </w:r>
    </w:p>
  </w:footnote>
  <w:footnote w:type="continuationSeparator" w:id="0">
    <w:p w14:paraId="2FE83CF2" w14:textId="77777777" w:rsidR="0039544F" w:rsidRDefault="003954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A2D69" w14:textId="77777777" w:rsidR="00170CDB" w:rsidRDefault="00170CDB">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0FCF0" w14:textId="77777777" w:rsidR="00170CDB" w:rsidRDefault="00170CDB">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87265" w14:textId="77777777" w:rsidR="00170CDB" w:rsidRDefault="00170CDB">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6CBA8B"/>
    <w:multiLevelType w:val="singleLevel"/>
    <w:tmpl w:val="8A6CBA8B"/>
    <w:lvl w:ilvl="0">
      <w:start w:val="1"/>
      <w:numFmt w:val="bullet"/>
      <w:lvlText w:val=""/>
      <w:lvlJc w:val="left"/>
      <w:pPr>
        <w:ind w:left="420" w:hanging="420"/>
      </w:pPr>
      <w:rPr>
        <w:rFonts w:ascii="Wingdings" w:hAnsi="Wingdings" w:hint="default"/>
      </w:rPr>
    </w:lvl>
  </w:abstractNum>
  <w:abstractNum w:abstractNumId="1" w15:restartNumberingAfterBreak="0">
    <w:nsid w:val="FC257602"/>
    <w:multiLevelType w:val="singleLevel"/>
    <w:tmpl w:val="FC257602"/>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0FE4FFC"/>
    <w:multiLevelType w:val="hybridMultilevel"/>
    <w:tmpl w:val="821A8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8653A04"/>
    <w:multiLevelType w:val="hybridMultilevel"/>
    <w:tmpl w:val="E0C8F372"/>
    <w:lvl w:ilvl="0" w:tplc="871CC2B4">
      <w:start w:val="1"/>
      <w:numFmt w:val="bullet"/>
      <w:lvlText w:val="-"/>
      <w:lvlJc w:val="left"/>
      <w:pPr>
        <w:ind w:left="830" w:hanging="360"/>
      </w:pPr>
      <w:rPr>
        <w:rFonts w:ascii="Calibri" w:eastAsiaTheme="minorHAnsi" w:hAnsi="Calibri" w:cs="Calibri"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0EF564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7" w15:restartNumberingAfterBreak="0">
    <w:nsid w:val="1CD96985"/>
    <w:multiLevelType w:val="hybridMultilevel"/>
    <w:tmpl w:val="B42C6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F3AFD"/>
    <w:multiLevelType w:val="hybridMultilevel"/>
    <w:tmpl w:val="53D6C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E46B8"/>
    <w:multiLevelType w:val="hybridMultilevel"/>
    <w:tmpl w:val="8A7665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FE1228"/>
    <w:multiLevelType w:val="hybridMultilevel"/>
    <w:tmpl w:val="87B4A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72418E"/>
    <w:multiLevelType w:val="multilevel"/>
    <w:tmpl w:val="25724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CE501F"/>
    <w:multiLevelType w:val="hybridMultilevel"/>
    <w:tmpl w:val="0D443D96"/>
    <w:lvl w:ilvl="0" w:tplc="0409000B">
      <w:start w:val="1"/>
      <w:numFmt w:val="bullet"/>
      <w:lvlText w:val=""/>
      <w:lvlJc w:val="left"/>
      <w:pPr>
        <w:ind w:left="823" w:hanging="360"/>
      </w:pPr>
      <w:rPr>
        <w:rFonts w:ascii="Wingdings" w:hAnsi="Wingding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4" w15:restartNumberingAfterBreak="0">
    <w:nsid w:val="2ED01CD2"/>
    <w:multiLevelType w:val="hybridMultilevel"/>
    <w:tmpl w:val="CCDCB53E"/>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FE7F3A"/>
    <w:multiLevelType w:val="hybridMultilevel"/>
    <w:tmpl w:val="566AA88C"/>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E935D4"/>
    <w:multiLevelType w:val="hybridMultilevel"/>
    <w:tmpl w:val="9F7E4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E578E"/>
    <w:multiLevelType w:val="multilevel"/>
    <w:tmpl w:val="460E57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31798A"/>
    <w:multiLevelType w:val="multilevel"/>
    <w:tmpl w:val="47317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15B5263"/>
    <w:multiLevelType w:val="hybridMultilevel"/>
    <w:tmpl w:val="DF64B0EC"/>
    <w:lvl w:ilvl="0" w:tplc="85907EC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0BE39C"/>
    <w:multiLevelType w:val="singleLevel"/>
    <w:tmpl w:val="5E0BE39C"/>
    <w:lvl w:ilvl="0">
      <w:start w:val="1"/>
      <w:numFmt w:val="bullet"/>
      <w:lvlText w:val=""/>
      <w:lvlJc w:val="left"/>
      <w:pPr>
        <w:ind w:left="420" w:hanging="420"/>
      </w:pPr>
      <w:rPr>
        <w:rFonts w:ascii="Wingdings" w:hAnsi="Wingdings" w:hint="default"/>
      </w:rPr>
    </w:lvl>
  </w:abstractNum>
  <w:abstractNum w:abstractNumId="24" w15:restartNumberingAfterBreak="0">
    <w:nsid w:val="5F6B4FFD"/>
    <w:multiLevelType w:val="hybridMultilevel"/>
    <w:tmpl w:val="CE3C7B3C"/>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FB2E9B"/>
    <w:multiLevelType w:val="hybridMultilevel"/>
    <w:tmpl w:val="4A32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912758"/>
    <w:multiLevelType w:val="hybridMultilevel"/>
    <w:tmpl w:val="1E84FB64"/>
    <w:lvl w:ilvl="0" w:tplc="483EDD6E">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92266C"/>
    <w:multiLevelType w:val="hybridMultilevel"/>
    <w:tmpl w:val="4D066900"/>
    <w:lvl w:ilvl="0" w:tplc="0409000B">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20"/>
  </w:num>
  <w:num w:numId="3">
    <w:abstractNumId w:val="4"/>
  </w:num>
  <w:num w:numId="4">
    <w:abstractNumId w:val="18"/>
  </w:num>
  <w:num w:numId="5">
    <w:abstractNumId w:val="19"/>
  </w:num>
  <w:num w:numId="6">
    <w:abstractNumId w:val="12"/>
  </w:num>
  <w:num w:numId="7">
    <w:abstractNumId w:val="1"/>
  </w:num>
  <w:num w:numId="8">
    <w:abstractNumId w:val="23"/>
  </w:num>
  <w:num w:numId="9">
    <w:abstractNumId w:val="0"/>
  </w:num>
  <w:num w:numId="10">
    <w:abstractNumId w:val="9"/>
  </w:num>
  <w:num w:numId="11">
    <w:abstractNumId w:val="10"/>
  </w:num>
  <w:num w:numId="12">
    <w:abstractNumId w:val="13"/>
  </w:num>
  <w:num w:numId="13">
    <w:abstractNumId w:val="16"/>
  </w:num>
  <w:num w:numId="14">
    <w:abstractNumId w:val="26"/>
  </w:num>
  <w:num w:numId="15">
    <w:abstractNumId w:val="14"/>
  </w:num>
  <w:num w:numId="16">
    <w:abstractNumId w:val="24"/>
  </w:num>
  <w:num w:numId="17">
    <w:abstractNumId w:val="5"/>
  </w:num>
  <w:num w:numId="18">
    <w:abstractNumId w:val="15"/>
  </w:num>
  <w:num w:numId="19">
    <w:abstractNumId w:val="22"/>
  </w:num>
  <w:num w:numId="20">
    <w:abstractNumId w:val="21"/>
  </w:num>
  <w:num w:numId="21">
    <w:abstractNumId w:val="8"/>
  </w:num>
  <w:num w:numId="22">
    <w:abstractNumId w:val="11"/>
  </w:num>
  <w:num w:numId="23">
    <w:abstractNumId w:val="27"/>
  </w:num>
  <w:num w:numId="24">
    <w:abstractNumId w:val="3"/>
  </w:num>
  <w:num w:numId="25">
    <w:abstractNumId w:val="17"/>
  </w:num>
  <w:num w:numId="26">
    <w:abstractNumId w:val="25"/>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num>
  <w:num w:numId="31">
    <w:abstractNumId w:val="2"/>
  </w:num>
  <w:num w:numId="32">
    <w:abstractNumId w:val="2"/>
  </w:num>
  <w:num w:numId="33">
    <w:abstractNumId w:val="28"/>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CDB"/>
    <w:rsid w:val="00035CE0"/>
    <w:rsid w:val="00054BF1"/>
    <w:rsid w:val="00056A86"/>
    <w:rsid w:val="00087A6E"/>
    <w:rsid w:val="00090557"/>
    <w:rsid w:val="000B07BF"/>
    <w:rsid w:val="000E3F24"/>
    <w:rsid w:val="00170CDB"/>
    <w:rsid w:val="001868CE"/>
    <w:rsid w:val="001A0CD5"/>
    <w:rsid w:val="001A6921"/>
    <w:rsid w:val="001A73DD"/>
    <w:rsid w:val="001B4554"/>
    <w:rsid w:val="001C4E3D"/>
    <w:rsid w:val="001C56FD"/>
    <w:rsid w:val="001E7551"/>
    <w:rsid w:val="00213414"/>
    <w:rsid w:val="0026646C"/>
    <w:rsid w:val="00271438"/>
    <w:rsid w:val="002763F1"/>
    <w:rsid w:val="00286B08"/>
    <w:rsid w:val="00286D02"/>
    <w:rsid w:val="002927DF"/>
    <w:rsid w:val="002A06AF"/>
    <w:rsid w:val="002C3875"/>
    <w:rsid w:val="002D23FD"/>
    <w:rsid w:val="002F4026"/>
    <w:rsid w:val="003127E8"/>
    <w:rsid w:val="00315FFF"/>
    <w:rsid w:val="0031652B"/>
    <w:rsid w:val="003202E7"/>
    <w:rsid w:val="00330E17"/>
    <w:rsid w:val="00355F2F"/>
    <w:rsid w:val="00377AD3"/>
    <w:rsid w:val="0039544F"/>
    <w:rsid w:val="003B045F"/>
    <w:rsid w:val="003B6F03"/>
    <w:rsid w:val="003E7586"/>
    <w:rsid w:val="004044A6"/>
    <w:rsid w:val="00410949"/>
    <w:rsid w:val="004131AC"/>
    <w:rsid w:val="0041625E"/>
    <w:rsid w:val="00427FAD"/>
    <w:rsid w:val="00434CBA"/>
    <w:rsid w:val="0046731D"/>
    <w:rsid w:val="00475164"/>
    <w:rsid w:val="0048309B"/>
    <w:rsid w:val="0048359F"/>
    <w:rsid w:val="00483F01"/>
    <w:rsid w:val="00487A9C"/>
    <w:rsid w:val="004915E8"/>
    <w:rsid w:val="004C6FB7"/>
    <w:rsid w:val="004D202E"/>
    <w:rsid w:val="004E0013"/>
    <w:rsid w:val="004E5FCB"/>
    <w:rsid w:val="004F081C"/>
    <w:rsid w:val="00553794"/>
    <w:rsid w:val="00553E17"/>
    <w:rsid w:val="0056522A"/>
    <w:rsid w:val="0056694F"/>
    <w:rsid w:val="00577326"/>
    <w:rsid w:val="00587E32"/>
    <w:rsid w:val="005A374B"/>
    <w:rsid w:val="005D0D02"/>
    <w:rsid w:val="005D309F"/>
    <w:rsid w:val="005D7AB5"/>
    <w:rsid w:val="006007B9"/>
    <w:rsid w:val="00616C38"/>
    <w:rsid w:val="006261B5"/>
    <w:rsid w:val="00626CBA"/>
    <w:rsid w:val="00643B5B"/>
    <w:rsid w:val="006877C4"/>
    <w:rsid w:val="006B58B3"/>
    <w:rsid w:val="00721A88"/>
    <w:rsid w:val="00756701"/>
    <w:rsid w:val="00761688"/>
    <w:rsid w:val="007701FC"/>
    <w:rsid w:val="00770B79"/>
    <w:rsid w:val="0078280D"/>
    <w:rsid w:val="00784092"/>
    <w:rsid w:val="007B1F60"/>
    <w:rsid w:val="007B2116"/>
    <w:rsid w:val="00803196"/>
    <w:rsid w:val="00814A76"/>
    <w:rsid w:val="00830882"/>
    <w:rsid w:val="008437C9"/>
    <w:rsid w:val="008476E8"/>
    <w:rsid w:val="00857BEF"/>
    <w:rsid w:val="00862B93"/>
    <w:rsid w:val="008773C0"/>
    <w:rsid w:val="00901D54"/>
    <w:rsid w:val="00923C22"/>
    <w:rsid w:val="009341F8"/>
    <w:rsid w:val="00954E6B"/>
    <w:rsid w:val="00964863"/>
    <w:rsid w:val="009809EB"/>
    <w:rsid w:val="0098328C"/>
    <w:rsid w:val="009B28F7"/>
    <w:rsid w:val="009B779C"/>
    <w:rsid w:val="009C4A45"/>
    <w:rsid w:val="009D7E1C"/>
    <w:rsid w:val="009E3EB2"/>
    <w:rsid w:val="00A10045"/>
    <w:rsid w:val="00A201AB"/>
    <w:rsid w:val="00A24A94"/>
    <w:rsid w:val="00A35127"/>
    <w:rsid w:val="00A4079E"/>
    <w:rsid w:val="00A5387D"/>
    <w:rsid w:val="00A53D36"/>
    <w:rsid w:val="00A66DD1"/>
    <w:rsid w:val="00AB2E57"/>
    <w:rsid w:val="00AB5281"/>
    <w:rsid w:val="00AD0C91"/>
    <w:rsid w:val="00AE4B90"/>
    <w:rsid w:val="00AE618D"/>
    <w:rsid w:val="00B1119B"/>
    <w:rsid w:val="00B1253E"/>
    <w:rsid w:val="00B26D97"/>
    <w:rsid w:val="00B3568A"/>
    <w:rsid w:val="00B428AE"/>
    <w:rsid w:val="00B43A04"/>
    <w:rsid w:val="00B524E6"/>
    <w:rsid w:val="00B52F6E"/>
    <w:rsid w:val="00B67AC3"/>
    <w:rsid w:val="00B70449"/>
    <w:rsid w:val="00BC79BC"/>
    <w:rsid w:val="00BE0CA2"/>
    <w:rsid w:val="00C4514D"/>
    <w:rsid w:val="00C6032C"/>
    <w:rsid w:val="00C626A1"/>
    <w:rsid w:val="00C729B6"/>
    <w:rsid w:val="00C74FB5"/>
    <w:rsid w:val="00C76477"/>
    <w:rsid w:val="00C96E3F"/>
    <w:rsid w:val="00C97915"/>
    <w:rsid w:val="00CA1BB3"/>
    <w:rsid w:val="00CB479A"/>
    <w:rsid w:val="00CB5947"/>
    <w:rsid w:val="00CB766E"/>
    <w:rsid w:val="00CD26AF"/>
    <w:rsid w:val="00CE2F38"/>
    <w:rsid w:val="00CF173E"/>
    <w:rsid w:val="00CF3070"/>
    <w:rsid w:val="00D23AC1"/>
    <w:rsid w:val="00D2627F"/>
    <w:rsid w:val="00D276DE"/>
    <w:rsid w:val="00D5253F"/>
    <w:rsid w:val="00D559D7"/>
    <w:rsid w:val="00D66979"/>
    <w:rsid w:val="00D740CF"/>
    <w:rsid w:val="00D76C43"/>
    <w:rsid w:val="00DB66AA"/>
    <w:rsid w:val="00DC53F1"/>
    <w:rsid w:val="00E2547F"/>
    <w:rsid w:val="00E26F3A"/>
    <w:rsid w:val="00E364DE"/>
    <w:rsid w:val="00E51A07"/>
    <w:rsid w:val="00E94CEF"/>
    <w:rsid w:val="00EA40DD"/>
    <w:rsid w:val="00EB4291"/>
    <w:rsid w:val="00EC0306"/>
    <w:rsid w:val="00F129C1"/>
    <w:rsid w:val="00F36C68"/>
    <w:rsid w:val="00F36F60"/>
    <w:rsid w:val="00F77712"/>
    <w:rsid w:val="00F81946"/>
    <w:rsid w:val="00F9035F"/>
    <w:rsid w:val="00F95C35"/>
    <w:rsid w:val="00FC7802"/>
    <w:rsid w:val="00FE217A"/>
    <w:rsid w:val="00FE6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D99E44"/>
  <w15:docId w15:val="{C0749C17-0619-4D06-AFA9-FDB73AF64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uto"/>
      <w:jc w:val="both"/>
    </w:pPr>
    <w:rPr>
      <w:rFonts w:asciiTheme="minorHAnsi" w:eastAsiaTheme="minorEastAsia" w:hAnsiTheme="minorHAnsi"/>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ascii="Arial" w:eastAsia="SimHei" w:hAnsi="Arial"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ascii="Arial" w:eastAsia="MS Mincho" w:hAnsi="Arial"/>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ascii="Arial" w:eastAsia="Batang" w:hAnsi="Arial"/>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rPr>
  </w:style>
  <w:style w:type="paragraph" w:customStyle="1" w:styleId="a5">
    <w:name w:val="示例"/>
    <w:next w:val="a6"/>
    <w:qFormat/>
    <w:pPr>
      <w:widowControl w:val="0"/>
      <w:ind w:left="360" w:hanging="360"/>
      <w:jc w:val="both"/>
    </w:pPr>
    <w:rPr>
      <w:rFonts w:ascii="SimSun" w:eastAsiaTheme="minorEastAsia"/>
      <w:sz w:val="18"/>
      <w:szCs w:val="18"/>
    </w:rPr>
  </w:style>
  <w:style w:type="paragraph" w:customStyle="1" w:styleId="a6">
    <w:name w:val="示例内容"/>
    <w:qFormat/>
    <w:pPr>
      <w:ind w:firstLineChars="200" w:firstLine="200"/>
    </w:pPr>
    <w:rPr>
      <w:rFonts w:ascii="SimSun" w:eastAsiaTheme="minorEastAsia"/>
      <w:sz w:val="18"/>
      <w:szCs w:val="18"/>
    </w:rPr>
  </w:style>
  <w:style w:type="paragraph" w:customStyle="1" w:styleId="a7">
    <w:name w:val="附录数字编号列项（二级）"/>
    <w:qFormat/>
    <w:pPr>
      <w:tabs>
        <w:tab w:val="left" w:pos="363"/>
        <w:tab w:val="left" w:pos="840"/>
      </w:tabs>
      <w:ind w:firstLine="363"/>
    </w:pPr>
    <w:rPr>
      <w:rFonts w:ascii="SimSun"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rPr>
  </w:style>
  <w:style w:type="paragraph" w:customStyle="1" w:styleId="affff0">
    <w:name w:val="附录字母编号列项（一级）"/>
    <w:qFormat/>
    <w:pPr>
      <w:tabs>
        <w:tab w:val="left" w:pos="839"/>
      </w:tabs>
      <w:ind w:firstLine="363"/>
    </w:pPr>
    <w:rPr>
      <w:rFonts w:ascii="SimSun"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eastAsia="SimSun" w:hAnsi="Arial"/>
      <w:sz w:val="21"/>
      <w:szCs w:val="22"/>
      <w:lang w:val="en-GB" w:eastAsia="en-US"/>
    </w:rPr>
  </w:style>
  <w:style w:type="paragraph" w:styleId="ListParagraph">
    <w:name w:val="List Paragraph"/>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qFormat/>
    <w:locked/>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7382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6edeb28be6eed21f245e3b635dd71ca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113df49d0f428294558fa3c99d4e716e"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CDE9B2-0EDE-4613-B859-7CFEE6ED7FC8}">
  <ds:schemaRefs>
    <ds:schemaRef ds:uri="http://schemas.microsoft.com/sharepoint/v3/contenttype/forms"/>
  </ds:schemaRefs>
</ds:datastoreItem>
</file>

<file path=customXml/itemProps2.xml><?xml version="1.0" encoding="utf-8"?>
<ds:datastoreItem xmlns:ds="http://schemas.openxmlformats.org/officeDocument/2006/customXml" ds:itemID="{23E0E31C-D419-40CE-89A6-CC77FAE500BC}">
  <ds:schemaRefs>
    <ds:schemaRef ds:uri="http://schemas.openxmlformats.org/officeDocument/2006/bibliography"/>
  </ds:schemaRefs>
</ds:datastoreItem>
</file>

<file path=customXml/itemProps3.xml><?xml version="1.0" encoding="utf-8"?>
<ds:datastoreItem xmlns:ds="http://schemas.openxmlformats.org/officeDocument/2006/customXml" ds:itemID="{507004EA-0EA2-4788-8A12-3FA5CE96EB9A}">
  <ds:schemaRefs>
    <ds:schemaRef ds:uri="http://schemas.microsoft.com/sharepoint/events"/>
  </ds:schemaRefs>
</ds:datastoreItem>
</file>

<file path=customXml/itemProps4.xml><?xml version="1.0" encoding="utf-8"?>
<ds:datastoreItem xmlns:ds="http://schemas.openxmlformats.org/officeDocument/2006/customXml" ds:itemID="{076A7B83-241B-4813-90A5-A73B293A784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A2F1887-7EE5-4EEE-812C-791A9D40DCD7}">
  <ds:schemaRefs>
    <ds:schemaRef ds:uri="Microsoft.SharePoint.Taxonomy.ContentTypeSync"/>
  </ds:schemaRefs>
</ds:datastoreItem>
</file>

<file path=customXml/itemProps6.xml><?xml version="1.0" encoding="utf-8"?>
<ds:datastoreItem xmlns:ds="http://schemas.openxmlformats.org/officeDocument/2006/customXml" ds:itemID="{2C59942D-67F0-4028-896F-0A5C83002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981</Words>
  <Characters>5594</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Apple - Naveen Palle</cp:lastModifiedBy>
  <cp:revision>2</cp:revision>
  <cp:lastPrinted>2113-01-01T00:00:00Z</cp:lastPrinted>
  <dcterms:created xsi:type="dcterms:W3CDTF">2021-05-10T21:28:00Z</dcterms:created>
  <dcterms:modified xsi:type="dcterms:W3CDTF">2021-05-10T21:28:00Z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ContentTypeId">
    <vt:lpwstr>0x010100BB1698D62D3F4345A12A6B71F8F8D7FE</vt:lpwstr>
  </property>
  <property fmtid="{D5CDD505-2E9C-101B-9397-08002B2CF9AE}" pid="4" name="_2015_ms_pID_725343">
    <vt:lpwstr>(3)JfBnaIVLrFyi9DcUCEPx7Ho6iLhu2kQNgs1NWuN0syfV5VxM+dGe5yYy61gTbfJhyf8SdtTW
beRJ0Z9iiT9TIKnznxcE8NmVUNvlbRQI1DFB2Hb1WGrAVDnehM6Mj6Kvs5bPqVDHttrwEMqK
5dJhShM+/Bhze+t1oz+JI9AO/L/vxGgOUYT2PP+8XI3fhmOyoHCa4410DpXHK+RpECw1IlCR
mWzWkxtM3oKxNqJJ6i</vt:lpwstr>
  </property>
  <property fmtid="{D5CDD505-2E9C-101B-9397-08002B2CF9AE}" pid="5" name="_2015_ms_pID_7253431">
    <vt:lpwstr>c/aYAGKEhZcWuIxw6R00ORXPLvVRtH15svRODWJKngzXTUB0YFzdfL
Jt/lvXfsZYhCJRIZJ3yKn0oviF/Vs/WNM0xtmAWkUuolXI+oHAWJpcKnGEu2ppXy7dz5cdJN
1N3Lc5YOLO3VnSy5dZqIDWns5MgU4kGHMIUXCVXYEeunXZQ4Lw3UYPO/4Og7ieNrtWA+am5Q
t/jJ1I0i1BKZWJ9eBss4sdE6HV2WfUl6HFZD</vt:lpwstr>
  </property>
  <property fmtid="{D5CDD505-2E9C-101B-9397-08002B2CF9AE}" pid="6" name="_2015_ms_pID_7253432">
    <vt:lpwstr>jKC/vOdDUAQIMLA+15VNkgc=</vt:lpwstr>
  </property>
  <property fmtid="{D5CDD505-2E9C-101B-9397-08002B2CF9AE}" pid="7" name="HideFromDelve">
    <vt:lpwstr>0</vt:lpwstr>
  </property>
  <property fmtid="{D5CDD505-2E9C-101B-9397-08002B2CF9AE}" pid="8" name="NSCPROP_SA">
    <vt:lpwstr>C:\Users\jack.jang\Desktop\R2-20xxxxx -[Post112-e][061][NR15] Configuration of First Active BWP-v0.docx</vt:lpwstr>
  </property>
</Properties>
</file>