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10D11E21" w:rsidR="00515691" w:rsidRPr="00253F9C" w:rsidRDefault="00515691" w:rsidP="00515691">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53F9C">
        <w:rPr>
          <w:rFonts w:asciiTheme="minorHAnsi" w:eastAsia="MS Mincho" w:hAnsiTheme="minorHAnsi" w:cstheme="minorHAnsi"/>
          <w:sz w:val="24"/>
          <w:szCs w:val="24"/>
          <w:lang w:val="en-US" w:eastAsia="en-US"/>
        </w:rPr>
        <w:t>3GPP TSG RAN WG2 Meeting# 1</w:t>
      </w:r>
      <w:r w:rsidR="003B5AB4">
        <w:rPr>
          <w:rFonts w:asciiTheme="minorHAnsi" w:eastAsia="MS Mincho" w:hAnsiTheme="minorHAnsi" w:cstheme="minorHAnsi"/>
          <w:sz w:val="24"/>
          <w:szCs w:val="24"/>
          <w:lang w:val="en-US" w:eastAsia="en-US"/>
        </w:rPr>
        <w:t>14</w:t>
      </w:r>
      <w:r w:rsidR="007E12E9" w:rsidRPr="00253F9C">
        <w:rPr>
          <w:rFonts w:asciiTheme="minorHAnsi" w:eastAsia="MS Mincho" w:hAnsiTheme="minorHAnsi" w:cstheme="minorHAnsi"/>
          <w:sz w:val="24"/>
          <w:szCs w:val="24"/>
          <w:lang w:val="en-US" w:eastAsia="en-US"/>
        </w:rPr>
        <w:t xml:space="preserve"> </w:t>
      </w:r>
      <w:r w:rsidR="00F378D3" w:rsidRPr="00253F9C">
        <w:rPr>
          <w:rFonts w:asciiTheme="minorHAnsi" w:hAnsiTheme="minorHAnsi" w:cstheme="minorHAnsi"/>
          <w:sz w:val="24"/>
          <w:szCs w:val="24"/>
        </w:rPr>
        <w:t>electronic</w:t>
      </w:r>
      <w:r w:rsidRPr="00253F9C">
        <w:rPr>
          <w:rFonts w:asciiTheme="minorHAnsi" w:eastAsia="MS Mincho" w:hAnsiTheme="minorHAnsi" w:cstheme="minorHAnsi"/>
          <w:sz w:val="24"/>
          <w:szCs w:val="24"/>
          <w:lang w:val="en-US" w:eastAsia="en-US"/>
        </w:rPr>
        <w:t xml:space="preserve">   </w:t>
      </w:r>
      <w:r w:rsidRPr="00253F9C">
        <w:rPr>
          <w:rFonts w:asciiTheme="minorHAnsi" w:eastAsia="MS Mincho" w:hAnsiTheme="minorHAnsi" w:cstheme="minorHAnsi"/>
          <w:sz w:val="24"/>
          <w:szCs w:val="24"/>
          <w:lang w:val="en-US" w:eastAsia="en-US"/>
        </w:rPr>
        <w:tab/>
        <w:t xml:space="preserve">                            R2-</w:t>
      </w:r>
      <w:r w:rsidR="007E12E9" w:rsidRPr="00253F9C">
        <w:rPr>
          <w:rFonts w:asciiTheme="minorHAnsi" w:eastAsia="MS Mincho" w:hAnsiTheme="minorHAnsi" w:cstheme="minorHAnsi"/>
          <w:sz w:val="24"/>
          <w:szCs w:val="24"/>
          <w:lang w:val="en-US" w:eastAsia="en-US"/>
        </w:rPr>
        <w:t>2</w:t>
      </w:r>
      <w:r w:rsidR="00307439" w:rsidRPr="00253F9C">
        <w:rPr>
          <w:rFonts w:asciiTheme="minorHAnsi" w:eastAsia="MS Mincho" w:hAnsiTheme="minorHAnsi" w:cstheme="minorHAnsi"/>
          <w:sz w:val="24"/>
          <w:szCs w:val="24"/>
          <w:lang w:val="en-US" w:eastAsia="en-US"/>
        </w:rPr>
        <w:t>10</w:t>
      </w:r>
      <w:r w:rsidR="00822039">
        <w:rPr>
          <w:rFonts w:asciiTheme="minorHAnsi" w:eastAsia="MS Mincho" w:hAnsiTheme="minorHAnsi" w:cstheme="minorHAnsi"/>
          <w:sz w:val="24"/>
          <w:szCs w:val="24"/>
          <w:lang w:val="en-US" w:eastAsia="en-US"/>
        </w:rPr>
        <w:t>5705</w:t>
      </w:r>
    </w:p>
    <w:p w14:paraId="446C55B5" w14:textId="0E0A26AE" w:rsidR="00515691" w:rsidRPr="00CB6DF0" w:rsidRDefault="00253F9C" w:rsidP="00515691">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 xml:space="preserve">Online, </w:t>
      </w:r>
      <w:r w:rsidR="003B5AB4">
        <w:rPr>
          <w:rFonts w:asciiTheme="minorHAnsi" w:hAnsiTheme="minorHAnsi" w:cstheme="minorHAnsi"/>
          <w:sz w:val="24"/>
          <w:szCs w:val="24"/>
        </w:rPr>
        <w:t>May</w:t>
      </w:r>
      <w:r w:rsidRPr="00253F9C">
        <w:rPr>
          <w:rFonts w:asciiTheme="minorHAnsi" w:hAnsiTheme="minorHAnsi" w:cstheme="minorHAnsi"/>
          <w:sz w:val="24"/>
          <w:szCs w:val="24"/>
        </w:rPr>
        <w:t xml:space="preserve"> 1</w:t>
      </w:r>
      <w:r w:rsidR="003B5AB4">
        <w:rPr>
          <w:rFonts w:asciiTheme="minorHAnsi" w:hAnsiTheme="minorHAnsi" w:cstheme="minorHAnsi"/>
          <w:sz w:val="24"/>
          <w:szCs w:val="24"/>
        </w:rPr>
        <w:t>9</w:t>
      </w:r>
      <w:r w:rsidRPr="00253F9C">
        <w:rPr>
          <w:rFonts w:asciiTheme="minorHAnsi" w:hAnsiTheme="minorHAnsi" w:cstheme="minorHAnsi"/>
          <w:sz w:val="24"/>
          <w:szCs w:val="24"/>
        </w:rPr>
        <w:t xml:space="preserve"> – </w:t>
      </w:r>
      <w:r w:rsidR="003B5AB4">
        <w:rPr>
          <w:rFonts w:asciiTheme="minorHAnsi" w:hAnsiTheme="minorHAnsi" w:cstheme="minorHAnsi"/>
          <w:sz w:val="24"/>
          <w:szCs w:val="24"/>
        </w:rPr>
        <w:t>May</w:t>
      </w:r>
      <w:r w:rsidRPr="00253F9C">
        <w:rPr>
          <w:rFonts w:asciiTheme="minorHAnsi" w:hAnsiTheme="minorHAnsi" w:cstheme="minorHAnsi"/>
          <w:sz w:val="24"/>
          <w:szCs w:val="24"/>
        </w:rPr>
        <w:t xml:space="preserve"> 2</w:t>
      </w:r>
      <w:r w:rsidR="003B5AB4">
        <w:rPr>
          <w:rFonts w:asciiTheme="minorHAnsi" w:hAnsiTheme="minorHAnsi" w:cstheme="minorHAnsi"/>
          <w:sz w:val="24"/>
          <w:szCs w:val="24"/>
        </w:rPr>
        <w:t>7</w:t>
      </w:r>
      <w:r w:rsidRPr="00253F9C">
        <w:rPr>
          <w:rFonts w:asciiTheme="minorHAnsi" w:hAnsiTheme="minorHAnsi" w:cstheme="minorHAnsi"/>
          <w:sz w:val="24"/>
          <w:szCs w:val="24"/>
        </w:rPr>
        <w:t>, 2021</w:t>
      </w:r>
      <w:r w:rsidR="00515691" w:rsidRPr="00253F9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4FF3F59E"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w:t>
      </w:r>
      <w:r w:rsidR="00E65316">
        <w:rPr>
          <w:rFonts w:ascii="Calibri" w:eastAsia="MS Mincho" w:hAnsi="Calibri" w:cs="Calibri"/>
          <w:b/>
          <w:sz w:val="24"/>
          <w:lang w:val="en-US" w:eastAsia="en-US"/>
        </w:rPr>
        <w:t>12.3.2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BF3E8EA"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3B5AB4">
        <w:rPr>
          <w:rFonts w:ascii="Calibri" w:eastAsia="MS Mincho" w:hAnsi="Calibri" w:cs="Calibri"/>
          <w:b/>
          <w:sz w:val="24"/>
          <w:lang w:val="en-US" w:eastAsia="en-US"/>
        </w:rPr>
        <w:t xml:space="preserve">Redcap </w:t>
      </w:r>
      <w:r w:rsidR="007F51E8">
        <w:rPr>
          <w:rFonts w:ascii="Calibri" w:eastAsia="MS Mincho" w:hAnsi="Calibri" w:cs="Calibri"/>
          <w:b/>
          <w:sz w:val="24"/>
          <w:lang w:val="en-US" w:eastAsia="en-US"/>
        </w:rPr>
        <w:t>relaxed measurements and</w:t>
      </w:r>
      <w:r w:rsidR="003B5AB4">
        <w:rPr>
          <w:rFonts w:ascii="Calibri" w:eastAsia="MS Mincho" w:hAnsi="Calibri" w:cs="Calibri"/>
          <w:b/>
          <w:sz w:val="24"/>
          <w:lang w:val="en-US" w:eastAsia="en-US"/>
        </w:rPr>
        <w:t xml:space="preserve"> number of beams</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6A3DEA7E" w14:textId="0DF40484" w:rsidR="00FC3BE5" w:rsidRDefault="00FC3BE5" w:rsidP="007711C0">
      <w:r>
        <w:t>RAN2#113bise agreement:</w:t>
      </w:r>
    </w:p>
    <w:tbl>
      <w:tblPr>
        <w:tblStyle w:val="TableGrid"/>
        <w:tblW w:w="0" w:type="auto"/>
        <w:tblLook w:val="04A0" w:firstRow="1" w:lastRow="0" w:firstColumn="1" w:lastColumn="0" w:noHBand="0" w:noVBand="1"/>
      </w:tblPr>
      <w:tblGrid>
        <w:gridCol w:w="9631"/>
      </w:tblGrid>
      <w:tr w:rsidR="00FC3BE5" w14:paraId="5211134D" w14:textId="77777777" w:rsidTr="00FC3BE5">
        <w:tc>
          <w:tcPr>
            <w:tcW w:w="9631" w:type="dxa"/>
          </w:tcPr>
          <w:p w14:paraId="27307D41" w14:textId="77777777" w:rsidR="00FC3BE5" w:rsidRPr="00FC3BE5" w:rsidRDefault="00FC3BE5" w:rsidP="00FC3BE5">
            <w:pPr>
              <w:numPr>
                <w:ilvl w:val="0"/>
                <w:numId w:val="24"/>
              </w:numPr>
            </w:pPr>
            <w:r w:rsidRPr="00FC3BE5">
              <w:t>Assuming there will be a stationary property based on subscription (which is FFS), we will not restrict to this and will continue to assume that a UE can use some RSRP/RSRQ based criteria.</w:t>
            </w:r>
          </w:p>
          <w:p w14:paraId="0A41E628" w14:textId="77777777" w:rsidR="00FC3BE5" w:rsidRPr="00FC3BE5" w:rsidRDefault="00FC3BE5" w:rsidP="00FC3BE5">
            <w:pPr>
              <w:numPr>
                <w:ilvl w:val="0"/>
                <w:numId w:val="24"/>
              </w:numPr>
            </w:pPr>
            <w:r w:rsidRPr="00FC3BE5">
              <w:rPr>
                <w:lang w:val="en-US"/>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1D274135" w14:textId="77777777" w:rsidR="00FC3BE5" w:rsidRPr="00FC3BE5" w:rsidRDefault="00FC3BE5" w:rsidP="00FC3BE5">
            <w:pPr>
              <w:numPr>
                <w:ilvl w:val="0"/>
                <w:numId w:val="24"/>
              </w:numPr>
            </w:pPr>
            <w:r w:rsidRPr="00FC3BE5">
              <w:rPr>
                <w:lang w:val="en-US"/>
              </w:rPr>
              <w:t>the same algorithm used in R16 low-mobility criterion but with its own specific set of thresholds; and/or</w:t>
            </w:r>
          </w:p>
          <w:p w14:paraId="05FD5C55" w14:textId="77777777" w:rsidR="00FC3BE5" w:rsidRPr="00FC3BE5" w:rsidRDefault="00FC3BE5" w:rsidP="00FC3BE5">
            <w:pPr>
              <w:numPr>
                <w:ilvl w:val="0"/>
                <w:numId w:val="24"/>
              </w:numPr>
            </w:pPr>
            <w:r w:rsidRPr="00FC3BE5">
              <w:rPr>
                <w:lang w:val="en-US"/>
              </w:rPr>
              <w:t>a combination of R16 low-mobility criterion and/</w:t>
            </w:r>
            <w:r w:rsidRPr="00FC3BE5">
              <w:rPr>
                <w:b/>
                <w:bCs/>
                <w:lang w:val="en-US"/>
              </w:rPr>
              <w:t>or beam-change based criterion</w:t>
            </w:r>
            <w:r w:rsidRPr="00FC3BE5">
              <w:rPr>
                <w:lang w:val="en-US"/>
              </w:rPr>
              <w:t xml:space="preserve">. </w:t>
            </w:r>
            <w:r w:rsidRPr="00FC3BE5">
              <w:rPr>
                <w:b/>
                <w:bCs/>
                <w:lang w:val="en-US"/>
              </w:rPr>
              <w:t>Exact details of beam change criterion are FFS</w:t>
            </w:r>
          </w:p>
          <w:p w14:paraId="34F5BAEE" w14:textId="663C1272" w:rsidR="00FC3BE5" w:rsidRDefault="00FC3BE5" w:rsidP="00FC3BE5">
            <w:pPr>
              <w:numPr>
                <w:ilvl w:val="0"/>
                <w:numId w:val="24"/>
              </w:numPr>
            </w:pPr>
            <w:r w:rsidRPr="00FC3BE5">
              <w:rPr>
                <w:lang w:val="en-U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r>
    </w:tbl>
    <w:p w14:paraId="655E0275" w14:textId="77777777" w:rsidR="00FC3BE5" w:rsidRDefault="00FC3BE5" w:rsidP="007711C0"/>
    <w:p w14:paraId="71197960" w14:textId="1605AF27" w:rsidR="00EC2EAF" w:rsidRDefault="00EC2EAF" w:rsidP="007711C0">
      <w:r>
        <w:t>In this contribution we</w:t>
      </w:r>
      <w:r w:rsidR="00A94FCB">
        <w:t xml:space="preserve"> provide our views</w:t>
      </w:r>
      <w:r w:rsidR="00FC3BE5">
        <w:t xml:space="preserve"> on </w:t>
      </w:r>
      <w:proofErr w:type="gramStart"/>
      <w:r w:rsidR="00FC3BE5">
        <w:t>beam based</w:t>
      </w:r>
      <w:proofErr w:type="gramEnd"/>
      <w:r w:rsidR="00FC3BE5">
        <w:t xml:space="preserve"> criteria and propose that a threshold based on number of beams should be used</w:t>
      </w:r>
      <w:r w:rsidR="00A94FCB">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1BE5C694" w14:textId="049F09C6" w:rsidR="003B5AB4" w:rsidRDefault="003B5AB4" w:rsidP="003B5AB4">
      <w:pPr>
        <w:rPr>
          <w:szCs w:val="22"/>
        </w:rPr>
      </w:pPr>
      <w:r>
        <w:rPr>
          <w:szCs w:val="22"/>
        </w:rPr>
        <w:t>Relaxed monitoring</w:t>
      </w:r>
      <w:r w:rsidRPr="00CF769B">
        <w:rPr>
          <w:szCs w:val="22"/>
        </w:rPr>
        <w:t xml:space="preserve"> </w:t>
      </w:r>
      <w:r>
        <w:rPr>
          <w:szCs w:val="22"/>
        </w:rPr>
        <w:t>was</w:t>
      </w:r>
      <w:r w:rsidRPr="00CF769B">
        <w:rPr>
          <w:szCs w:val="22"/>
        </w:rPr>
        <w:t xml:space="preserve"> specified in </w:t>
      </w:r>
      <w:r w:rsidR="003A14FC">
        <w:rPr>
          <w:szCs w:val="22"/>
        </w:rPr>
        <w:t>LTE</w:t>
      </w:r>
      <w:r w:rsidRPr="00CF769B">
        <w:rPr>
          <w:szCs w:val="22"/>
        </w:rPr>
        <w:t xml:space="preserve"> for RRC_IDLE mode based on UE determining a reference signal level and signalled delta threshold value. If UE’s current measurement level and delta threshold are </w:t>
      </w:r>
      <w:r>
        <w:rPr>
          <w:szCs w:val="22"/>
        </w:rPr>
        <w:t xml:space="preserve">above the </w:t>
      </w:r>
      <w:r w:rsidRPr="00CF769B">
        <w:rPr>
          <w:szCs w:val="22"/>
        </w:rPr>
        <w:t xml:space="preserve">reference signal </w:t>
      </w:r>
      <w:proofErr w:type="gramStart"/>
      <w:r w:rsidRPr="00CF769B">
        <w:rPr>
          <w:szCs w:val="22"/>
        </w:rPr>
        <w:t>level</w:t>
      </w:r>
      <w:proofErr w:type="gramEnd"/>
      <w:r w:rsidRPr="00CF769B">
        <w:rPr>
          <w:szCs w:val="22"/>
        </w:rPr>
        <w:t xml:space="preserve"> then UE may skip performing RRM</w:t>
      </w:r>
      <w:r>
        <w:rPr>
          <w:szCs w:val="22"/>
        </w:rPr>
        <w:t xml:space="preserve"> </w:t>
      </w:r>
      <w:r w:rsidRPr="00CF769B">
        <w:rPr>
          <w:szCs w:val="22"/>
        </w:rPr>
        <w:t>measurements</w:t>
      </w:r>
      <w:r w:rsidR="00FC3BE5">
        <w:rPr>
          <w:szCs w:val="22"/>
        </w:rPr>
        <w:t>. Similar approach was also agreed for Relaxed measurements in NR</w:t>
      </w:r>
      <w:r>
        <w:rPr>
          <w:szCs w:val="22"/>
        </w:rPr>
        <w:t>, as mentioned in 3</w:t>
      </w:r>
      <w:r w:rsidR="00FC3BE5">
        <w:rPr>
          <w:szCs w:val="22"/>
        </w:rPr>
        <w:t>8</w:t>
      </w:r>
      <w:r>
        <w:rPr>
          <w:szCs w:val="22"/>
        </w:rPr>
        <w:t>.304</w:t>
      </w:r>
      <w:r w:rsidR="00FC3BE5">
        <w:rPr>
          <w:szCs w:val="22"/>
        </w:rPr>
        <w:t xml:space="preserve"> for UEs with low mobility</w:t>
      </w:r>
      <w:r>
        <w:rPr>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B5AB4" w:rsidRPr="00EA4D28" w14:paraId="439AB6C5" w14:textId="77777777" w:rsidTr="00F46BAC">
        <w:tc>
          <w:tcPr>
            <w:tcW w:w="9857" w:type="dxa"/>
            <w:shd w:val="clear" w:color="auto" w:fill="auto"/>
          </w:tcPr>
          <w:p w14:paraId="062AB798" w14:textId="77777777" w:rsidR="00FC3BE5" w:rsidRPr="00F10457" w:rsidRDefault="00FC3BE5" w:rsidP="00FC3BE5">
            <w:pPr>
              <w:pStyle w:val="Heading5"/>
            </w:pPr>
            <w:r w:rsidRPr="00F10457">
              <w:lastRenderedPageBreak/>
              <w:t>Relaxed measurement criterion for UE with low mobility</w:t>
            </w:r>
          </w:p>
          <w:p w14:paraId="2FD1F64C" w14:textId="77777777" w:rsidR="00FC3BE5" w:rsidRPr="00F10457" w:rsidRDefault="00FC3BE5" w:rsidP="00FC3BE5">
            <w:bookmarkStart w:id="13" w:name="OLE_LINK11"/>
            <w:bookmarkStart w:id="14" w:name="OLE_LINK12"/>
            <w:r w:rsidRPr="00F10457">
              <w:t>The relaxed measurement criterion for UE with low mobility is fulfilled when:</w:t>
            </w:r>
          </w:p>
          <w:p w14:paraId="24E27E4E" w14:textId="77777777" w:rsidR="00FC3BE5" w:rsidRPr="00F10457" w:rsidRDefault="00FC3BE5" w:rsidP="00FC3BE5">
            <w:pPr>
              <w:pStyle w:val="B1"/>
            </w:pPr>
            <w:r w:rsidRPr="00F10457">
              <w:t>-</w:t>
            </w:r>
            <w:r w:rsidRPr="00F10457">
              <w:tab/>
              <w:t>(</w:t>
            </w:r>
            <w:proofErr w:type="spellStart"/>
            <w:r w:rsidRPr="00F10457">
              <w:t>Srxlev</w:t>
            </w:r>
            <w:r w:rsidRPr="00F10457">
              <w:rPr>
                <w:vertAlign w:val="subscript"/>
              </w:rPr>
              <w:t>Ref</w:t>
            </w:r>
            <w:proofErr w:type="spellEnd"/>
            <w:r w:rsidRPr="00F10457">
              <w:t xml:space="preserve"> – </w:t>
            </w:r>
            <w:proofErr w:type="spellStart"/>
            <w:r w:rsidRPr="00F10457">
              <w:t>Srxlev</w:t>
            </w:r>
            <w:proofErr w:type="spellEnd"/>
            <w:r w:rsidRPr="00F10457">
              <w:t xml:space="preserve">) &lt; </w:t>
            </w:r>
            <w:proofErr w:type="spellStart"/>
            <w:r w:rsidRPr="00F10457">
              <w:t>S</w:t>
            </w:r>
            <w:r w:rsidRPr="00F10457">
              <w:rPr>
                <w:vertAlign w:val="subscript"/>
              </w:rPr>
              <w:t>SearchDeltaP</w:t>
            </w:r>
            <w:proofErr w:type="spellEnd"/>
            <w:r w:rsidRPr="00F10457">
              <w:t>,</w:t>
            </w:r>
          </w:p>
          <w:bookmarkEnd w:id="13"/>
          <w:bookmarkEnd w:id="14"/>
          <w:p w14:paraId="20142EC2" w14:textId="77777777" w:rsidR="00FC3BE5" w:rsidRPr="00F10457" w:rsidRDefault="00FC3BE5" w:rsidP="00FC3BE5">
            <w:r w:rsidRPr="00F10457">
              <w:t>Where:</w:t>
            </w:r>
          </w:p>
          <w:p w14:paraId="415299B3" w14:textId="77777777" w:rsidR="00FC3BE5" w:rsidRPr="00F10457" w:rsidRDefault="00FC3BE5" w:rsidP="00FC3BE5">
            <w:pPr>
              <w:pStyle w:val="B1"/>
            </w:pPr>
            <w:r w:rsidRPr="00F10457">
              <w:t>-</w:t>
            </w:r>
            <w:r w:rsidRPr="00F10457">
              <w:tab/>
            </w:r>
            <w:proofErr w:type="spellStart"/>
            <w:r w:rsidRPr="00F10457">
              <w:t>Srxlev</w:t>
            </w:r>
            <w:proofErr w:type="spellEnd"/>
            <w:r w:rsidRPr="00F10457">
              <w:t xml:space="preserve"> = current </w:t>
            </w:r>
            <w:proofErr w:type="spellStart"/>
            <w:r w:rsidRPr="00F10457">
              <w:t>Srxlev</w:t>
            </w:r>
            <w:proofErr w:type="spellEnd"/>
            <w:r w:rsidRPr="00F10457">
              <w:t xml:space="preserve"> value of the serving cell (dB).</w:t>
            </w:r>
          </w:p>
          <w:p w14:paraId="18DF3DF9" w14:textId="77777777" w:rsidR="00FC3BE5" w:rsidRPr="00F10457" w:rsidRDefault="00FC3BE5" w:rsidP="00FC3BE5">
            <w:pPr>
              <w:pStyle w:val="B1"/>
            </w:pPr>
            <w:r w:rsidRPr="00F10457">
              <w:t>-</w:t>
            </w:r>
            <w:r w:rsidRPr="00F10457">
              <w:tab/>
            </w:r>
            <w:proofErr w:type="spellStart"/>
            <w:r w:rsidRPr="00F10457">
              <w:t>Srxlev</w:t>
            </w:r>
            <w:r w:rsidRPr="00F10457">
              <w:rPr>
                <w:vertAlign w:val="subscript"/>
              </w:rPr>
              <w:t>Ref</w:t>
            </w:r>
            <w:proofErr w:type="spellEnd"/>
            <w:r w:rsidRPr="00F10457">
              <w:t xml:space="preserve"> = reference </w:t>
            </w:r>
            <w:proofErr w:type="spellStart"/>
            <w:r w:rsidRPr="00F10457">
              <w:t>Srxlev</w:t>
            </w:r>
            <w:proofErr w:type="spellEnd"/>
            <w:r w:rsidRPr="00F10457">
              <w:t xml:space="preserve"> value of the serving cell (dB), set as follows:</w:t>
            </w:r>
          </w:p>
          <w:p w14:paraId="47593A0C" w14:textId="77777777" w:rsidR="00FC3BE5" w:rsidRPr="00F10457" w:rsidRDefault="00FC3BE5" w:rsidP="00FC3BE5">
            <w:pPr>
              <w:pStyle w:val="B2"/>
            </w:pPr>
            <w:r w:rsidRPr="00F10457">
              <w:t>-</w:t>
            </w:r>
            <w:r w:rsidRPr="00F10457">
              <w:tab/>
              <w:t>After selecting or reselecting a new cell, or</w:t>
            </w:r>
          </w:p>
          <w:p w14:paraId="4514A7DD" w14:textId="77777777" w:rsidR="00FC3BE5" w:rsidRPr="00F10457" w:rsidRDefault="00FC3BE5" w:rsidP="00FC3BE5">
            <w:pPr>
              <w:pStyle w:val="B2"/>
            </w:pPr>
            <w:r w:rsidRPr="00F10457">
              <w:t>-</w:t>
            </w:r>
            <w:r w:rsidRPr="00F10457">
              <w:tab/>
              <w:t>If (</w:t>
            </w:r>
            <w:proofErr w:type="spellStart"/>
            <w:r w:rsidRPr="00F10457">
              <w:t>Srxlev</w:t>
            </w:r>
            <w:proofErr w:type="spellEnd"/>
            <w:r w:rsidRPr="00F10457">
              <w:t xml:space="preserve"> - </w:t>
            </w:r>
            <w:proofErr w:type="spellStart"/>
            <w:r w:rsidRPr="00F10457">
              <w:t>Srxlev</w:t>
            </w:r>
            <w:r w:rsidRPr="00F10457">
              <w:rPr>
                <w:vertAlign w:val="subscript"/>
              </w:rPr>
              <w:t>Ref</w:t>
            </w:r>
            <w:proofErr w:type="spellEnd"/>
            <w:r w:rsidRPr="00F10457">
              <w:t>) &gt; 0, or</w:t>
            </w:r>
          </w:p>
          <w:p w14:paraId="4478AA64" w14:textId="77777777" w:rsidR="00FC3BE5" w:rsidRPr="00F10457" w:rsidRDefault="00FC3BE5" w:rsidP="00FC3BE5">
            <w:pPr>
              <w:pStyle w:val="B2"/>
            </w:pPr>
            <w:r w:rsidRPr="00F10457">
              <w:t>-</w:t>
            </w:r>
            <w:r w:rsidRPr="00F10457">
              <w:tab/>
              <w:t xml:space="preserve">If the relaxed measurement criterion has not been met for </w:t>
            </w:r>
            <w:proofErr w:type="spellStart"/>
            <w:r w:rsidRPr="00F10457">
              <w:t>T</w:t>
            </w:r>
            <w:r w:rsidRPr="00F10457">
              <w:rPr>
                <w:vertAlign w:val="subscript"/>
              </w:rPr>
              <w:t>SearchDeltaP</w:t>
            </w:r>
            <w:proofErr w:type="spellEnd"/>
            <w:r w:rsidRPr="00F10457">
              <w:t>:</w:t>
            </w:r>
          </w:p>
          <w:p w14:paraId="642DA7C0" w14:textId="77777777" w:rsidR="00FC3BE5" w:rsidRPr="00F10457" w:rsidRDefault="00FC3BE5" w:rsidP="00FC3BE5">
            <w:pPr>
              <w:pStyle w:val="B3"/>
            </w:pPr>
            <w:r w:rsidRPr="00F10457">
              <w:t>-</w:t>
            </w:r>
            <w:r w:rsidRPr="00F10457">
              <w:tab/>
              <w:t xml:space="preserve">The UE shall set the value of </w:t>
            </w:r>
            <w:proofErr w:type="spellStart"/>
            <w:r w:rsidRPr="00F10457">
              <w:t>Srxlev</w:t>
            </w:r>
            <w:r w:rsidRPr="00F10457">
              <w:rPr>
                <w:vertAlign w:val="subscript"/>
              </w:rPr>
              <w:t>Ref</w:t>
            </w:r>
            <w:proofErr w:type="spellEnd"/>
            <w:r w:rsidRPr="00F10457">
              <w:t xml:space="preserve"> to the current </w:t>
            </w:r>
            <w:proofErr w:type="spellStart"/>
            <w:r w:rsidRPr="00F10457">
              <w:t>Srxlev</w:t>
            </w:r>
            <w:proofErr w:type="spellEnd"/>
            <w:r w:rsidRPr="00F10457">
              <w:t xml:space="preserve"> value of the serving cell.</w:t>
            </w:r>
          </w:p>
          <w:p w14:paraId="6E941FF4" w14:textId="03EF15FA" w:rsidR="003B5AB4" w:rsidRPr="00EA4D28" w:rsidRDefault="003B5AB4" w:rsidP="00F46BAC">
            <w:pPr>
              <w:pStyle w:val="B1"/>
            </w:pPr>
          </w:p>
        </w:tc>
      </w:tr>
    </w:tbl>
    <w:p w14:paraId="21628965" w14:textId="77777777" w:rsidR="003B5AB4" w:rsidRDefault="003B5AB4" w:rsidP="003B5AB4">
      <w:pPr>
        <w:rPr>
          <w:szCs w:val="22"/>
        </w:rPr>
      </w:pPr>
    </w:p>
    <w:p w14:paraId="5C3DBBC2" w14:textId="6446A321" w:rsidR="003B5AB4" w:rsidRDefault="003B5AB4" w:rsidP="003B5AB4">
      <w:pPr>
        <w:rPr>
          <w:szCs w:val="22"/>
        </w:rPr>
      </w:pPr>
      <w:r>
        <w:rPr>
          <w:szCs w:val="22"/>
        </w:rPr>
        <w:t>The figure below explains our understanding of relaxed monitoring:</w:t>
      </w:r>
    </w:p>
    <w:p w14:paraId="4758FA09" w14:textId="66BBA992" w:rsidR="003B5AB4" w:rsidRDefault="003B5AB4" w:rsidP="003B5AB4">
      <w:pPr>
        <w:jc w:val="center"/>
        <w:rPr>
          <w:szCs w:val="22"/>
        </w:rPr>
      </w:pPr>
      <w:r>
        <w:rPr>
          <w:noProof/>
          <w:szCs w:val="22"/>
        </w:rPr>
        <w:drawing>
          <wp:inline distT="0" distB="0" distL="0" distR="0" wp14:anchorId="06E06341" wp14:editId="724F494B">
            <wp:extent cx="2063115" cy="8820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63115" cy="882015"/>
                    </a:xfrm>
                    <a:prstGeom prst="rect">
                      <a:avLst/>
                    </a:prstGeom>
                    <a:noFill/>
                  </pic:spPr>
                </pic:pic>
              </a:graphicData>
            </a:graphic>
          </wp:inline>
        </w:drawing>
      </w:r>
    </w:p>
    <w:p w14:paraId="3B7D0F13" w14:textId="77777777" w:rsidR="003B5AB4" w:rsidRDefault="003B5AB4" w:rsidP="003B5AB4">
      <w:pPr>
        <w:pStyle w:val="Caption"/>
        <w:jc w:val="center"/>
        <w:rPr>
          <w:szCs w:val="22"/>
        </w:rPr>
      </w:pPr>
      <w:r>
        <w:t xml:space="preserve">Figure </w:t>
      </w:r>
      <w:fldSimple w:instr=" SEQ Figure \* ARABIC ">
        <w:r>
          <w:rPr>
            <w:noProof/>
          </w:rPr>
          <w:t>1</w:t>
        </w:r>
      </w:fldSimple>
      <w:r>
        <w:t>: Relaxed monitoring in LTE</w:t>
      </w:r>
    </w:p>
    <w:p w14:paraId="48388988" w14:textId="77777777" w:rsidR="00FC3BE5" w:rsidRDefault="003B5AB4" w:rsidP="003B5AB4">
      <w:pPr>
        <w:rPr>
          <w:szCs w:val="22"/>
        </w:rPr>
      </w:pPr>
      <w:r>
        <w:rPr>
          <w:szCs w:val="22"/>
        </w:rPr>
        <w:t>The outer circle represents the cell coverage and inner half-circle represents the delta threshold boundary. The inner half-circle should have no boundary as we move towards the cell centre because the UE can always skip measurements in good radio conditions. The UE calculates its reference level based on 3</w:t>
      </w:r>
      <w:r w:rsidR="00FC3BE5">
        <w:rPr>
          <w:szCs w:val="22"/>
        </w:rPr>
        <w:t>8</w:t>
      </w:r>
      <w:r>
        <w:rPr>
          <w:szCs w:val="22"/>
        </w:rPr>
        <w:t>.304 and the threshold value is signalled in SIB.</w:t>
      </w:r>
      <w:r w:rsidR="00FC3BE5">
        <w:rPr>
          <w:szCs w:val="22"/>
        </w:rPr>
        <w:t xml:space="preserve"> If t</w:t>
      </w:r>
      <w:r>
        <w:rPr>
          <w:szCs w:val="22"/>
        </w:rPr>
        <w:t xml:space="preserve">he difference between the reference power level and the received power level is less than a delta threshold then UE </w:t>
      </w:r>
      <w:proofErr w:type="gramStart"/>
      <w:r>
        <w:rPr>
          <w:szCs w:val="22"/>
        </w:rPr>
        <w:t>is allowed to</w:t>
      </w:r>
      <w:proofErr w:type="gramEnd"/>
      <w:r>
        <w:rPr>
          <w:szCs w:val="22"/>
        </w:rPr>
        <w:t xml:space="preserve"> skip measurements. </w:t>
      </w:r>
    </w:p>
    <w:p w14:paraId="7205E25A" w14:textId="23FE5EAC" w:rsidR="003B5AB4" w:rsidRDefault="003B5AB4" w:rsidP="003B5AB4">
      <w:pPr>
        <w:rPr>
          <w:szCs w:val="22"/>
        </w:rPr>
      </w:pPr>
      <w:r>
        <w:t>Since NR will be deployed using beams</w:t>
      </w:r>
      <w:r w:rsidR="00FC3BE5">
        <w:t xml:space="preserve"> and redcap devices which are stationary</w:t>
      </w:r>
      <w:r>
        <w:t xml:space="preserve">, Delta threshold should be dependent on the number of beams. </w:t>
      </w:r>
      <w:r>
        <w:rPr>
          <w:szCs w:val="22"/>
        </w:rPr>
        <w:t>As shown in figure 2 below, three UEs are seeing different numbers of beams depending on their location</w:t>
      </w:r>
      <w:r w:rsidR="00FC3BE5">
        <w:rPr>
          <w:szCs w:val="22"/>
        </w:rPr>
        <w:t xml:space="preserve"> and radio characteristics</w:t>
      </w:r>
      <w:r>
        <w:rPr>
          <w:szCs w:val="22"/>
        </w:rPr>
        <w:t xml:space="preserve">. The UE with a single beam may be configured with a relaxed monitoring threshold that is different to a UE with 6 beams. </w:t>
      </w:r>
    </w:p>
    <w:p w14:paraId="66C98669" w14:textId="5554EC79" w:rsidR="003B5AB4" w:rsidRDefault="003B5AB4" w:rsidP="003B5AB4">
      <w:pPr>
        <w:rPr>
          <w:szCs w:val="22"/>
        </w:rPr>
      </w:pPr>
      <w:r w:rsidRPr="00C945FB">
        <w:rPr>
          <w:noProof/>
          <w:lang w:eastAsia="en-GB"/>
        </w:rPr>
        <w:drawing>
          <wp:inline distT="0" distB="0" distL="0" distR="0" wp14:anchorId="32F46F85" wp14:editId="40A6AD58">
            <wp:extent cx="4623435" cy="137795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3435" cy="1377950"/>
                    </a:xfrm>
                    <a:prstGeom prst="rect">
                      <a:avLst/>
                    </a:prstGeom>
                    <a:noFill/>
                    <a:ln>
                      <a:noFill/>
                    </a:ln>
                  </pic:spPr>
                </pic:pic>
              </a:graphicData>
            </a:graphic>
          </wp:inline>
        </w:drawing>
      </w:r>
    </w:p>
    <w:p w14:paraId="5C3663C0" w14:textId="77777777" w:rsidR="003B5AB4" w:rsidRDefault="003B5AB4" w:rsidP="003B5AB4">
      <w:pPr>
        <w:pStyle w:val="Caption"/>
        <w:jc w:val="center"/>
        <w:rPr>
          <w:szCs w:val="22"/>
        </w:rPr>
      </w:pPr>
      <w:r>
        <w:t xml:space="preserve">Figure </w:t>
      </w:r>
      <w:fldSimple w:instr=" SEQ Figure \* ARABIC ">
        <w:r>
          <w:rPr>
            <w:noProof/>
          </w:rPr>
          <w:t>2</w:t>
        </w:r>
      </w:fldSimple>
      <w:r>
        <w:t>: UEs with different beams may use different thresholds for relaxed monitoring</w:t>
      </w:r>
    </w:p>
    <w:p w14:paraId="16445B61" w14:textId="18DA28D2" w:rsidR="003B5AB4" w:rsidRDefault="00FC3BE5" w:rsidP="003B5AB4">
      <w:pPr>
        <w:rPr>
          <w:b/>
          <w:szCs w:val="22"/>
        </w:rPr>
      </w:pPr>
      <w:r w:rsidRPr="006A02C6">
        <w:rPr>
          <w:b/>
          <w:szCs w:val="22"/>
        </w:rPr>
        <w:t>Proposal:</w:t>
      </w:r>
      <w:r w:rsidR="003B5AB4" w:rsidRPr="006A02C6">
        <w:rPr>
          <w:b/>
          <w:szCs w:val="22"/>
        </w:rPr>
        <w:t xml:space="preserve"> Rel</w:t>
      </w:r>
      <w:r w:rsidR="003B5AB4">
        <w:rPr>
          <w:b/>
          <w:szCs w:val="22"/>
        </w:rPr>
        <w:t xml:space="preserve">axed monitoring </w:t>
      </w:r>
      <w:r w:rsidR="003B5AB4" w:rsidRPr="003F2C98">
        <w:rPr>
          <w:b/>
          <w:szCs w:val="22"/>
        </w:rPr>
        <w:t xml:space="preserve">threshold </w:t>
      </w:r>
      <w:proofErr w:type="spellStart"/>
      <w:r w:rsidR="003B5AB4" w:rsidRPr="003F2C98">
        <w:rPr>
          <w:b/>
        </w:rPr>
        <w:t>S</w:t>
      </w:r>
      <w:r w:rsidR="003B5AB4" w:rsidRPr="003F2C98">
        <w:rPr>
          <w:b/>
          <w:vertAlign w:val="subscript"/>
        </w:rPr>
        <w:t>SearchDeltaP</w:t>
      </w:r>
      <w:proofErr w:type="spellEnd"/>
      <w:r w:rsidR="003B5AB4" w:rsidRPr="003F2C98">
        <w:rPr>
          <w:b/>
          <w:szCs w:val="22"/>
        </w:rPr>
        <w:t xml:space="preserve"> should</w:t>
      </w:r>
      <w:r w:rsidR="003B5AB4" w:rsidRPr="006A02C6">
        <w:rPr>
          <w:b/>
          <w:szCs w:val="22"/>
        </w:rPr>
        <w:t xml:space="preserve"> vary with the number of beams measured by the UE</w:t>
      </w:r>
      <w:r w:rsidR="003B5AB4">
        <w:rPr>
          <w:b/>
          <w:szCs w:val="22"/>
        </w:rPr>
        <w:t>.</w:t>
      </w:r>
    </w:p>
    <w:p w14:paraId="1B75B37C" w14:textId="71D4A9BE" w:rsidR="00261AE6" w:rsidRPr="00FE49CF" w:rsidRDefault="00261AE6" w:rsidP="00261AE6">
      <w:pPr>
        <w:rPr>
          <w:b/>
          <w:bCs/>
        </w:rPr>
      </w:pP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75496D1B" w14:textId="54F3F63F" w:rsidR="0002127D" w:rsidRDefault="005D6B97" w:rsidP="00773BE4">
      <w:pPr>
        <w:rPr>
          <w:b/>
        </w:rPr>
      </w:pPr>
      <w:r w:rsidRPr="006A02C6">
        <w:rPr>
          <w:b/>
          <w:szCs w:val="22"/>
        </w:rPr>
        <w:lastRenderedPageBreak/>
        <w:t>Proposal: Rel</w:t>
      </w:r>
      <w:r>
        <w:rPr>
          <w:b/>
          <w:szCs w:val="22"/>
        </w:rPr>
        <w:t xml:space="preserve">axed monitoring </w:t>
      </w:r>
      <w:r w:rsidRPr="003F2C98">
        <w:rPr>
          <w:b/>
          <w:szCs w:val="22"/>
        </w:rPr>
        <w:t xml:space="preserve">threshold </w:t>
      </w:r>
      <w:proofErr w:type="spellStart"/>
      <w:r w:rsidRPr="003F2C98">
        <w:rPr>
          <w:b/>
        </w:rPr>
        <w:t>S</w:t>
      </w:r>
      <w:r w:rsidRPr="003F2C98">
        <w:rPr>
          <w:b/>
          <w:vertAlign w:val="subscript"/>
        </w:rPr>
        <w:t>SearchDeltaP</w:t>
      </w:r>
      <w:proofErr w:type="spellEnd"/>
      <w:r w:rsidRPr="003F2C98">
        <w:rPr>
          <w:b/>
          <w:szCs w:val="22"/>
        </w:rPr>
        <w:t xml:space="preserve"> should</w:t>
      </w:r>
      <w:r w:rsidRPr="006A02C6">
        <w:rPr>
          <w:b/>
          <w:szCs w:val="22"/>
        </w:rPr>
        <w:t xml:space="preserve"> vary with the number of beams measured by the UE</w:t>
      </w:r>
      <w:r>
        <w:rPr>
          <w:b/>
          <w:szCs w:val="22"/>
        </w:rPr>
        <w:t>.</w:t>
      </w:r>
      <w:r w:rsidR="00204C01" w:rsidRPr="003B6105">
        <w:rPr>
          <w:b/>
        </w:rPr>
        <w:t xml:space="preserve"> </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2E18C790" w14:textId="4D98B9E3" w:rsidR="00FE49CF" w:rsidRPr="0055135B" w:rsidRDefault="00515691" w:rsidP="003B5AB4">
      <w:pPr>
        <w:rPr>
          <w:rFonts w:eastAsia="MS Mincho"/>
          <w:lang w:val="en-US" w:eastAsia="en-US"/>
        </w:rPr>
      </w:pPr>
      <w:r>
        <w:t xml:space="preserve"> [1]</w:t>
      </w:r>
      <w:r>
        <w:tab/>
        <w:t>RP-</w:t>
      </w:r>
      <w:r w:rsidR="00773BE4">
        <w:t>2</w:t>
      </w:r>
      <w:r w:rsidR="000B57A2">
        <w:t>1</w:t>
      </w:r>
      <w:r w:rsidR="00673E31">
        <w:t>0</w:t>
      </w:r>
      <w:r w:rsidR="00084FC0">
        <w:t>918</w:t>
      </w:r>
      <w:bookmarkStart w:id="15" w:name="_GoBack"/>
      <w:bookmarkEnd w:id="15"/>
    </w:p>
    <w:p w14:paraId="100B9521" w14:textId="6E368705" w:rsidR="00515691" w:rsidRDefault="00515691" w:rsidP="00515691">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6" w:name="_Toc4419349"/>
      <w:bookmarkEnd w:id="16"/>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BCD395D"/>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41372F"/>
    <w:multiLevelType w:val="hybridMultilevel"/>
    <w:tmpl w:val="975645CC"/>
    <w:lvl w:ilvl="0" w:tplc="068434FE">
      <w:start w:val="1"/>
      <w:numFmt w:val="bullet"/>
      <w:lvlText w:val="•"/>
      <w:lvlJc w:val="left"/>
      <w:pPr>
        <w:tabs>
          <w:tab w:val="num" w:pos="720"/>
        </w:tabs>
        <w:ind w:left="720" w:hanging="360"/>
      </w:pPr>
      <w:rPr>
        <w:rFonts w:ascii="Arial" w:hAnsi="Arial" w:hint="default"/>
      </w:rPr>
    </w:lvl>
    <w:lvl w:ilvl="1" w:tplc="6322A8FA" w:tentative="1">
      <w:start w:val="1"/>
      <w:numFmt w:val="bullet"/>
      <w:lvlText w:val="•"/>
      <w:lvlJc w:val="left"/>
      <w:pPr>
        <w:tabs>
          <w:tab w:val="num" w:pos="1440"/>
        </w:tabs>
        <w:ind w:left="1440" w:hanging="360"/>
      </w:pPr>
      <w:rPr>
        <w:rFonts w:ascii="Arial" w:hAnsi="Arial" w:hint="default"/>
      </w:rPr>
    </w:lvl>
    <w:lvl w:ilvl="2" w:tplc="13809118" w:tentative="1">
      <w:start w:val="1"/>
      <w:numFmt w:val="bullet"/>
      <w:lvlText w:val="•"/>
      <w:lvlJc w:val="left"/>
      <w:pPr>
        <w:tabs>
          <w:tab w:val="num" w:pos="2160"/>
        </w:tabs>
        <w:ind w:left="2160" w:hanging="360"/>
      </w:pPr>
      <w:rPr>
        <w:rFonts w:ascii="Arial" w:hAnsi="Arial" w:hint="default"/>
      </w:rPr>
    </w:lvl>
    <w:lvl w:ilvl="3" w:tplc="D40EC824" w:tentative="1">
      <w:start w:val="1"/>
      <w:numFmt w:val="bullet"/>
      <w:lvlText w:val="•"/>
      <w:lvlJc w:val="left"/>
      <w:pPr>
        <w:tabs>
          <w:tab w:val="num" w:pos="2880"/>
        </w:tabs>
        <w:ind w:left="2880" w:hanging="360"/>
      </w:pPr>
      <w:rPr>
        <w:rFonts w:ascii="Arial" w:hAnsi="Arial" w:hint="default"/>
      </w:rPr>
    </w:lvl>
    <w:lvl w:ilvl="4" w:tplc="AA089FF0" w:tentative="1">
      <w:start w:val="1"/>
      <w:numFmt w:val="bullet"/>
      <w:lvlText w:val="•"/>
      <w:lvlJc w:val="left"/>
      <w:pPr>
        <w:tabs>
          <w:tab w:val="num" w:pos="3600"/>
        </w:tabs>
        <w:ind w:left="3600" w:hanging="360"/>
      </w:pPr>
      <w:rPr>
        <w:rFonts w:ascii="Arial" w:hAnsi="Arial" w:hint="default"/>
      </w:rPr>
    </w:lvl>
    <w:lvl w:ilvl="5" w:tplc="2A2400D2" w:tentative="1">
      <w:start w:val="1"/>
      <w:numFmt w:val="bullet"/>
      <w:lvlText w:val="•"/>
      <w:lvlJc w:val="left"/>
      <w:pPr>
        <w:tabs>
          <w:tab w:val="num" w:pos="4320"/>
        </w:tabs>
        <w:ind w:left="4320" w:hanging="360"/>
      </w:pPr>
      <w:rPr>
        <w:rFonts w:ascii="Arial" w:hAnsi="Arial" w:hint="default"/>
      </w:rPr>
    </w:lvl>
    <w:lvl w:ilvl="6" w:tplc="B36E2338" w:tentative="1">
      <w:start w:val="1"/>
      <w:numFmt w:val="bullet"/>
      <w:lvlText w:val="•"/>
      <w:lvlJc w:val="left"/>
      <w:pPr>
        <w:tabs>
          <w:tab w:val="num" w:pos="5040"/>
        </w:tabs>
        <w:ind w:left="5040" w:hanging="360"/>
      </w:pPr>
      <w:rPr>
        <w:rFonts w:ascii="Arial" w:hAnsi="Arial" w:hint="default"/>
      </w:rPr>
    </w:lvl>
    <w:lvl w:ilvl="7" w:tplc="9AECC47E" w:tentative="1">
      <w:start w:val="1"/>
      <w:numFmt w:val="bullet"/>
      <w:lvlText w:val="•"/>
      <w:lvlJc w:val="left"/>
      <w:pPr>
        <w:tabs>
          <w:tab w:val="num" w:pos="5760"/>
        </w:tabs>
        <w:ind w:left="5760" w:hanging="360"/>
      </w:pPr>
      <w:rPr>
        <w:rFonts w:ascii="Arial" w:hAnsi="Arial" w:hint="default"/>
      </w:rPr>
    </w:lvl>
    <w:lvl w:ilvl="8" w:tplc="961640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BC7928"/>
    <w:multiLevelType w:val="hybridMultilevel"/>
    <w:tmpl w:val="88C8CB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916821"/>
    <w:multiLevelType w:val="hybridMultilevel"/>
    <w:tmpl w:val="26F6256C"/>
    <w:lvl w:ilvl="0" w:tplc="0076EB54">
      <w:start w:val="1"/>
      <w:numFmt w:val="bullet"/>
      <w:lvlText w:val="•"/>
      <w:lvlJc w:val="left"/>
      <w:pPr>
        <w:tabs>
          <w:tab w:val="num" w:pos="720"/>
        </w:tabs>
        <w:ind w:left="720" w:hanging="360"/>
      </w:pPr>
      <w:rPr>
        <w:rFonts w:ascii="Arial" w:hAnsi="Arial" w:hint="default"/>
      </w:rPr>
    </w:lvl>
    <w:lvl w:ilvl="1" w:tplc="841205E6" w:tentative="1">
      <w:start w:val="1"/>
      <w:numFmt w:val="bullet"/>
      <w:lvlText w:val="•"/>
      <w:lvlJc w:val="left"/>
      <w:pPr>
        <w:tabs>
          <w:tab w:val="num" w:pos="1440"/>
        </w:tabs>
        <w:ind w:left="1440" w:hanging="360"/>
      </w:pPr>
      <w:rPr>
        <w:rFonts w:ascii="Arial" w:hAnsi="Arial" w:hint="default"/>
      </w:rPr>
    </w:lvl>
    <w:lvl w:ilvl="2" w:tplc="CD12CA8C" w:tentative="1">
      <w:start w:val="1"/>
      <w:numFmt w:val="bullet"/>
      <w:lvlText w:val="•"/>
      <w:lvlJc w:val="left"/>
      <w:pPr>
        <w:tabs>
          <w:tab w:val="num" w:pos="2160"/>
        </w:tabs>
        <w:ind w:left="2160" w:hanging="360"/>
      </w:pPr>
      <w:rPr>
        <w:rFonts w:ascii="Arial" w:hAnsi="Arial" w:hint="default"/>
      </w:rPr>
    </w:lvl>
    <w:lvl w:ilvl="3" w:tplc="0ADCFD50" w:tentative="1">
      <w:start w:val="1"/>
      <w:numFmt w:val="bullet"/>
      <w:lvlText w:val="•"/>
      <w:lvlJc w:val="left"/>
      <w:pPr>
        <w:tabs>
          <w:tab w:val="num" w:pos="2880"/>
        </w:tabs>
        <w:ind w:left="2880" w:hanging="360"/>
      </w:pPr>
      <w:rPr>
        <w:rFonts w:ascii="Arial" w:hAnsi="Arial" w:hint="default"/>
      </w:rPr>
    </w:lvl>
    <w:lvl w:ilvl="4" w:tplc="7B96AC08" w:tentative="1">
      <w:start w:val="1"/>
      <w:numFmt w:val="bullet"/>
      <w:lvlText w:val="•"/>
      <w:lvlJc w:val="left"/>
      <w:pPr>
        <w:tabs>
          <w:tab w:val="num" w:pos="3600"/>
        </w:tabs>
        <w:ind w:left="3600" w:hanging="360"/>
      </w:pPr>
      <w:rPr>
        <w:rFonts w:ascii="Arial" w:hAnsi="Arial" w:hint="default"/>
      </w:rPr>
    </w:lvl>
    <w:lvl w:ilvl="5" w:tplc="2534ADDE" w:tentative="1">
      <w:start w:val="1"/>
      <w:numFmt w:val="bullet"/>
      <w:lvlText w:val="•"/>
      <w:lvlJc w:val="left"/>
      <w:pPr>
        <w:tabs>
          <w:tab w:val="num" w:pos="4320"/>
        </w:tabs>
        <w:ind w:left="4320" w:hanging="360"/>
      </w:pPr>
      <w:rPr>
        <w:rFonts w:ascii="Arial" w:hAnsi="Arial" w:hint="default"/>
      </w:rPr>
    </w:lvl>
    <w:lvl w:ilvl="6" w:tplc="AB00AB2C" w:tentative="1">
      <w:start w:val="1"/>
      <w:numFmt w:val="bullet"/>
      <w:lvlText w:val="•"/>
      <w:lvlJc w:val="left"/>
      <w:pPr>
        <w:tabs>
          <w:tab w:val="num" w:pos="5040"/>
        </w:tabs>
        <w:ind w:left="5040" w:hanging="360"/>
      </w:pPr>
      <w:rPr>
        <w:rFonts w:ascii="Arial" w:hAnsi="Arial" w:hint="default"/>
      </w:rPr>
    </w:lvl>
    <w:lvl w:ilvl="7" w:tplc="310C1F86" w:tentative="1">
      <w:start w:val="1"/>
      <w:numFmt w:val="bullet"/>
      <w:lvlText w:val="•"/>
      <w:lvlJc w:val="left"/>
      <w:pPr>
        <w:tabs>
          <w:tab w:val="num" w:pos="5760"/>
        </w:tabs>
        <w:ind w:left="5760" w:hanging="360"/>
      </w:pPr>
      <w:rPr>
        <w:rFonts w:ascii="Arial" w:hAnsi="Arial" w:hint="default"/>
      </w:rPr>
    </w:lvl>
    <w:lvl w:ilvl="8" w:tplc="A13ABE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5B5447D"/>
    <w:multiLevelType w:val="hybridMultilevel"/>
    <w:tmpl w:val="47FC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708444E"/>
    <w:multiLevelType w:val="hybridMultilevel"/>
    <w:tmpl w:val="6614AC48"/>
    <w:lvl w:ilvl="0" w:tplc="E8EE941E">
      <w:start w:val="1"/>
      <w:numFmt w:val="bullet"/>
      <w:lvlText w:val="•"/>
      <w:lvlJc w:val="left"/>
      <w:pPr>
        <w:tabs>
          <w:tab w:val="num" w:pos="720"/>
        </w:tabs>
        <w:ind w:left="720" w:hanging="360"/>
      </w:pPr>
      <w:rPr>
        <w:rFonts w:ascii="Arial" w:hAnsi="Arial" w:hint="default"/>
      </w:rPr>
    </w:lvl>
    <w:lvl w:ilvl="1" w:tplc="E072EF44">
      <w:numFmt w:val="bullet"/>
      <w:lvlText w:val="•"/>
      <w:lvlJc w:val="left"/>
      <w:pPr>
        <w:tabs>
          <w:tab w:val="num" w:pos="1440"/>
        </w:tabs>
        <w:ind w:left="1440" w:hanging="360"/>
      </w:pPr>
      <w:rPr>
        <w:rFonts w:ascii="Arial" w:hAnsi="Arial" w:hint="default"/>
      </w:rPr>
    </w:lvl>
    <w:lvl w:ilvl="2" w:tplc="BB0C3E26" w:tentative="1">
      <w:start w:val="1"/>
      <w:numFmt w:val="bullet"/>
      <w:lvlText w:val="•"/>
      <w:lvlJc w:val="left"/>
      <w:pPr>
        <w:tabs>
          <w:tab w:val="num" w:pos="2160"/>
        </w:tabs>
        <w:ind w:left="2160" w:hanging="360"/>
      </w:pPr>
      <w:rPr>
        <w:rFonts w:ascii="Arial" w:hAnsi="Arial" w:hint="default"/>
      </w:rPr>
    </w:lvl>
    <w:lvl w:ilvl="3" w:tplc="A73E9B16" w:tentative="1">
      <w:start w:val="1"/>
      <w:numFmt w:val="bullet"/>
      <w:lvlText w:val="•"/>
      <w:lvlJc w:val="left"/>
      <w:pPr>
        <w:tabs>
          <w:tab w:val="num" w:pos="2880"/>
        </w:tabs>
        <w:ind w:left="2880" w:hanging="360"/>
      </w:pPr>
      <w:rPr>
        <w:rFonts w:ascii="Arial" w:hAnsi="Arial" w:hint="default"/>
      </w:rPr>
    </w:lvl>
    <w:lvl w:ilvl="4" w:tplc="2960D27E" w:tentative="1">
      <w:start w:val="1"/>
      <w:numFmt w:val="bullet"/>
      <w:lvlText w:val="•"/>
      <w:lvlJc w:val="left"/>
      <w:pPr>
        <w:tabs>
          <w:tab w:val="num" w:pos="3600"/>
        </w:tabs>
        <w:ind w:left="3600" w:hanging="360"/>
      </w:pPr>
      <w:rPr>
        <w:rFonts w:ascii="Arial" w:hAnsi="Arial" w:hint="default"/>
      </w:rPr>
    </w:lvl>
    <w:lvl w:ilvl="5" w:tplc="A246F4D8" w:tentative="1">
      <w:start w:val="1"/>
      <w:numFmt w:val="bullet"/>
      <w:lvlText w:val="•"/>
      <w:lvlJc w:val="left"/>
      <w:pPr>
        <w:tabs>
          <w:tab w:val="num" w:pos="4320"/>
        </w:tabs>
        <w:ind w:left="4320" w:hanging="360"/>
      </w:pPr>
      <w:rPr>
        <w:rFonts w:ascii="Arial" w:hAnsi="Arial" w:hint="default"/>
      </w:rPr>
    </w:lvl>
    <w:lvl w:ilvl="6" w:tplc="AE4641FA" w:tentative="1">
      <w:start w:val="1"/>
      <w:numFmt w:val="bullet"/>
      <w:lvlText w:val="•"/>
      <w:lvlJc w:val="left"/>
      <w:pPr>
        <w:tabs>
          <w:tab w:val="num" w:pos="5040"/>
        </w:tabs>
        <w:ind w:left="5040" w:hanging="360"/>
      </w:pPr>
      <w:rPr>
        <w:rFonts w:ascii="Arial" w:hAnsi="Arial" w:hint="default"/>
      </w:rPr>
    </w:lvl>
    <w:lvl w:ilvl="7" w:tplc="A25AE386" w:tentative="1">
      <w:start w:val="1"/>
      <w:numFmt w:val="bullet"/>
      <w:lvlText w:val="•"/>
      <w:lvlJc w:val="left"/>
      <w:pPr>
        <w:tabs>
          <w:tab w:val="num" w:pos="5760"/>
        </w:tabs>
        <w:ind w:left="5760" w:hanging="360"/>
      </w:pPr>
      <w:rPr>
        <w:rFonts w:ascii="Arial" w:hAnsi="Arial" w:hint="default"/>
      </w:rPr>
    </w:lvl>
    <w:lvl w:ilvl="8" w:tplc="215C1E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EF438D4"/>
    <w:multiLevelType w:val="hybridMultilevel"/>
    <w:tmpl w:val="CB506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16"/>
  </w:num>
  <w:num w:numId="4">
    <w:abstractNumId w:val="7"/>
  </w:num>
  <w:num w:numId="5">
    <w:abstractNumId w:val="15"/>
  </w:num>
  <w:num w:numId="6">
    <w:abstractNumId w:val="13"/>
  </w:num>
  <w:num w:numId="7">
    <w:abstractNumId w:val="22"/>
  </w:num>
  <w:num w:numId="8">
    <w:abstractNumId w:val="20"/>
  </w:num>
  <w:num w:numId="9">
    <w:abstractNumId w:val="21"/>
  </w:num>
  <w:num w:numId="10">
    <w:abstractNumId w:val="6"/>
  </w:num>
  <w:num w:numId="11">
    <w:abstractNumId w:val="18"/>
  </w:num>
  <w:num w:numId="12">
    <w:abstractNumId w:val="14"/>
  </w:num>
  <w:num w:numId="13">
    <w:abstractNumId w:val="9"/>
  </w:num>
  <w:num w:numId="14">
    <w:abstractNumId w:val="11"/>
  </w:num>
  <w:num w:numId="15">
    <w:abstractNumId w:val="0"/>
  </w:num>
  <w:num w:numId="16">
    <w:abstractNumId w:val="4"/>
  </w:num>
  <w:num w:numId="17">
    <w:abstractNumId w:val="2"/>
  </w:num>
  <w:num w:numId="18">
    <w:abstractNumId w:val="8"/>
  </w:num>
  <w:num w:numId="19">
    <w:abstractNumId w:val="12"/>
  </w:num>
  <w:num w:numId="20">
    <w:abstractNumId w:val="23"/>
  </w:num>
  <w:num w:numId="21">
    <w:abstractNumId w:val="19"/>
  </w:num>
  <w:num w:numId="22">
    <w:abstractNumId w:val="10"/>
  </w:num>
  <w:num w:numId="23">
    <w:abstractNumId w:val="17"/>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361C6"/>
    <w:rsid w:val="0004410F"/>
    <w:rsid w:val="000651A5"/>
    <w:rsid w:val="000705F9"/>
    <w:rsid w:val="000758E3"/>
    <w:rsid w:val="0008070B"/>
    <w:rsid w:val="00082A46"/>
    <w:rsid w:val="00084FC0"/>
    <w:rsid w:val="000971F1"/>
    <w:rsid w:val="000A0C9C"/>
    <w:rsid w:val="000A109F"/>
    <w:rsid w:val="000A39A5"/>
    <w:rsid w:val="000A41A0"/>
    <w:rsid w:val="000B0390"/>
    <w:rsid w:val="000B57A2"/>
    <w:rsid w:val="000F59F0"/>
    <w:rsid w:val="0010166F"/>
    <w:rsid w:val="00111949"/>
    <w:rsid w:val="00134AE4"/>
    <w:rsid w:val="001519EC"/>
    <w:rsid w:val="00160B92"/>
    <w:rsid w:val="00181392"/>
    <w:rsid w:val="001A448D"/>
    <w:rsid w:val="001B0909"/>
    <w:rsid w:val="001C603B"/>
    <w:rsid w:val="001C77DF"/>
    <w:rsid w:val="001E4BD5"/>
    <w:rsid w:val="001E5A63"/>
    <w:rsid w:val="001F1E33"/>
    <w:rsid w:val="001F2717"/>
    <w:rsid w:val="002032BB"/>
    <w:rsid w:val="002038DF"/>
    <w:rsid w:val="00204C01"/>
    <w:rsid w:val="0020643F"/>
    <w:rsid w:val="00210B60"/>
    <w:rsid w:val="002260D5"/>
    <w:rsid w:val="00231A92"/>
    <w:rsid w:val="00234F0B"/>
    <w:rsid w:val="00235EE9"/>
    <w:rsid w:val="00241D9C"/>
    <w:rsid w:val="00242D5A"/>
    <w:rsid w:val="00253F9C"/>
    <w:rsid w:val="00261675"/>
    <w:rsid w:val="00261AE6"/>
    <w:rsid w:val="00266474"/>
    <w:rsid w:val="002673F0"/>
    <w:rsid w:val="002719DB"/>
    <w:rsid w:val="00274CCF"/>
    <w:rsid w:val="0027782C"/>
    <w:rsid w:val="002824F3"/>
    <w:rsid w:val="002A4859"/>
    <w:rsid w:val="002B2779"/>
    <w:rsid w:val="002B5660"/>
    <w:rsid w:val="002C633F"/>
    <w:rsid w:val="002D70B3"/>
    <w:rsid w:val="00307439"/>
    <w:rsid w:val="00320757"/>
    <w:rsid w:val="003243D7"/>
    <w:rsid w:val="00353C08"/>
    <w:rsid w:val="003632FE"/>
    <w:rsid w:val="00364319"/>
    <w:rsid w:val="003855F8"/>
    <w:rsid w:val="0039046D"/>
    <w:rsid w:val="003908E7"/>
    <w:rsid w:val="003928D9"/>
    <w:rsid w:val="003A14FC"/>
    <w:rsid w:val="003A43CB"/>
    <w:rsid w:val="003B2D38"/>
    <w:rsid w:val="003B5AB4"/>
    <w:rsid w:val="003B6105"/>
    <w:rsid w:val="003C480A"/>
    <w:rsid w:val="003D13A8"/>
    <w:rsid w:val="003E4846"/>
    <w:rsid w:val="003F3B51"/>
    <w:rsid w:val="003F46B2"/>
    <w:rsid w:val="003F74BA"/>
    <w:rsid w:val="004157C9"/>
    <w:rsid w:val="004251D0"/>
    <w:rsid w:val="00426658"/>
    <w:rsid w:val="00433AD7"/>
    <w:rsid w:val="00442083"/>
    <w:rsid w:val="0044294D"/>
    <w:rsid w:val="00477BE7"/>
    <w:rsid w:val="004A3939"/>
    <w:rsid w:val="004B689F"/>
    <w:rsid w:val="004C21F1"/>
    <w:rsid w:val="004C33A8"/>
    <w:rsid w:val="004E0BD7"/>
    <w:rsid w:val="004E725E"/>
    <w:rsid w:val="004F3A72"/>
    <w:rsid w:val="004F538B"/>
    <w:rsid w:val="00503C73"/>
    <w:rsid w:val="00515691"/>
    <w:rsid w:val="005323BF"/>
    <w:rsid w:val="00543187"/>
    <w:rsid w:val="00546E90"/>
    <w:rsid w:val="0055021E"/>
    <w:rsid w:val="00552EF5"/>
    <w:rsid w:val="005540AB"/>
    <w:rsid w:val="005560E6"/>
    <w:rsid w:val="0056537D"/>
    <w:rsid w:val="0056541C"/>
    <w:rsid w:val="00567A99"/>
    <w:rsid w:val="00584AC3"/>
    <w:rsid w:val="0059529B"/>
    <w:rsid w:val="005A7D95"/>
    <w:rsid w:val="005B3066"/>
    <w:rsid w:val="005B3BB9"/>
    <w:rsid w:val="005D2DB8"/>
    <w:rsid w:val="005D4D65"/>
    <w:rsid w:val="005D6B97"/>
    <w:rsid w:val="005E0E13"/>
    <w:rsid w:val="005E172C"/>
    <w:rsid w:val="00604787"/>
    <w:rsid w:val="00610733"/>
    <w:rsid w:val="00612340"/>
    <w:rsid w:val="0063085B"/>
    <w:rsid w:val="00635DF3"/>
    <w:rsid w:val="00636646"/>
    <w:rsid w:val="006474BE"/>
    <w:rsid w:val="00663F0A"/>
    <w:rsid w:val="00673E31"/>
    <w:rsid w:val="006B5838"/>
    <w:rsid w:val="006C4047"/>
    <w:rsid w:val="006C7204"/>
    <w:rsid w:val="006E1C14"/>
    <w:rsid w:val="006E6BBE"/>
    <w:rsid w:val="0070372F"/>
    <w:rsid w:val="007061C0"/>
    <w:rsid w:val="00713EA4"/>
    <w:rsid w:val="00716073"/>
    <w:rsid w:val="007273FC"/>
    <w:rsid w:val="00730767"/>
    <w:rsid w:val="00740150"/>
    <w:rsid w:val="007403D1"/>
    <w:rsid w:val="00751B96"/>
    <w:rsid w:val="00762FE5"/>
    <w:rsid w:val="007711C0"/>
    <w:rsid w:val="00772B88"/>
    <w:rsid w:val="00773BE4"/>
    <w:rsid w:val="00791287"/>
    <w:rsid w:val="007A0188"/>
    <w:rsid w:val="007A6E94"/>
    <w:rsid w:val="007B44E2"/>
    <w:rsid w:val="007C29B4"/>
    <w:rsid w:val="007C496D"/>
    <w:rsid w:val="007C4EF3"/>
    <w:rsid w:val="007C6345"/>
    <w:rsid w:val="007E12E9"/>
    <w:rsid w:val="007E307C"/>
    <w:rsid w:val="007F2713"/>
    <w:rsid w:val="007F51E8"/>
    <w:rsid w:val="007F6CC5"/>
    <w:rsid w:val="00801E2A"/>
    <w:rsid w:val="00811CC1"/>
    <w:rsid w:val="00814204"/>
    <w:rsid w:val="00816814"/>
    <w:rsid w:val="00822039"/>
    <w:rsid w:val="00861DB5"/>
    <w:rsid w:val="00881157"/>
    <w:rsid w:val="00890856"/>
    <w:rsid w:val="008A48BD"/>
    <w:rsid w:val="008C0054"/>
    <w:rsid w:val="008C30E7"/>
    <w:rsid w:val="008C386E"/>
    <w:rsid w:val="008D5537"/>
    <w:rsid w:val="008D7C7C"/>
    <w:rsid w:val="008F305A"/>
    <w:rsid w:val="00933358"/>
    <w:rsid w:val="00951CC5"/>
    <w:rsid w:val="0095452E"/>
    <w:rsid w:val="0097408E"/>
    <w:rsid w:val="009818EA"/>
    <w:rsid w:val="00983C85"/>
    <w:rsid w:val="009A7DFB"/>
    <w:rsid w:val="009B0F9A"/>
    <w:rsid w:val="009B5B6C"/>
    <w:rsid w:val="009C1957"/>
    <w:rsid w:val="00A06E0B"/>
    <w:rsid w:val="00A121D8"/>
    <w:rsid w:val="00A204E2"/>
    <w:rsid w:val="00A20C49"/>
    <w:rsid w:val="00A21A0F"/>
    <w:rsid w:val="00A22064"/>
    <w:rsid w:val="00A26036"/>
    <w:rsid w:val="00A31299"/>
    <w:rsid w:val="00A31E7A"/>
    <w:rsid w:val="00A338DE"/>
    <w:rsid w:val="00A52793"/>
    <w:rsid w:val="00A74E90"/>
    <w:rsid w:val="00A900CE"/>
    <w:rsid w:val="00A94FCB"/>
    <w:rsid w:val="00AA060A"/>
    <w:rsid w:val="00AA36BD"/>
    <w:rsid w:val="00AB3DED"/>
    <w:rsid w:val="00AE3ABE"/>
    <w:rsid w:val="00AF048F"/>
    <w:rsid w:val="00AF6717"/>
    <w:rsid w:val="00B02461"/>
    <w:rsid w:val="00B22CD3"/>
    <w:rsid w:val="00B27802"/>
    <w:rsid w:val="00B368B1"/>
    <w:rsid w:val="00B67643"/>
    <w:rsid w:val="00B70639"/>
    <w:rsid w:val="00B8288B"/>
    <w:rsid w:val="00B82A47"/>
    <w:rsid w:val="00B85320"/>
    <w:rsid w:val="00B86D7A"/>
    <w:rsid w:val="00BA35B5"/>
    <w:rsid w:val="00BC6573"/>
    <w:rsid w:val="00BE0FEE"/>
    <w:rsid w:val="00BE4F55"/>
    <w:rsid w:val="00BE593A"/>
    <w:rsid w:val="00BF6FBE"/>
    <w:rsid w:val="00C0180A"/>
    <w:rsid w:val="00C13183"/>
    <w:rsid w:val="00C144DB"/>
    <w:rsid w:val="00C42007"/>
    <w:rsid w:val="00C46E0C"/>
    <w:rsid w:val="00C50063"/>
    <w:rsid w:val="00C50C44"/>
    <w:rsid w:val="00C53C1D"/>
    <w:rsid w:val="00C777E1"/>
    <w:rsid w:val="00C82D23"/>
    <w:rsid w:val="00C8475C"/>
    <w:rsid w:val="00C85C7E"/>
    <w:rsid w:val="00C92548"/>
    <w:rsid w:val="00CB14F2"/>
    <w:rsid w:val="00CC1966"/>
    <w:rsid w:val="00CC34CC"/>
    <w:rsid w:val="00CE1A9D"/>
    <w:rsid w:val="00D04784"/>
    <w:rsid w:val="00D14C33"/>
    <w:rsid w:val="00D31927"/>
    <w:rsid w:val="00D51140"/>
    <w:rsid w:val="00D707EB"/>
    <w:rsid w:val="00D74BC1"/>
    <w:rsid w:val="00D83992"/>
    <w:rsid w:val="00D85D30"/>
    <w:rsid w:val="00DB6751"/>
    <w:rsid w:val="00DC404A"/>
    <w:rsid w:val="00DD049A"/>
    <w:rsid w:val="00DE300D"/>
    <w:rsid w:val="00DE6BF7"/>
    <w:rsid w:val="00DE7BB7"/>
    <w:rsid w:val="00E03C09"/>
    <w:rsid w:val="00E06330"/>
    <w:rsid w:val="00E265CB"/>
    <w:rsid w:val="00E304DF"/>
    <w:rsid w:val="00E4364B"/>
    <w:rsid w:val="00E65316"/>
    <w:rsid w:val="00E81F3F"/>
    <w:rsid w:val="00E900FA"/>
    <w:rsid w:val="00E90643"/>
    <w:rsid w:val="00E91DDD"/>
    <w:rsid w:val="00EA532F"/>
    <w:rsid w:val="00EB7940"/>
    <w:rsid w:val="00EB7F09"/>
    <w:rsid w:val="00EC2EAF"/>
    <w:rsid w:val="00ED0606"/>
    <w:rsid w:val="00ED270A"/>
    <w:rsid w:val="00ED648C"/>
    <w:rsid w:val="00EE0DCB"/>
    <w:rsid w:val="00EE55FC"/>
    <w:rsid w:val="00F3503C"/>
    <w:rsid w:val="00F378D3"/>
    <w:rsid w:val="00F60137"/>
    <w:rsid w:val="00F61470"/>
    <w:rsid w:val="00F75010"/>
    <w:rsid w:val="00F817AF"/>
    <w:rsid w:val="00FA5C2F"/>
    <w:rsid w:val="00FA7A98"/>
    <w:rsid w:val="00FC3BE5"/>
    <w:rsid w:val="00FC4CFE"/>
    <w:rsid w:val="00FC5B34"/>
    <w:rsid w:val="00FD506D"/>
    <w:rsid w:val="00FD69AB"/>
    <w:rsid w:val="00FE175F"/>
    <w:rsid w:val="00FE1834"/>
    <w:rsid w:val="00FE33AA"/>
    <w:rsid w:val="00FE49CF"/>
    <w:rsid w:val="2D8243E4"/>
    <w:rsid w:val="67106A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C3BE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BodyText"/>
    <w:rsid w:val="003F3B51"/>
    <w:pPr>
      <w:numPr>
        <w:numId w:val="18"/>
      </w:numPr>
      <w:tabs>
        <w:tab w:val="clear" w:pos="1304"/>
        <w:tab w:val="num" w:pos="720"/>
        <w:tab w:val="left" w:pos="1701"/>
      </w:tabs>
      <w:ind w:left="1701" w:hanging="1701"/>
      <w:jc w:val="both"/>
    </w:pPr>
    <w:rPr>
      <w:rFonts w:ascii="Arial" w:hAnsi="Arial"/>
      <w:b/>
      <w:bCs/>
      <w:lang w:eastAsia="zh-CN"/>
    </w:rPr>
  </w:style>
  <w:style w:type="paragraph" w:customStyle="1" w:styleId="Observation">
    <w:name w:val="Observation"/>
    <w:basedOn w:val="Proposal"/>
    <w:qFormat/>
    <w:rsid w:val="003F3B51"/>
    <w:pPr>
      <w:numPr>
        <w:numId w:val="19"/>
      </w:numPr>
      <w:ind w:left="1701" w:hanging="1701"/>
    </w:pPr>
    <w:rPr>
      <w:lang w:eastAsia="ja-JP"/>
    </w:rPr>
  </w:style>
  <w:style w:type="character" w:customStyle="1" w:styleId="B1Char1">
    <w:name w:val="B1 Char1"/>
    <w:qFormat/>
    <w:rsid w:val="003F3B51"/>
    <w:rPr>
      <w:rFonts w:ascii="Times New Roman" w:hAnsi="Times New Roman"/>
      <w:lang w:eastAsia="zh-CN"/>
    </w:rPr>
  </w:style>
  <w:style w:type="paragraph" w:styleId="BodyText">
    <w:name w:val="Body Text"/>
    <w:basedOn w:val="Normal"/>
    <w:link w:val="BodyTextChar"/>
    <w:uiPriority w:val="99"/>
    <w:semiHidden/>
    <w:unhideWhenUsed/>
    <w:rsid w:val="003F3B51"/>
    <w:pPr>
      <w:spacing w:after="120"/>
    </w:pPr>
  </w:style>
  <w:style w:type="character" w:customStyle="1" w:styleId="BodyTextChar">
    <w:name w:val="Body Text Char"/>
    <w:basedOn w:val="DefaultParagraphFont"/>
    <w:link w:val="BodyText"/>
    <w:uiPriority w:val="99"/>
    <w:semiHidden/>
    <w:rsid w:val="003F3B51"/>
    <w:rPr>
      <w:rFonts w:ascii="Times New Roman" w:eastAsia="Times New Roman" w:hAnsi="Times New Roman" w:cs="Times New Roman"/>
      <w:sz w:val="20"/>
      <w:szCs w:val="20"/>
      <w:lang w:eastAsia="ja-JP"/>
    </w:rPr>
  </w:style>
  <w:style w:type="paragraph" w:customStyle="1" w:styleId="B3">
    <w:name w:val="B3"/>
    <w:basedOn w:val="List3"/>
    <w:link w:val="B3Char"/>
    <w:rsid w:val="003B5AB4"/>
    <w:pPr>
      <w:ind w:left="1135" w:hanging="284"/>
      <w:contextualSpacing w:val="0"/>
    </w:pPr>
  </w:style>
  <w:style w:type="paragraph" w:styleId="Caption">
    <w:name w:val="caption"/>
    <w:aliases w:val="cap"/>
    <w:basedOn w:val="Normal"/>
    <w:next w:val="Normal"/>
    <w:link w:val="CaptionChar"/>
    <w:qFormat/>
    <w:rsid w:val="003B5AB4"/>
    <w:pPr>
      <w:spacing w:before="120" w:after="120"/>
    </w:pPr>
    <w:rPr>
      <w:b/>
    </w:rPr>
  </w:style>
  <w:style w:type="character" w:customStyle="1" w:styleId="CaptionChar">
    <w:name w:val="Caption Char"/>
    <w:aliases w:val="cap Char"/>
    <w:link w:val="Caption"/>
    <w:locked/>
    <w:rsid w:val="003B5AB4"/>
    <w:rPr>
      <w:rFonts w:ascii="Times New Roman" w:eastAsia="Times New Roman" w:hAnsi="Times New Roman" w:cs="Times New Roman"/>
      <w:b/>
      <w:sz w:val="20"/>
      <w:szCs w:val="20"/>
      <w:lang w:eastAsia="ja-JP"/>
    </w:rPr>
  </w:style>
  <w:style w:type="character" w:customStyle="1" w:styleId="B3Char">
    <w:name w:val="B3 Char"/>
    <w:link w:val="B3"/>
    <w:rsid w:val="003B5AB4"/>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3B5AB4"/>
    <w:pPr>
      <w:ind w:left="849" w:hanging="283"/>
      <w:contextualSpacing/>
    </w:pPr>
  </w:style>
  <w:style w:type="character" w:customStyle="1" w:styleId="Heading5Char">
    <w:name w:val="Heading 5 Char"/>
    <w:basedOn w:val="DefaultParagraphFont"/>
    <w:link w:val="Heading5"/>
    <w:uiPriority w:val="9"/>
    <w:semiHidden/>
    <w:rsid w:val="00FC3BE5"/>
    <w:rPr>
      <w:rFonts w:asciiTheme="majorHAnsi" w:eastAsiaTheme="majorEastAsia" w:hAnsiTheme="majorHAnsi" w:cstheme="majorBidi"/>
      <w:color w:val="2F5496" w:themeColor="accent1" w:themeShade="BF"/>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2449">
      <w:bodyDiv w:val="1"/>
      <w:marLeft w:val="0"/>
      <w:marRight w:val="0"/>
      <w:marTop w:val="0"/>
      <w:marBottom w:val="0"/>
      <w:divBdr>
        <w:top w:val="none" w:sz="0" w:space="0" w:color="auto"/>
        <w:left w:val="none" w:sz="0" w:space="0" w:color="auto"/>
        <w:bottom w:val="none" w:sz="0" w:space="0" w:color="auto"/>
        <w:right w:val="none" w:sz="0" w:space="0" w:color="auto"/>
      </w:divBdr>
      <w:divsChild>
        <w:div w:id="1369261898">
          <w:marLeft w:val="259"/>
          <w:marRight w:val="0"/>
          <w:marTop w:val="105"/>
          <w:marBottom w:val="0"/>
          <w:divBdr>
            <w:top w:val="none" w:sz="0" w:space="0" w:color="auto"/>
            <w:left w:val="none" w:sz="0" w:space="0" w:color="auto"/>
            <w:bottom w:val="none" w:sz="0" w:space="0" w:color="auto"/>
            <w:right w:val="none" w:sz="0" w:space="0" w:color="auto"/>
          </w:divBdr>
        </w:div>
        <w:div w:id="55127959">
          <w:marLeft w:val="259"/>
          <w:marRight w:val="0"/>
          <w:marTop w:val="105"/>
          <w:marBottom w:val="0"/>
          <w:divBdr>
            <w:top w:val="none" w:sz="0" w:space="0" w:color="auto"/>
            <w:left w:val="none" w:sz="0" w:space="0" w:color="auto"/>
            <w:bottom w:val="none" w:sz="0" w:space="0" w:color="auto"/>
            <w:right w:val="none" w:sz="0" w:space="0" w:color="auto"/>
          </w:divBdr>
        </w:div>
        <w:div w:id="2124687174">
          <w:marLeft w:val="259"/>
          <w:marRight w:val="0"/>
          <w:marTop w:val="105"/>
          <w:marBottom w:val="0"/>
          <w:divBdr>
            <w:top w:val="none" w:sz="0" w:space="0" w:color="auto"/>
            <w:left w:val="none" w:sz="0" w:space="0" w:color="auto"/>
            <w:bottom w:val="none" w:sz="0" w:space="0" w:color="auto"/>
            <w:right w:val="none" w:sz="0" w:space="0" w:color="auto"/>
          </w:divBdr>
        </w:div>
        <w:div w:id="420764086">
          <w:marLeft w:val="259"/>
          <w:marRight w:val="0"/>
          <w:marTop w:val="105"/>
          <w:marBottom w:val="0"/>
          <w:divBdr>
            <w:top w:val="none" w:sz="0" w:space="0" w:color="auto"/>
            <w:left w:val="none" w:sz="0" w:space="0" w:color="auto"/>
            <w:bottom w:val="none" w:sz="0" w:space="0" w:color="auto"/>
            <w:right w:val="none" w:sz="0" w:space="0" w:color="auto"/>
          </w:divBdr>
        </w:div>
        <w:div w:id="312369105">
          <w:marLeft w:val="259"/>
          <w:marRight w:val="0"/>
          <w:marTop w:val="105"/>
          <w:marBottom w:val="0"/>
          <w:divBdr>
            <w:top w:val="none" w:sz="0" w:space="0" w:color="auto"/>
            <w:left w:val="none" w:sz="0" w:space="0" w:color="auto"/>
            <w:bottom w:val="none" w:sz="0" w:space="0" w:color="auto"/>
            <w:right w:val="none" w:sz="0" w:space="0" w:color="auto"/>
          </w:divBdr>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637105710">
      <w:bodyDiv w:val="1"/>
      <w:marLeft w:val="0"/>
      <w:marRight w:val="0"/>
      <w:marTop w:val="0"/>
      <w:marBottom w:val="0"/>
      <w:divBdr>
        <w:top w:val="none" w:sz="0" w:space="0" w:color="auto"/>
        <w:left w:val="none" w:sz="0" w:space="0" w:color="auto"/>
        <w:bottom w:val="none" w:sz="0" w:space="0" w:color="auto"/>
        <w:right w:val="none" w:sz="0" w:space="0" w:color="auto"/>
      </w:divBdr>
    </w:div>
    <w:div w:id="741638097">
      <w:bodyDiv w:val="1"/>
      <w:marLeft w:val="0"/>
      <w:marRight w:val="0"/>
      <w:marTop w:val="0"/>
      <w:marBottom w:val="0"/>
      <w:divBdr>
        <w:top w:val="none" w:sz="0" w:space="0" w:color="auto"/>
        <w:left w:val="none" w:sz="0" w:space="0" w:color="auto"/>
        <w:bottom w:val="none" w:sz="0" w:space="0" w:color="auto"/>
        <w:right w:val="none" w:sz="0" w:space="0" w:color="auto"/>
      </w:divBdr>
      <w:divsChild>
        <w:div w:id="42481667">
          <w:marLeft w:val="274"/>
          <w:marRight w:val="0"/>
          <w:marTop w:val="0"/>
          <w:marBottom w:val="0"/>
          <w:divBdr>
            <w:top w:val="none" w:sz="0" w:space="0" w:color="auto"/>
            <w:left w:val="none" w:sz="0" w:space="0" w:color="auto"/>
            <w:bottom w:val="none" w:sz="0" w:space="0" w:color="auto"/>
            <w:right w:val="none" w:sz="0" w:space="0" w:color="auto"/>
          </w:divBdr>
        </w:div>
        <w:div w:id="14811549">
          <w:marLeft w:val="274"/>
          <w:marRight w:val="0"/>
          <w:marTop w:val="0"/>
          <w:marBottom w:val="0"/>
          <w:divBdr>
            <w:top w:val="none" w:sz="0" w:space="0" w:color="auto"/>
            <w:left w:val="none" w:sz="0" w:space="0" w:color="auto"/>
            <w:bottom w:val="none" w:sz="0" w:space="0" w:color="auto"/>
            <w:right w:val="none" w:sz="0" w:space="0" w:color="auto"/>
          </w:divBdr>
        </w:div>
        <w:div w:id="2105572118">
          <w:marLeft w:val="274"/>
          <w:marRight w:val="0"/>
          <w:marTop w:val="0"/>
          <w:marBottom w:val="0"/>
          <w:divBdr>
            <w:top w:val="none" w:sz="0" w:space="0" w:color="auto"/>
            <w:left w:val="none" w:sz="0" w:space="0" w:color="auto"/>
            <w:bottom w:val="none" w:sz="0" w:space="0" w:color="auto"/>
            <w:right w:val="none" w:sz="0" w:space="0" w:color="auto"/>
          </w:divBdr>
        </w:div>
      </w:divsChild>
    </w:div>
    <w:div w:id="1014913943">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455825993">
      <w:bodyDiv w:val="1"/>
      <w:marLeft w:val="0"/>
      <w:marRight w:val="0"/>
      <w:marTop w:val="0"/>
      <w:marBottom w:val="0"/>
      <w:divBdr>
        <w:top w:val="none" w:sz="0" w:space="0" w:color="auto"/>
        <w:left w:val="none" w:sz="0" w:space="0" w:color="auto"/>
        <w:bottom w:val="none" w:sz="0" w:space="0" w:color="auto"/>
        <w:right w:val="none" w:sz="0" w:space="0" w:color="auto"/>
      </w:divBdr>
      <w:divsChild>
        <w:div w:id="996882360">
          <w:marLeft w:val="274"/>
          <w:marRight w:val="0"/>
          <w:marTop w:val="0"/>
          <w:marBottom w:val="0"/>
          <w:divBdr>
            <w:top w:val="none" w:sz="0" w:space="0" w:color="auto"/>
            <w:left w:val="none" w:sz="0" w:space="0" w:color="auto"/>
            <w:bottom w:val="none" w:sz="0" w:space="0" w:color="auto"/>
            <w:right w:val="none" w:sz="0" w:space="0" w:color="auto"/>
          </w:divBdr>
        </w:div>
        <w:div w:id="1455249113">
          <w:marLeft w:val="907"/>
          <w:marRight w:val="0"/>
          <w:marTop w:val="0"/>
          <w:marBottom w:val="0"/>
          <w:divBdr>
            <w:top w:val="none" w:sz="0" w:space="0" w:color="auto"/>
            <w:left w:val="none" w:sz="0" w:space="0" w:color="auto"/>
            <w:bottom w:val="none" w:sz="0" w:space="0" w:color="auto"/>
            <w:right w:val="none" w:sz="0" w:space="0" w:color="auto"/>
          </w:divBdr>
        </w:div>
        <w:div w:id="952135524">
          <w:marLeft w:val="274"/>
          <w:marRight w:val="0"/>
          <w:marTop w:val="0"/>
          <w:marBottom w:val="0"/>
          <w:divBdr>
            <w:top w:val="none" w:sz="0" w:space="0" w:color="auto"/>
            <w:left w:val="none" w:sz="0" w:space="0" w:color="auto"/>
            <w:bottom w:val="none" w:sz="0" w:space="0" w:color="auto"/>
            <w:right w:val="none" w:sz="0" w:space="0" w:color="auto"/>
          </w:divBdr>
        </w:div>
        <w:div w:id="1732343813">
          <w:marLeft w:val="274"/>
          <w:marRight w:val="0"/>
          <w:marTop w:val="0"/>
          <w:marBottom w:val="0"/>
          <w:divBdr>
            <w:top w:val="none" w:sz="0" w:space="0" w:color="auto"/>
            <w:left w:val="none" w:sz="0" w:space="0" w:color="auto"/>
            <w:bottom w:val="none" w:sz="0" w:space="0" w:color="auto"/>
            <w:right w:val="none" w:sz="0" w:space="0" w:color="auto"/>
          </w:divBdr>
        </w:div>
        <w:div w:id="1791783911">
          <w:marLeft w:val="274"/>
          <w:marRight w:val="0"/>
          <w:marTop w:val="0"/>
          <w:marBottom w:val="0"/>
          <w:divBdr>
            <w:top w:val="none" w:sz="0" w:space="0" w:color="auto"/>
            <w:left w:val="none" w:sz="0" w:space="0" w:color="auto"/>
            <w:bottom w:val="none" w:sz="0" w:space="0" w:color="auto"/>
            <w:right w:val="none" w:sz="0" w:space="0" w:color="auto"/>
          </w:divBdr>
        </w:div>
        <w:div w:id="2010282098">
          <w:marLeft w:val="907"/>
          <w:marRight w:val="0"/>
          <w:marTop w:val="0"/>
          <w:marBottom w:val="0"/>
          <w:divBdr>
            <w:top w:val="none" w:sz="0" w:space="0" w:color="auto"/>
            <w:left w:val="none" w:sz="0" w:space="0" w:color="auto"/>
            <w:bottom w:val="none" w:sz="0" w:space="0" w:color="auto"/>
            <w:right w:val="none" w:sz="0" w:space="0" w:color="auto"/>
          </w:divBdr>
        </w:div>
        <w:div w:id="1755972954">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98885AE8-EEA1-41B8-AFEE-DEEAD2488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C3DA7-4876-4872-A0A4-9C405FEADB1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2021-05-10T14:35:00Z</dcterms:created>
  <dcterms:modified xsi:type="dcterms:W3CDTF">2021-05-10T14:35:00Z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