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6ED84" w14:textId="65AA0F76" w:rsidR="00CB40E6" w:rsidRPr="0091388F" w:rsidRDefault="007C3C3A">
      <w:pPr>
        <w:tabs>
          <w:tab w:val="left" w:pos="567"/>
        </w:tabs>
        <w:overflowPunct/>
        <w:autoSpaceDE/>
        <w:autoSpaceDN/>
        <w:snapToGrid w:val="0"/>
        <w:spacing w:after="0"/>
        <w:textAlignment w:val="auto"/>
        <w:rPr>
          <w:rFonts w:ascii="Arial" w:eastAsia="MS Mincho" w:hAnsi="Arial" w:cs="Arial"/>
          <w:b/>
          <w:sz w:val="24"/>
          <w:szCs w:val="28"/>
        </w:rPr>
      </w:pPr>
      <w:bookmarkStart w:id="0" w:name="_GoBack"/>
      <w:bookmarkEnd w:id="0"/>
      <w:r w:rsidRPr="0091388F">
        <w:rPr>
          <w:rFonts w:ascii="Arial" w:hAnsi="Arial" w:cs="Arial"/>
          <w:b/>
          <w:sz w:val="24"/>
          <w:szCs w:val="28"/>
        </w:rPr>
        <w:t xml:space="preserve">3GPP </w:t>
      </w:r>
      <w:r w:rsidR="001C18EB" w:rsidRPr="0091388F">
        <w:rPr>
          <w:rFonts w:ascii="Arial" w:hAnsi="Arial" w:cs="Arial"/>
          <w:b/>
          <w:sz w:val="24"/>
          <w:szCs w:val="28"/>
        </w:rPr>
        <w:t xml:space="preserve">TSG </w:t>
      </w:r>
      <w:r w:rsidR="004B3C92" w:rsidRPr="0091388F">
        <w:rPr>
          <w:rFonts w:ascii="Arial" w:hAnsi="Arial" w:cs="Arial"/>
          <w:b/>
          <w:sz w:val="24"/>
          <w:szCs w:val="28"/>
        </w:rPr>
        <w:t>RAN</w:t>
      </w:r>
      <w:r w:rsidR="00654A7F" w:rsidRPr="0091388F">
        <w:rPr>
          <w:rFonts w:ascii="Arial" w:hAnsi="Arial" w:cs="Arial"/>
          <w:b/>
          <w:sz w:val="24"/>
          <w:szCs w:val="28"/>
        </w:rPr>
        <w:t xml:space="preserve"> Meeting #</w:t>
      </w:r>
      <w:r w:rsidR="00DA1DCB" w:rsidRPr="0091388F">
        <w:rPr>
          <w:rFonts w:ascii="Arial" w:hAnsi="Arial" w:cs="Arial"/>
          <w:b/>
          <w:sz w:val="24"/>
          <w:szCs w:val="28"/>
        </w:rPr>
        <w:t>11</w:t>
      </w:r>
      <w:r w:rsidR="00CB5EAE">
        <w:rPr>
          <w:rFonts w:ascii="Arial" w:hAnsi="Arial" w:cs="Arial"/>
          <w:b/>
          <w:sz w:val="24"/>
          <w:szCs w:val="28"/>
        </w:rPr>
        <w:t>4</w:t>
      </w:r>
      <w:r w:rsidR="00DA1DCB" w:rsidRPr="0091388F">
        <w:rPr>
          <w:rFonts w:ascii="Arial" w:hAnsi="Arial" w:cs="Arial"/>
          <w:b/>
          <w:sz w:val="24"/>
          <w:szCs w:val="28"/>
        </w:rPr>
        <w:t>-e</w:t>
      </w:r>
      <w:r w:rsidR="005B2698" w:rsidRPr="0091388F">
        <w:rPr>
          <w:rFonts w:ascii="Arial" w:eastAsia="MS Mincho" w:hAnsi="Arial" w:cs="Arial"/>
          <w:b/>
          <w:sz w:val="24"/>
          <w:szCs w:val="28"/>
        </w:rPr>
        <w:tab/>
      </w:r>
      <w:r w:rsidR="00EF6918" w:rsidRPr="0091388F">
        <w:rPr>
          <w:rFonts w:ascii="Arial" w:eastAsia="MS Mincho" w:hAnsi="Arial" w:cs="Arial" w:hint="eastAsia"/>
          <w:b/>
          <w:sz w:val="24"/>
          <w:szCs w:val="28"/>
        </w:rPr>
        <w:tab/>
      </w:r>
      <w:r w:rsidR="00DA1DCB" w:rsidRPr="0091388F">
        <w:rPr>
          <w:rFonts w:ascii="Arial" w:eastAsia="MS Mincho" w:hAnsi="Arial" w:cs="Arial"/>
          <w:b/>
          <w:sz w:val="24"/>
          <w:szCs w:val="28"/>
        </w:rPr>
        <w:tab/>
      </w:r>
      <w:r w:rsidR="00DA1DCB" w:rsidRPr="0091388F">
        <w:rPr>
          <w:rFonts w:ascii="Arial" w:eastAsia="MS Mincho" w:hAnsi="Arial" w:cs="Arial"/>
          <w:b/>
          <w:sz w:val="24"/>
          <w:szCs w:val="28"/>
        </w:rPr>
        <w:tab/>
      </w:r>
      <w:r w:rsidR="00A478DD" w:rsidRPr="0091388F">
        <w:rPr>
          <w:rFonts w:ascii="Arial" w:eastAsia="MS Mincho" w:hAnsi="Arial" w:cs="Arial"/>
          <w:b/>
          <w:sz w:val="24"/>
          <w:szCs w:val="28"/>
        </w:rPr>
        <w:tab/>
      </w:r>
      <w:r w:rsidR="00A478DD" w:rsidRPr="0091388F">
        <w:rPr>
          <w:rFonts w:ascii="Arial" w:eastAsia="MS Mincho" w:hAnsi="Arial" w:cs="Arial"/>
          <w:b/>
          <w:sz w:val="24"/>
          <w:szCs w:val="28"/>
        </w:rPr>
        <w:tab/>
      </w:r>
      <w:r w:rsidR="007C328D">
        <w:rPr>
          <w:rFonts w:ascii="Arial" w:eastAsia="MS Mincho" w:hAnsi="Arial" w:cs="Arial"/>
          <w:b/>
          <w:sz w:val="24"/>
          <w:szCs w:val="28"/>
        </w:rPr>
        <w:tab/>
      </w:r>
      <w:r w:rsidR="007C328D">
        <w:rPr>
          <w:rFonts w:ascii="Arial" w:eastAsia="MS Mincho" w:hAnsi="Arial" w:cs="Arial"/>
          <w:b/>
          <w:sz w:val="24"/>
          <w:szCs w:val="28"/>
        </w:rPr>
        <w:tab/>
      </w:r>
      <w:r w:rsidR="00CB5EAE" w:rsidRPr="00CB5EAE">
        <w:rPr>
          <w:rFonts w:ascii="Arial" w:hAnsi="Arial" w:cs="Arial"/>
          <w:b/>
          <w:sz w:val="24"/>
          <w:szCs w:val="28"/>
        </w:rPr>
        <w:t>R2-2105581</w:t>
      </w:r>
    </w:p>
    <w:p w14:paraId="4402CCA0" w14:textId="5BA4A1B4" w:rsidR="00CB40E6" w:rsidRPr="0091388F" w:rsidRDefault="00DA1DCB" w:rsidP="008B0082">
      <w:pPr>
        <w:tabs>
          <w:tab w:val="left" w:pos="567"/>
        </w:tabs>
        <w:rPr>
          <w:rFonts w:ascii="Arial" w:hAnsi="Arial" w:cs="Arial"/>
          <w:b/>
          <w:sz w:val="24"/>
          <w:szCs w:val="28"/>
        </w:rPr>
      </w:pPr>
      <w:r w:rsidRPr="0091388F">
        <w:rPr>
          <w:rFonts w:ascii="Arial" w:hAnsi="Arial" w:cs="Arial"/>
          <w:b/>
          <w:sz w:val="24"/>
          <w:szCs w:val="28"/>
        </w:rPr>
        <w:t xml:space="preserve">Online, </w:t>
      </w:r>
      <w:r w:rsidR="00CB5EAE">
        <w:rPr>
          <w:rFonts w:ascii="Arial" w:hAnsi="Arial" w:cs="Arial"/>
          <w:b/>
          <w:sz w:val="24"/>
          <w:szCs w:val="28"/>
        </w:rPr>
        <w:t>19</w:t>
      </w:r>
      <w:r w:rsidRPr="0091388F">
        <w:rPr>
          <w:rFonts w:ascii="Arial" w:hAnsi="Arial" w:cs="Arial"/>
          <w:b/>
          <w:sz w:val="24"/>
          <w:szCs w:val="28"/>
        </w:rPr>
        <w:t xml:space="preserve"> </w:t>
      </w:r>
      <w:r w:rsidR="00053C50" w:rsidRPr="0091388F">
        <w:rPr>
          <w:rFonts w:ascii="Arial" w:hAnsi="Arial" w:cs="Arial"/>
          <w:b/>
          <w:sz w:val="24"/>
          <w:szCs w:val="28"/>
        </w:rPr>
        <w:t>-</w:t>
      </w:r>
      <w:r w:rsidRPr="0091388F">
        <w:rPr>
          <w:rFonts w:ascii="Arial" w:hAnsi="Arial" w:cs="Arial"/>
          <w:b/>
          <w:sz w:val="24"/>
          <w:szCs w:val="28"/>
        </w:rPr>
        <w:t xml:space="preserve"> </w:t>
      </w:r>
      <w:r w:rsidR="00CB5EAE">
        <w:rPr>
          <w:rFonts w:ascii="Arial" w:hAnsi="Arial" w:cs="Arial"/>
          <w:b/>
          <w:sz w:val="24"/>
          <w:szCs w:val="28"/>
        </w:rPr>
        <w:t>27</w:t>
      </w:r>
      <w:r w:rsidRPr="0091388F">
        <w:rPr>
          <w:rFonts w:ascii="Arial" w:hAnsi="Arial" w:cs="Arial"/>
          <w:b/>
          <w:sz w:val="24"/>
          <w:szCs w:val="28"/>
        </w:rPr>
        <w:t xml:space="preserve"> </w:t>
      </w:r>
      <w:r w:rsidR="00CB5EAE">
        <w:rPr>
          <w:rFonts w:ascii="Arial" w:hAnsi="Arial" w:cs="Arial"/>
          <w:b/>
          <w:sz w:val="24"/>
          <w:szCs w:val="28"/>
        </w:rPr>
        <w:t>May</w:t>
      </w:r>
      <w:r w:rsidRPr="0091388F">
        <w:rPr>
          <w:rFonts w:ascii="Arial" w:hAnsi="Arial" w:cs="Arial"/>
          <w:b/>
          <w:sz w:val="24"/>
          <w:szCs w:val="28"/>
        </w:rPr>
        <w:t>, 2021</w:t>
      </w:r>
    </w:p>
    <w:p w14:paraId="3A70F0A4" w14:textId="6687F9E4" w:rsidR="00A67875" w:rsidRPr="00A304A0" w:rsidRDefault="00CB40E6">
      <w:pPr>
        <w:tabs>
          <w:tab w:val="left" w:pos="567"/>
        </w:tabs>
        <w:spacing w:after="60"/>
        <w:rPr>
          <w:rFonts w:ascii="Arial" w:hAnsi="Arial"/>
          <w:b/>
          <w:lang w:val="en-US"/>
        </w:rPr>
      </w:pPr>
      <w:r w:rsidRPr="6655CCBB">
        <w:rPr>
          <w:rFonts w:ascii="Arial" w:hAnsi="Arial"/>
          <w:b/>
          <w:lang w:val="en-US"/>
        </w:rPr>
        <w:t>Agenda Item:</w:t>
      </w:r>
      <w:r w:rsidRPr="00A304A0">
        <w:rPr>
          <w:rFonts w:ascii="Arial" w:hAnsi="Arial"/>
          <w:lang w:val="en-US"/>
        </w:rPr>
        <w:tab/>
      </w:r>
      <w:bookmarkStart w:id="1" w:name="Source"/>
      <w:bookmarkEnd w:id="1"/>
      <w:r w:rsidR="00F35990" w:rsidRPr="00A304A0">
        <w:rPr>
          <w:rFonts w:ascii="Arial" w:hAnsi="Arial"/>
          <w:b/>
          <w:lang w:val="en-US"/>
        </w:rPr>
        <w:tab/>
      </w:r>
      <w:r w:rsidR="001944CA">
        <w:rPr>
          <w:rFonts w:ascii="Arial" w:hAnsi="Arial"/>
          <w:b/>
          <w:lang w:val="en-US"/>
        </w:rPr>
        <w:t>8.14.2.2</w:t>
      </w:r>
    </w:p>
    <w:p w14:paraId="19CC873E" w14:textId="77777777" w:rsidR="00CB40E6" w:rsidRPr="00A304A0" w:rsidRDefault="00F35990" w:rsidP="0019460F">
      <w:pPr>
        <w:tabs>
          <w:tab w:val="left" w:pos="567"/>
        </w:tabs>
        <w:spacing w:after="60"/>
        <w:rPr>
          <w:rFonts w:ascii="Arial" w:hAnsi="Arial"/>
        </w:rPr>
      </w:pPr>
      <w:r w:rsidRPr="6655CCBB">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sidRPr="6655CCBB">
        <w:rPr>
          <w:rFonts w:ascii="Arial" w:hAnsi="Arial"/>
          <w:b/>
        </w:rPr>
        <w:t>Huawei, HiSilicon</w:t>
      </w:r>
    </w:p>
    <w:p w14:paraId="566D09D3" w14:textId="3EBA30F6" w:rsidR="00BD7C2A" w:rsidRPr="00A304A0" w:rsidRDefault="00CB40E6" w:rsidP="0019460F">
      <w:pPr>
        <w:tabs>
          <w:tab w:val="left" w:pos="567"/>
        </w:tabs>
        <w:spacing w:after="60"/>
        <w:rPr>
          <w:rFonts w:ascii="Arial" w:hAnsi="Arial"/>
        </w:rPr>
      </w:pPr>
      <w:r w:rsidRPr="6655CCBB">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A47EB7" w:rsidRPr="00A47EB7">
        <w:rPr>
          <w:rFonts w:ascii="Arial" w:hAnsi="Arial"/>
          <w:b/>
        </w:rPr>
        <w:t>QoE measurement handling at RAN overload</w:t>
      </w:r>
    </w:p>
    <w:p w14:paraId="301EB540" w14:textId="3A786910" w:rsidR="004B3C92" w:rsidRPr="00A304A0" w:rsidRDefault="0019460F" w:rsidP="0019460F">
      <w:pPr>
        <w:tabs>
          <w:tab w:val="left" w:pos="567"/>
        </w:tabs>
        <w:spacing w:after="60"/>
        <w:rPr>
          <w:rFonts w:ascii="Arial" w:hAnsi="Arial"/>
        </w:rPr>
      </w:pPr>
      <w:r w:rsidRPr="6655CCBB">
        <w:rPr>
          <w:rFonts w:ascii="Arial" w:hAnsi="Arial"/>
          <w:b/>
        </w:rPr>
        <w:t>WID/SID</w:t>
      </w:r>
      <w:r w:rsidR="004B3C92" w:rsidRPr="6655CCBB">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r w:rsidR="00BC723B" w:rsidRPr="00BC723B">
        <w:rPr>
          <w:rFonts w:ascii="Arial" w:hAnsi="Arial"/>
          <w:b/>
        </w:rPr>
        <w:t>NR_</w:t>
      </w:r>
      <w:r w:rsidR="00CB5EAE">
        <w:rPr>
          <w:rFonts w:ascii="Arial" w:hAnsi="Arial"/>
          <w:b/>
        </w:rPr>
        <w:t>QoE</w:t>
      </w:r>
      <w:r w:rsidR="00BC723B" w:rsidRPr="00BC723B">
        <w:rPr>
          <w:rFonts w:ascii="Arial" w:hAnsi="Arial"/>
          <w:b/>
        </w:rPr>
        <w:t>-Core</w:t>
      </w:r>
    </w:p>
    <w:p w14:paraId="251C2AAC" w14:textId="77777777" w:rsidR="00D62905" w:rsidRPr="00A304A0" w:rsidRDefault="0019460F">
      <w:pPr>
        <w:tabs>
          <w:tab w:val="left" w:pos="567"/>
        </w:tabs>
        <w:spacing w:after="60"/>
        <w:rPr>
          <w:rFonts w:ascii="Arial" w:hAnsi="Arial"/>
          <w:b/>
        </w:rPr>
      </w:pPr>
      <w:r w:rsidRPr="6655CCBB">
        <w:rPr>
          <w:rFonts w:ascii="Arial" w:hAnsi="Arial"/>
          <w:b/>
        </w:rPr>
        <w:t>Document for</w:t>
      </w:r>
      <w:r w:rsidR="00D62905" w:rsidRPr="6655CCBB">
        <w:rPr>
          <w:rFonts w:ascii="Arial" w:hAnsi="Arial"/>
          <w:b/>
        </w:rPr>
        <w:t>:</w:t>
      </w:r>
      <w:r w:rsidR="00D62905" w:rsidRPr="00A304A0">
        <w:rPr>
          <w:rFonts w:ascii="Arial" w:hAnsi="Arial"/>
          <w:b/>
        </w:rPr>
        <w:tab/>
      </w:r>
      <w:r w:rsidR="00D62905" w:rsidRPr="00A304A0">
        <w:rPr>
          <w:rFonts w:ascii="Arial" w:hAnsi="Arial"/>
          <w:b/>
        </w:rPr>
        <w:tab/>
      </w:r>
      <w:r w:rsidRPr="6655CCBB">
        <w:rPr>
          <w:rFonts w:ascii="Arial" w:hAnsi="Arial"/>
          <w:b/>
        </w:rPr>
        <w:t>Discussion and Decision</w:t>
      </w:r>
    </w:p>
    <w:p w14:paraId="449DDAD5" w14:textId="77777777" w:rsidR="00CB40E6" w:rsidRPr="00A304A0" w:rsidRDefault="00CB40E6" w:rsidP="00F35990">
      <w:pPr>
        <w:pBdr>
          <w:bottom w:val="single" w:sz="12" w:space="1" w:color="auto"/>
        </w:pBdr>
        <w:tabs>
          <w:tab w:val="left" w:pos="567"/>
        </w:tabs>
      </w:pPr>
    </w:p>
    <w:p w14:paraId="76E0E8C1" w14:textId="77777777" w:rsidR="00CB40E6" w:rsidRPr="00A304A0" w:rsidRDefault="004F7FE5" w:rsidP="001405E2">
      <w:pPr>
        <w:pStyle w:val="Heading3"/>
      </w:pPr>
      <w:r w:rsidRPr="00A304A0">
        <w:t>1</w:t>
      </w:r>
      <w:r w:rsidRPr="00A304A0">
        <w:tab/>
      </w:r>
      <w:r w:rsidR="004B3C92" w:rsidRPr="00A304A0">
        <w:t>Introduction</w:t>
      </w:r>
    </w:p>
    <w:p w14:paraId="3FA54D1A" w14:textId="0335E847" w:rsidR="001944CA" w:rsidRDefault="001944CA" w:rsidP="001944CA">
      <w:pPr>
        <w:jc w:val="both"/>
      </w:pPr>
      <w:r>
        <w:t>In R</w:t>
      </w:r>
      <w:r w:rsidRPr="00CA2E94">
        <w:t>AN#</w:t>
      </w:r>
      <w:r>
        <w:t>91</w:t>
      </w:r>
      <w:r w:rsidRPr="00CA2E94">
        <w:t xml:space="preserve"> me</w:t>
      </w:r>
      <w:r>
        <w:t>eting, a new WID on NR QoE management and optimizations for diverse services [1]. The objectives of this WID includes the followings:</w:t>
      </w:r>
    </w:p>
    <w:tbl>
      <w:tblPr>
        <w:tblStyle w:val="TableGrid"/>
        <w:tblW w:w="0" w:type="auto"/>
        <w:tblLook w:val="04A0" w:firstRow="1" w:lastRow="0" w:firstColumn="1" w:lastColumn="0" w:noHBand="0" w:noVBand="1"/>
      </w:tblPr>
      <w:tblGrid>
        <w:gridCol w:w="9628"/>
      </w:tblGrid>
      <w:tr w:rsidR="001944CA" w14:paraId="11C71705" w14:textId="77777777" w:rsidTr="001944CA">
        <w:tc>
          <w:tcPr>
            <w:tcW w:w="9628" w:type="dxa"/>
          </w:tcPr>
          <w:p w14:paraId="77ECB36A" w14:textId="77777777" w:rsidR="001944CA" w:rsidRPr="001944CA" w:rsidRDefault="001944CA" w:rsidP="001944CA">
            <w:pPr>
              <w:numPr>
                <w:ilvl w:val="0"/>
                <w:numId w:val="14"/>
              </w:numPr>
              <w:spacing w:after="0"/>
              <w:jc w:val="both"/>
              <w:rPr>
                <w:rFonts w:eastAsia="宋体"/>
                <w:bCs/>
                <w:lang w:val="en-US" w:eastAsia="zh-CN"/>
              </w:rPr>
            </w:pPr>
            <w:r w:rsidRPr="001944CA">
              <w:rPr>
                <w:rFonts w:eastAsia="宋体"/>
                <w:bCs/>
                <w:lang w:val="en-US" w:eastAsia="zh-CN"/>
              </w:rPr>
              <w:t xml:space="preserve">Specify </w:t>
            </w:r>
            <w:r w:rsidRPr="001944CA">
              <w:rPr>
                <w:rFonts w:eastAsia="宋体" w:hint="eastAsia"/>
                <w:bCs/>
                <w:lang w:val="en-US" w:eastAsia="zh-CN"/>
              </w:rPr>
              <w:t>the</w:t>
            </w:r>
            <w:r w:rsidRPr="001944CA">
              <w:rPr>
                <w:rFonts w:eastAsia="宋体"/>
                <w:bCs/>
                <w:lang w:val="en-US" w:eastAsia="zh-CN"/>
              </w:rPr>
              <w:t xml:space="preserve"> </w:t>
            </w:r>
            <w:r w:rsidRPr="001944CA">
              <w:rPr>
                <w:rFonts w:eastAsia="宋体" w:hint="eastAsia"/>
                <w:bCs/>
                <w:lang w:val="en-US" w:eastAsia="zh-CN"/>
              </w:rPr>
              <w:t xml:space="preserve">support for QoE measurement collection </w:t>
            </w:r>
            <w:r w:rsidRPr="001944CA">
              <w:rPr>
                <w:rFonts w:eastAsia="宋体" w:hint="eastAsia"/>
                <w:bCs/>
                <w:lang w:eastAsia="zh-CN"/>
              </w:rPr>
              <w:t xml:space="preserve">in NR </w:t>
            </w:r>
            <w:r w:rsidRPr="001944CA">
              <w:rPr>
                <w:rFonts w:eastAsia="宋体"/>
                <w:lang w:eastAsia="en-GB"/>
              </w:rPr>
              <w:t>standalone</w:t>
            </w:r>
            <w:r w:rsidRPr="001944CA">
              <w:rPr>
                <w:rFonts w:eastAsia="宋体" w:hint="eastAsia"/>
                <w:bCs/>
                <w:lang w:eastAsia="zh-CN"/>
              </w:rPr>
              <w:t xml:space="preserve"> mode</w:t>
            </w:r>
            <w:r w:rsidRPr="001944CA">
              <w:rPr>
                <w:rFonts w:eastAsia="宋体" w:hint="eastAsia"/>
                <w:bCs/>
                <w:lang w:val="en-US" w:eastAsia="zh-CN"/>
              </w:rPr>
              <w:t xml:space="preserve">. </w:t>
            </w:r>
            <w:r w:rsidRPr="001944CA">
              <w:rPr>
                <w:rFonts w:eastAsia="宋体"/>
                <w:bCs/>
                <w:lang w:val="en-US" w:eastAsia="en-GB"/>
              </w:rPr>
              <w:t>[RAN</w:t>
            </w:r>
            <w:r w:rsidRPr="001944CA">
              <w:rPr>
                <w:rFonts w:eastAsia="宋体" w:hint="eastAsia"/>
                <w:bCs/>
                <w:lang w:val="en-US" w:eastAsia="zh-CN"/>
              </w:rPr>
              <w:t>2, RAN3</w:t>
            </w:r>
            <w:r w:rsidRPr="001944CA">
              <w:rPr>
                <w:rFonts w:eastAsia="宋体"/>
                <w:bCs/>
                <w:lang w:val="en-US" w:eastAsia="en-GB"/>
              </w:rPr>
              <w:t>]</w:t>
            </w:r>
          </w:p>
          <w:p w14:paraId="4EABF2A0" w14:textId="77777777" w:rsidR="001944CA" w:rsidRPr="001944CA" w:rsidRDefault="001944CA" w:rsidP="001944CA">
            <w:pPr>
              <w:numPr>
                <w:ilvl w:val="0"/>
                <w:numId w:val="15"/>
              </w:numPr>
              <w:spacing w:after="0"/>
              <w:rPr>
                <w:rFonts w:eastAsia="宋体"/>
                <w:bCs/>
                <w:lang w:eastAsia="zh-CN"/>
              </w:rPr>
            </w:pPr>
            <w:r w:rsidRPr="001944CA">
              <w:rPr>
                <w:rFonts w:eastAsia="宋体" w:hint="eastAsia"/>
                <w:bCs/>
                <w:lang w:eastAsia="zh-CN"/>
              </w:rPr>
              <w:t xml:space="preserve">Specify </w:t>
            </w:r>
            <w:r w:rsidRPr="001944CA">
              <w:rPr>
                <w:rFonts w:eastAsia="宋体"/>
                <w:bCs/>
                <w:lang w:eastAsia="zh-CN"/>
              </w:rPr>
              <w:t>configuration, activation,</w:t>
            </w:r>
            <w:r w:rsidRPr="001944CA">
              <w:rPr>
                <w:rFonts w:eastAsia="宋体" w:hint="eastAsia"/>
                <w:bCs/>
                <w:lang w:eastAsia="zh-CN"/>
              </w:rPr>
              <w:t xml:space="preserve"> and de</w:t>
            </w:r>
            <w:r w:rsidRPr="001944CA">
              <w:rPr>
                <w:rFonts w:eastAsia="宋体"/>
                <w:bCs/>
                <w:lang w:eastAsia="zh-CN"/>
              </w:rPr>
              <w:t>activation</w:t>
            </w:r>
            <w:r w:rsidRPr="001944CA">
              <w:rPr>
                <w:rFonts w:eastAsia="宋体" w:hint="eastAsia"/>
                <w:bCs/>
                <w:lang w:eastAsia="zh-CN"/>
              </w:rPr>
              <w:t xml:space="preserve"> procedures for both s</w:t>
            </w:r>
            <w:r w:rsidRPr="001944CA">
              <w:rPr>
                <w:rFonts w:eastAsia="宋体"/>
                <w:bCs/>
                <w:lang w:eastAsia="zh-CN"/>
              </w:rPr>
              <w:t>ignalling-based</w:t>
            </w:r>
            <w:r w:rsidRPr="001944CA">
              <w:rPr>
                <w:rFonts w:eastAsia="宋体" w:hint="eastAsia"/>
                <w:bCs/>
                <w:lang w:eastAsia="zh-CN"/>
              </w:rPr>
              <w:t xml:space="preserve"> and management</w:t>
            </w:r>
            <w:r w:rsidRPr="001944CA">
              <w:rPr>
                <w:rFonts w:eastAsia="宋体"/>
                <w:bCs/>
                <w:lang w:eastAsia="zh-CN"/>
              </w:rPr>
              <w:t>-based</w:t>
            </w:r>
            <w:r w:rsidRPr="001944CA">
              <w:rPr>
                <w:rFonts w:eastAsia="宋体" w:hint="eastAsia"/>
                <w:bCs/>
                <w:lang w:eastAsia="zh-CN"/>
              </w:rPr>
              <w:t xml:space="preserve"> QoE measurement</w:t>
            </w:r>
            <w:r w:rsidRPr="001944CA">
              <w:rPr>
                <w:rFonts w:eastAsia="宋体"/>
                <w:bCs/>
                <w:lang w:eastAsia="zh-CN"/>
              </w:rPr>
              <w:t xml:space="preserve"> collection and reporting, </w:t>
            </w:r>
            <w:r w:rsidRPr="001944CA">
              <w:rPr>
                <w:rFonts w:eastAsia="宋体" w:hint="eastAsia"/>
                <w:bCs/>
                <w:lang w:eastAsia="zh-CN"/>
              </w:rPr>
              <w:t xml:space="preserve">taking </w:t>
            </w:r>
            <w:r w:rsidRPr="001944CA">
              <w:rPr>
                <w:rFonts w:eastAsia="宋体" w:hint="eastAsia"/>
                <w:lang w:eastAsia="en-GB"/>
              </w:rPr>
              <w:t>LTE QoE sol</w:t>
            </w:r>
            <w:r w:rsidRPr="001944CA">
              <w:rPr>
                <w:rFonts w:eastAsia="宋体"/>
                <w:lang w:eastAsia="en-GB"/>
              </w:rPr>
              <w:t xml:space="preserve">utions </w:t>
            </w:r>
            <w:r w:rsidRPr="001944CA">
              <w:rPr>
                <w:rFonts w:eastAsia="宋体" w:hint="eastAsia"/>
                <w:lang w:eastAsia="en-GB"/>
              </w:rPr>
              <w:t>as baseline</w:t>
            </w:r>
            <w:r w:rsidRPr="001944CA">
              <w:rPr>
                <w:rFonts w:eastAsia="宋体"/>
                <w:lang w:eastAsia="en-GB"/>
              </w:rPr>
              <w:t>, as defined in TR 38.890</w:t>
            </w:r>
            <w:r w:rsidRPr="001944CA">
              <w:rPr>
                <w:rFonts w:eastAsia="宋体" w:hint="eastAsia"/>
                <w:bCs/>
                <w:lang w:eastAsia="zh-CN"/>
              </w:rPr>
              <w:t>.</w:t>
            </w:r>
          </w:p>
          <w:p w14:paraId="3587CD8D" w14:textId="77777777" w:rsidR="001944CA" w:rsidRPr="001944CA" w:rsidRDefault="001944CA" w:rsidP="001944CA">
            <w:pPr>
              <w:numPr>
                <w:ilvl w:val="0"/>
                <w:numId w:val="15"/>
              </w:numPr>
              <w:spacing w:after="0"/>
              <w:rPr>
                <w:rFonts w:eastAsia="宋体"/>
                <w:bCs/>
                <w:lang w:eastAsia="zh-CN"/>
              </w:rPr>
            </w:pPr>
            <w:r w:rsidRPr="001944CA">
              <w:rPr>
                <w:rFonts w:eastAsia="宋体" w:hint="eastAsia"/>
                <w:bCs/>
                <w:lang w:eastAsia="zh-CN"/>
              </w:rPr>
              <w:t xml:space="preserve">Specify </w:t>
            </w:r>
            <w:r w:rsidRPr="001944CA">
              <w:rPr>
                <w:rFonts w:eastAsia="宋体" w:hint="eastAsia"/>
                <w:lang w:eastAsia="zh-CN"/>
              </w:rPr>
              <w:t>c</w:t>
            </w:r>
            <w:r w:rsidRPr="001944CA">
              <w:rPr>
                <w:rFonts w:eastAsia="宋体"/>
                <w:lang w:eastAsia="zh-CN"/>
              </w:rPr>
              <w:t xml:space="preserve">onfiguration and </w:t>
            </w:r>
            <w:r w:rsidRPr="001944CA">
              <w:rPr>
                <w:rFonts w:eastAsia="宋体" w:hint="eastAsia"/>
                <w:lang w:eastAsia="zh-CN"/>
              </w:rPr>
              <w:t>r</w:t>
            </w:r>
            <w:r w:rsidRPr="001944CA">
              <w:rPr>
                <w:rFonts w:eastAsia="宋体"/>
                <w:lang w:eastAsia="zh-CN"/>
              </w:rPr>
              <w:t>eporting for multiple simultaneous QoE measurements</w:t>
            </w:r>
            <w:r w:rsidRPr="001944CA">
              <w:rPr>
                <w:rFonts w:eastAsia="宋体" w:hint="eastAsia"/>
                <w:lang w:eastAsia="zh-CN"/>
              </w:rPr>
              <w:t xml:space="preserve"> at a UE.</w:t>
            </w:r>
          </w:p>
          <w:p w14:paraId="35E56381" w14:textId="77777777" w:rsidR="001944CA" w:rsidRPr="00EC517F" w:rsidRDefault="001944CA" w:rsidP="001944CA">
            <w:pPr>
              <w:numPr>
                <w:ilvl w:val="0"/>
                <w:numId w:val="15"/>
              </w:numPr>
              <w:spacing w:after="0"/>
              <w:rPr>
                <w:rFonts w:eastAsia="宋体"/>
                <w:bCs/>
                <w:highlight w:val="yellow"/>
                <w:lang w:eastAsia="zh-CN"/>
              </w:rPr>
            </w:pPr>
            <w:r w:rsidRPr="00EC517F">
              <w:rPr>
                <w:rFonts w:eastAsia="宋体" w:hint="eastAsia"/>
                <w:bCs/>
                <w:highlight w:val="yellow"/>
                <w:lang w:eastAsia="zh-CN"/>
              </w:rPr>
              <w:t xml:space="preserve">Specify </w:t>
            </w:r>
            <w:r w:rsidRPr="00EC517F">
              <w:rPr>
                <w:rFonts w:eastAsia="宋体"/>
                <w:bCs/>
                <w:highlight w:val="yellow"/>
                <w:lang w:eastAsia="zh-CN"/>
              </w:rPr>
              <w:t>QoE measurement handling at RAN overload</w:t>
            </w:r>
            <w:r w:rsidRPr="00EC517F">
              <w:rPr>
                <w:rFonts w:eastAsia="宋体" w:hint="eastAsia"/>
                <w:bCs/>
                <w:highlight w:val="yellow"/>
                <w:lang w:eastAsia="zh-CN"/>
              </w:rPr>
              <w:t>, including</w:t>
            </w:r>
            <w:r w:rsidRPr="00EC517F">
              <w:rPr>
                <w:rFonts w:eastAsia="宋体"/>
                <w:highlight w:val="yellow"/>
                <w:lang w:val="en-US" w:eastAsia="zh-CN"/>
              </w:rPr>
              <w:t xml:space="preserve"> pause</w:t>
            </w:r>
            <w:r w:rsidRPr="00EC517F">
              <w:rPr>
                <w:rFonts w:eastAsia="宋体" w:hint="eastAsia"/>
                <w:highlight w:val="yellow"/>
                <w:lang w:val="en-US" w:eastAsia="zh-CN"/>
              </w:rPr>
              <w:t xml:space="preserve"> and resume of</w:t>
            </w:r>
            <w:r w:rsidRPr="00EC517F">
              <w:rPr>
                <w:rFonts w:eastAsia="宋体"/>
                <w:highlight w:val="yellow"/>
                <w:lang w:val="en-US" w:eastAsia="zh-CN"/>
              </w:rPr>
              <w:t xml:space="preserve"> QoE measurement reporting</w:t>
            </w:r>
            <w:r w:rsidRPr="00EC517F">
              <w:rPr>
                <w:rFonts w:eastAsia="宋体" w:hint="eastAsia"/>
                <w:highlight w:val="yellow"/>
                <w:lang w:val="en-US" w:eastAsia="zh-CN"/>
              </w:rPr>
              <w:t>.</w:t>
            </w:r>
          </w:p>
          <w:p w14:paraId="3C271811" w14:textId="77777777" w:rsidR="001944CA" w:rsidRPr="00EC517F" w:rsidRDefault="001944CA" w:rsidP="001944CA">
            <w:pPr>
              <w:numPr>
                <w:ilvl w:val="0"/>
                <w:numId w:val="15"/>
              </w:numPr>
              <w:spacing w:after="0"/>
              <w:rPr>
                <w:rFonts w:eastAsia="宋体"/>
                <w:bCs/>
                <w:highlight w:val="yellow"/>
                <w:lang w:eastAsia="zh-CN"/>
              </w:rPr>
            </w:pPr>
            <w:r w:rsidRPr="00EC517F">
              <w:rPr>
                <w:rFonts w:eastAsia="宋体" w:hint="eastAsia"/>
                <w:bCs/>
                <w:highlight w:val="yellow"/>
                <w:lang w:eastAsia="zh-CN"/>
              </w:rPr>
              <w:t xml:space="preserve">Specify </w:t>
            </w:r>
            <w:r w:rsidRPr="00EC517F">
              <w:rPr>
                <w:rFonts w:eastAsia="宋体"/>
                <w:bCs/>
                <w:highlight w:val="yellow"/>
                <w:lang w:eastAsia="zh-CN"/>
              </w:rPr>
              <w:t>QoE measurement handling in RRC_INACTIVE, i.e.</w:t>
            </w:r>
            <w:r w:rsidRPr="00EC517F" w:rsidDel="00F0645C">
              <w:rPr>
                <w:rFonts w:eastAsia="宋体"/>
                <w:bCs/>
                <w:highlight w:val="yellow"/>
                <w:lang w:eastAsia="zh-CN"/>
              </w:rPr>
              <w:t xml:space="preserve"> </w:t>
            </w:r>
            <w:r w:rsidRPr="00EC517F">
              <w:rPr>
                <w:rFonts w:eastAsia="宋体"/>
                <w:bCs/>
                <w:highlight w:val="yellow"/>
                <w:lang w:eastAsia="zh-CN"/>
              </w:rPr>
              <w:t xml:space="preserve">keeping the QoE measurement configuration without measuring and reusing the same configuration upon </w:t>
            </w:r>
            <w:r w:rsidRPr="00EC517F">
              <w:rPr>
                <w:rFonts w:eastAsia="宋体" w:hint="eastAsia"/>
                <w:bCs/>
                <w:highlight w:val="yellow"/>
                <w:lang w:eastAsia="zh-CN"/>
              </w:rPr>
              <w:t>transition</w:t>
            </w:r>
            <w:r w:rsidRPr="00EC517F">
              <w:rPr>
                <w:rFonts w:eastAsia="宋体"/>
                <w:bCs/>
                <w:highlight w:val="yellow"/>
                <w:lang w:eastAsia="zh-CN"/>
              </w:rPr>
              <w:t xml:space="preserve"> from RRC_INACTIVE to RRC_CONNECTED</w:t>
            </w:r>
            <w:r w:rsidRPr="00EC517F">
              <w:rPr>
                <w:rFonts w:eastAsia="宋体" w:hint="eastAsia"/>
                <w:bCs/>
                <w:highlight w:val="yellow"/>
                <w:lang w:eastAsia="zh-CN"/>
              </w:rPr>
              <w:t>.</w:t>
            </w:r>
          </w:p>
          <w:p w14:paraId="42D3139A" w14:textId="77777777" w:rsidR="001944CA" w:rsidRPr="001944CA" w:rsidRDefault="001944CA" w:rsidP="001944CA">
            <w:pPr>
              <w:spacing w:after="0"/>
              <w:ind w:left="420"/>
              <w:rPr>
                <w:rFonts w:eastAsia="宋体"/>
                <w:bCs/>
                <w:lang w:eastAsia="zh-CN"/>
              </w:rPr>
            </w:pPr>
            <w:r w:rsidRPr="001944CA">
              <w:rPr>
                <w:rFonts w:eastAsia="宋体"/>
                <w:bCs/>
                <w:lang w:eastAsia="zh-CN"/>
              </w:rPr>
              <w:t>NOTE: RRC segmentation may be needed for transmission of QoE reports, and any potential solutions need detailed technical specification of the procedures</w:t>
            </w:r>
            <w:r w:rsidRPr="001944CA">
              <w:rPr>
                <w:rFonts w:eastAsia="宋体" w:hint="eastAsia"/>
                <w:bCs/>
                <w:lang w:val="en-US" w:eastAsia="zh-CN"/>
              </w:rPr>
              <w:t xml:space="preserve"> </w:t>
            </w:r>
            <w:r w:rsidRPr="001944CA">
              <w:rPr>
                <w:rFonts w:eastAsia="宋体"/>
                <w:bCs/>
                <w:lang w:val="en-US" w:eastAsia="zh-CN"/>
              </w:rPr>
              <w:t>(</w:t>
            </w:r>
            <w:r w:rsidRPr="001944CA">
              <w:rPr>
                <w:rFonts w:eastAsia="宋体" w:hint="eastAsia"/>
                <w:bCs/>
                <w:lang w:val="en-US" w:eastAsia="zh-CN"/>
              </w:rPr>
              <w:t>if time allow</w:t>
            </w:r>
            <w:r w:rsidRPr="001944CA">
              <w:rPr>
                <w:rFonts w:eastAsia="宋体"/>
                <w:bCs/>
                <w:lang w:val="en-US" w:eastAsia="zh-CN"/>
              </w:rPr>
              <w:t>s</w:t>
            </w:r>
            <w:r w:rsidRPr="001944CA">
              <w:rPr>
                <w:rFonts w:eastAsia="宋体" w:hint="eastAsia"/>
                <w:bCs/>
                <w:lang w:val="en-US" w:eastAsia="zh-CN"/>
              </w:rPr>
              <w:t xml:space="preserve"> in RAN2</w:t>
            </w:r>
            <w:r w:rsidRPr="001944CA">
              <w:rPr>
                <w:rFonts w:eastAsia="宋体"/>
                <w:bCs/>
                <w:lang w:val="en-US" w:eastAsia="zh-CN"/>
              </w:rPr>
              <w:t>)</w:t>
            </w:r>
            <w:r w:rsidRPr="001944CA">
              <w:rPr>
                <w:rFonts w:eastAsia="宋体"/>
                <w:bCs/>
                <w:lang w:eastAsia="zh-CN"/>
              </w:rPr>
              <w:t>.</w:t>
            </w:r>
          </w:p>
          <w:p w14:paraId="39BC8F02" w14:textId="77777777" w:rsidR="001944CA" w:rsidRPr="001944CA" w:rsidRDefault="001944CA" w:rsidP="002D7A53">
            <w:pPr>
              <w:spacing w:after="0"/>
            </w:pPr>
          </w:p>
        </w:tc>
      </w:tr>
    </w:tbl>
    <w:p w14:paraId="73A6C3E6" w14:textId="483BAEA6" w:rsidR="001C6E8B" w:rsidRDefault="001C6E8B" w:rsidP="002D7A53">
      <w:pPr>
        <w:spacing w:after="0"/>
      </w:pPr>
      <w:r>
        <w:t>During RAN2#113bis-e meeting the following agreements on this topic were made:</w:t>
      </w:r>
    </w:p>
    <w:tbl>
      <w:tblPr>
        <w:tblStyle w:val="TableGrid"/>
        <w:tblW w:w="0" w:type="auto"/>
        <w:tblLook w:val="04A0" w:firstRow="1" w:lastRow="0" w:firstColumn="1" w:lastColumn="0" w:noHBand="0" w:noVBand="1"/>
      </w:tblPr>
      <w:tblGrid>
        <w:gridCol w:w="9628"/>
      </w:tblGrid>
      <w:tr w:rsidR="001C6E8B" w14:paraId="7830783C" w14:textId="77777777" w:rsidTr="001C6E8B">
        <w:tc>
          <w:tcPr>
            <w:tcW w:w="9628" w:type="dxa"/>
          </w:tcPr>
          <w:p w14:paraId="7113EB2C" w14:textId="77777777" w:rsidR="00030923" w:rsidRPr="00030923" w:rsidRDefault="00030923" w:rsidP="00030923">
            <w:pPr>
              <w:numPr>
                <w:ilvl w:val="0"/>
                <w:numId w:val="23"/>
              </w:numPr>
              <w:overflowPunct/>
              <w:autoSpaceDE/>
              <w:autoSpaceDN/>
              <w:adjustRightInd/>
              <w:spacing w:before="60" w:after="0"/>
              <w:textAlignment w:val="center"/>
              <w:rPr>
                <w:rFonts w:ascii="Calibri" w:hAnsi="Calibri" w:cs="Calibri"/>
                <w:color w:val="000000"/>
                <w:sz w:val="22"/>
                <w:szCs w:val="22"/>
                <w:lang w:eastAsia="zh-CN"/>
              </w:rPr>
            </w:pPr>
            <w:r w:rsidRPr="00030923">
              <w:rPr>
                <w:rFonts w:ascii="Arial" w:hAnsi="Arial" w:cs="Arial"/>
                <w:b/>
                <w:bCs/>
                <w:color w:val="000000"/>
                <w:lang w:eastAsia="zh-CN"/>
              </w:rPr>
              <w:t>The UE Inactive AS context includes the UE AS configuration for the QoE (it is not released when UE goes to Inactive).</w:t>
            </w:r>
          </w:p>
          <w:p w14:paraId="6A693FB3" w14:textId="77777777" w:rsidR="00030923" w:rsidRPr="00030923" w:rsidRDefault="00030923" w:rsidP="00030923">
            <w:pPr>
              <w:overflowPunct/>
              <w:autoSpaceDE/>
              <w:autoSpaceDN/>
              <w:adjustRightInd/>
              <w:spacing w:before="60" w:after="0"/>
              <w:ind w:left="720"/>
              <w:textAlignment w:val="center"/>
              <w:rPr>
                <w:rFonts w:ascii="Calibri" w:hAnsi="Calibri" w:cs="Calibri"/>
                <w:color w:val="000000"/>
                <w:sz w:val="22"/>
                <w:szCs w:val="22"/>
                <w:lang w:eastAsia="zh-CN"/>
              </w:rPr>
            </w:pPr>
          </w:p>
          <w:p w14:paraId="20029286" w14:textId="6E88A4B3" w:rsidR="005F7E22" w:rsidRPr="005F7E22" w:rsidRDefault="005F7E22" w:rsidP="00030923">
            <w:pPr>
              <w:numPr>
                <w:ilvl w:val="0"/>
                <w:numId w:val="23"/>
              </w:numPr>
              <w:overflowPunct/>
              <w:autoSpaceDE/>
              <w:autoSpaceDN/>
              <w:adjustRightInd/>
              <w:spacing w:before="60" w:after="0"/>
              <w:textAlignment w:val="center"/>
              <w:rPr>
                <w:rFonts w:ascii="Calibri" w:hAnsi="Calibri" w:cs="Calibri"/>
                <w:color w:val="000000"/>
                <w:sz w:val="22"/>
                <w:szCs w:val="22"/>
                <w:lang w:eastAsia="zh-CN"/>
              </w:rPr>
            </w:pPr>
            <w:r>
              <w:rPr>
                <w:rFonts w:ascii="Arial" w:hAnsi="Arial" w:cs="Arial"/>
                <w:b/>
                <w:bCs/>
                <w:color w:val="000000"/>
                <w:lang w:eastAsia="zh-CN"/>
              </w:rPr>
              <w:t>From</w:t>
            </w:r>
            <w:r>
              <w:rPr>
                <w:rFonts w:ascii="Arial" w:hAnsi="Arial" w:cs="Arial"/>
                <w:b/>
                <w:bCs/>
                <w:color w:val="000000"/>
              </w:rPr>
              <w:t xml:space="preserve">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w:t>
            </w:r>
          </w:p>
          <w:p w14:paraId="1DBBDD19" w14:textId="77777777" w:rsidR="005F7E22" w:rsidRPr="005F7E22" w:rsidRDefault="005F7E22" w:rsidP="005F7E22">
            <w:pPr>
              <w:overflowPunct/>
              <w:autoSpaceDE/>
              <w:autoSpaceDN/>
              <w:adjustRightInd/>
              <w:spacing w:before="60" w:after="0"/>
              <w:ind w:left="540"/>
              <w:textAlignment w:val="center"/>
              <w:rPr>
                <w:rFonts w:ascii="Calibri" w:hAnsi="Calibri" w:cs="Calibri"/>
                <w:color w:val="000000"/>
                <w:sz w:val="22"/>
                <w:szCs w:val="22"/>
                <w:lang w:eastAsia="zh-CN"/>
              </w:rPr>
            </w:pPr>
          </w:p>
          <w:p w14:paraId="2AFB1EFF" w14:textId="77777777" w:rsidR="001C6E8B" w:rsidRPr="001C6E8B" w:rsidRDefault="001C6E8B" w:rsidP="00030923">
            <w:pPr>
              <w:numPr>
                <w:ilvl w:val="0"/>
                <w:numId w:val="23"/>
              </w:numPr>
              <w:overflowPunct/>
              <w:autoSpaceDE/>
              <w:autoSpaceDN/>
              <w:adjustRightInd/>
              <w:spacing w:before="60" w:after="0"/>
              <w:textAlignment w:val="center"/>
              <w:rPr>
                <w:rFonts w:ascii="Calibri" w:hAnsi="Calibri" w:cs="Calibri"/>
                <w:color w:val="000000"/>
                <w:sz w:val="22"/>
                <w:szCs w:val="22"/>
                <w:lang w:eastAsia="zh-CN"/>
              </w:rPr>
            </w:pPr>
            <w:r w:rsidRPr="001C6E8B">
              <w:rPr>
                <w:rFonts w:ascii="Arial" w:hAnsi="Arial" w:cs="Arial"/>
                <w:b/>
                <w:bCs/>
                <w:color w:val="000000"/>
                <w:lang w:eastAsia="zh-CN"/>
              </w:rPr>
              <w:t>“QoE pause” indication from the network is used to temporarily stop QoE reports from being sent from the UE to the network. Application layer behaviour upon UE receiving “pause/resume” indications is out of RAN2 scope.</w:t>
            </w:r>
          </w:p>
          <w:p w14:paraId="7EE0F1D4" w14:textId="77777777" w:rsidR="001C6E8B" w:rsidRPr="001C6E8B" w:rsidRDefault="001C6E8B" w:rsidP="00030923">
            <w:pPr>
              <w:numPr>
                <w:ilvl w:val="0"/>
                <w:numId w:val="23"/>
              </w:numPr>
              <w:overflowPunct/>
              <w:autoSpaceDE/>
              <w:autoSpaceDN/>
              <w:adjustRightInd/>
              <w:spacing w:before="60" w:after="0"/>
              <w:textAlignment w:val="center"/>
              <w:rPr>
                <w:rFonts w:ascii="Calibri" w:hAnsi="Calibri" w:cs="Calibri"/>
                <w:color w:val="000000"/>
                <w:sz w:val="22"/>
                <w:szCs w:val="22"/>
                <w:lang w:eastAsia="zh-CN"/>
              </w:rPr>
            </w:pPr>
            <w:r w:rsidRPr="001C6E8B">
              <w:rPr>
                <w:rFonts w:ascii="Arial" w:hAnsi="Arial" w:cs="Arial"/>
                <w:b/>
                <w:bCs/>
                <w:color w:val="000000"/>
                <w:lang w:eastAsia="zh-CN"/>
              </w:rPr>
              <w:t>The following are options considered by RAN2 for QoE report handling during RAN overload via “QoE report pause indication”:</w:t>
            </w:r>
          </w:p>
          <w:p w14:paraId="16AA4003" w14:textId="77777777" w:rsidR="001C6E8B" w:rsidRPr="001C6E8B" w:rsidRDefault="001C6E8B" w:rsidP="001C6E8B">
            <w:pPr>
              <w:overflowPunct/>
              <w:autoSpaceDE/>
              <w:autoSpaceDN/>
              <w:adjustRightInd/>
              <w:spacing w:before="60" w:after="0"/>
              <w:ind w:left="1134"/>
              <w:textAlignment w:val="auto"/>
              <w:rPr>
                <w:rFonts w:ascii="Arial" w:hAnsi="Arial" w:cs="Arial"/>
                <w:color w:val="000000"/>
                <w:lang w:eastAsia="zh-CN"/>
              </w:rPr>
            </w:pPr>
            <w:r w:rsidRPr="001C6E8B">
              <w:rPr>
                <w:rFonts w:ascii="Arial" w:hAnsi="Arial" w:cs="Arial"/>
                <w:b/>
                <w:bCs/>
                <w:color w:val="000000"/>
                <w:lang w:eastAsia="zh-CN"/>
              </w:rPr>
              <w:t>Option 1: Application layer is responsible for storing QoE reports when the UE receives QoE pause indication.</w:t>
            </w:r>
          </w:p>
          <w:p w14:paraId="1C667F72" w14:textId="77777777" w:rsidR="001C6E8B" w:rsidRPr="001C6E8B" w:rsidRDefault="001C6E8B" w:rsidP="001C6E8B">
            <w:pPr>
              <w:overflowPunct/>
              <w:autoSpaceDE/>
              <w:autoSpaceDN/>
              <w:adjustRightInd/>
              <w:spacing w:before="60" w:after="0"/>
              <w:ind w:left="1134"/>
              <w:textAlignment w:val="auto"/>
              <w:rPr>
                <w:rFonts w:ascii="Arial" w:hAnsi="Arial" w:cs="Arial"/>
                <w:color w:val="000000"/>
                <w:lang w:eastAsia="zh-CN"/>
              </w:rPr>
            </w:pPr>
            <w:r w:rsidRPr="001C6E8B">
              <w:rPr>
                <w:rFonts w:ascii="Arial" w:hAnsi="Arial" w:cs="Arial"/>
                <w:b/>
                <w:bCs/>
                <w:color w:val="000000"/>
                <w:lang w:eastAsia="zh-CN"/>
              </w:rPr>
              <w:t>Option 2: AS layer is responsible for storing QoE reports when the UE receives QoE pause indication.</w:t>
            </w:r>
          </w:p>
          <w:p w14:paraId="3DA762F0" w14:textId="598B749E" w:rsidR="00030923" w:rsidRPr="001C6E8B" w:rsidRDefault="001C6E8B" w:rsidP="00030923">
            <w:pPr>
              <w:overflowPunct/>
              <w:autoSpaceDE/>
              <w:autoSpaceDN/>
              <w:adjustRightInd/>
              <w:spacing w:before="60" w:after="0"/>
              <w:ind w:left="1134"/>
              <w:textAlignment w:val="auto"/>
              <w:rPr>
                <w:rFonts w:ascii="Arial" w:hAnsi="Arial" w:cs="Arial"/>
                <w:b/>
                <w:bCs/>
                <w:color w:val="000000"/>
                <w:lang w:eastAsia="zh-CN"/>
              </w:rPr>
            </w:pPr>
            <w:r w:rsidRPr="001C6E8B">
              <w:rPr>
                <w:rFonts w:ascii="Arial" w:hAnsi="Arial" w:cs="Arial"/>
                <w:b/>
                <w:bCs/>
                <w:color w:val="000000"/>
                <w:lang w:eastAsia="zh-CN"/>
              </w:rPr>
              <w:t>Option 3: The QoE container received from application layer is discarded during pause.</w:t>
            </w:r>
          </w:p>
          <w:p w14:paraId="5C34FF3C" w14:textId="77777777" w:rsidR="001C6E8B" w:rsidRDefault="001C6E8B" w:rsidP="002D7A53">
            <w:pPr>
              <w:spacing w:after="0"/>
            </w:pPr>
          </w:p>
        </w:tc>
      </w:tr>
    </w:tbl>
    <w:p w14:paraId="70069980" w14:textId="77777777" w:rsidR="001C6E8B" w:rsidRDefault="001C6E8B" w:rsidP="002D7A53">
      <w:pPr>
        <w:spacing w:after="0"/>
      </w:pPr>
    </w:p>
    <w:p w14:paraId="1A179C44" w14:textId="19214EAA" w:rsidR="001944CA" w:rsidRDefault="001944CA" w:rsidP="002D7A53">
      <w:pPr>
        <w:spacing w:after="0"/>
      </w:pPr>
      <w:r>
        <w:t xml:space="preserve">In this contribution, we discuss </w:t>
      </w:r>
      <w:r w:rsidR="001C6E8B">
        <w:t xml:space="preserve">advantages and disadvantages of the options RAN2 decided to consider for </w:t>
      </w:r>
      <w:r w:rsidR="00C037B5">
        <w:t xml:space="preserve">QoE </w:t>
      </w:r>
      <w:r w:rsidR="001C6E8B">
        <w:t xml:space="preserve">report </w:t>
      </w:r>
      <w:r>
        <w:t>pause</w:t>
      </w:r>
      <w:r w:rsidR="000E052B">
        <w:t xml:space="preserve"> and </w:t>
      </w:r>
      <w:r>
        <w:t xml:space="preserve">resume </w:t>
      </w:r>
      <w:r w:rsidR="00C037B5">
        <w:t>mechanism</w:t>
      </w:r>
      <w:r w:rsidR="00DC7782">
        <w:t>, as well as</w:t>
      </w:r>
      <w:r w:rsidR="00F023CD">
        <w:t xml:space="preserve"> QoE measurement handling in RRC INACTIVE state</w:t>
      </w:r>
      <w:r>
        <w:t>.</w:t>
      </w:r>
    </w:p>
    <w:p w14:paraId="07EB4B30" w14:textId="77777777" w:rsidR="000D2A04" w:rsidRDefault="000D2A04" w:rsidP="002D7A53">
      <w:pPr>
        <w:spacing w:after="0"/>
      </w:pPr>
    </w:p>
    <w:p w14:paraId="0D599F2C" w14:textId="29124203" w:rsidR="001944CA" w:rsidRDefault="00A31492" w:rsidP="001944CA">
      <w:pPr>
        <w:pStyle w:val="Heading3"/>
        <w:spacing w:after="0"/>
      </w:pPr>
      <w:r w:rsidRPr="00A304A0">
        <w:t>2</w:t>
      </w:r>
      <w:r w:rsidRPr="00A304A0">
        <w:tab/>
      </w:r>
      <w:r w:rsidR="001944CA">
        <w:t>QoE measurement</w:t>
      </w:r>
      <w:r w:rsidR="00932DDF">
        <w:t xml:space="preserve"> during RAN overload</w:t>
      </w:r>
    </w:p>
    <w:p w14:paraId="787E733C" w14:textId="0D632B92" w:rsidR="00932DDF" w:rsidRDefault="00932DDF" w:rsidP="00932DDF">
      <w:pPr>
        <w:pStyle w:val="Heading4"/>
      </w:pPr>
      <w:r w:rsidRPr="00A304A0">
        <w:t>2</w:t>
      </w:r>
      <w:r w:rsidR="001C0241">
        <w:t>.1</w:t>
      </w:r>
      <w:r w:rsidRPr="00A304A0">
        <w:tab/>
      </w:r>
      <w:r>
        <w:t>Release of QoE reporting</w:t>
      </w:r>
    </w:p>
    <w:p w14:paraId="03D6A3D5" w14:textId="6FB79385" w:rsidR="00932DDF" w:rsidRDefault="005F7E22" w:rsidP="00932DDF">
      <w:pPr>
        <w:rPr>
          <w:rFonts w:eastAsia="宋体"/>
          <w:lang w:val="en-US" w:eastAsia="zh-CN"/>
        </w:rPr>
      </w:pPr>
      <w:r>
        <w:rPr>
          <w:rFonts w:eastAsia="宋体"/>
          <w:lang w:eastAsia="zh-CN"/>
        </w:rPr>
        <w:t xml:space="preserve">As mentioned in the introduction section, RAN2 agreed that in some cases RAN may need to release an existing QoE configuration from the UE. </w:t>
      </w:r>
      <w:r>
        <w:rPr>
          <w:rFonts w:eastAsia="宋体"/>
          <w:lang w:val="en-US" w:eastAsia="zh-CN"/>
        </w:rPr>
        <w:t xml:space="preserve">The main motivation is to address situation where </w:t>
      </w:r>
      <w:r w:rsidRPr="00D30EB7">
        <w:rPr>
          <w:rFonts w:eastAsia="宋体"/>
          <w:lang w:val="en-US" w:eastAsia="zh-CN"/>
        </w:rPr>
        <w:t>the load in the network is very high</w:t>
      </w:r>
      <w:r>
        <w:rPr>
          <w:rFonts w:eastAsia="宋体"/>
          <w:lang w:val="en-US" w:eastAsia="zh-CN"/>
        </w:rPr>
        <w:t xml:space="preserve"> or the UE has moved out of the area of QoE measurement. I</w:t>
      </w:r>
      <w:r w:rsidR="00D321EF">
        <w:rPr>
          <w:rFonts w:eastAsia="宋体"/>
          <w:lang w:val="en-US" w:eastAsia="zh-CN"/>
        </w:rPr>
        <w:t>n</w:t>
      </w:r>
      <w:r>
        <w:rPr>
          <w:rFonts w:eastAsia="宋体"/>
          <w:lang w:val="en-US" w:eastAsia="zh-CN"/>
        </w:rPr>
        <w:t xml:space="preserve"> both these cases, it may happen that</w:t>
      </w:r>
      <w:r>
        <w:rPr>
          <w:rFonts w:eastAsia="宋体"/>
          <w:lang w:eastAsia="zh-CN"/>
        </w:rPr>
        <w:t xml:space="preserve"> the UE has some unsent reports for this QoE configuration. </w:t>
      </w:r>
      <w:r w:rsidR="00E74C43">
        <w:rPr>
          <w:rFonts w:eastAsia="宋体"/>
          <w:lang w:val="en-US" w:eastAsia="zh-CN"/>
        </w:rPr>
        <w:t>It is worth clarifying that upon release of a certain Q</w:t>
      </w:r>
      <w:r w:rsidR="00D321EF">
        <w:rPr>
          <w:rFonts w:eastAsia="宋体"/>
          <w:lang w:val="en-US" w:eastAsia="zh-CN"/>
        </w:rPr>
        <w:t>o</w:t>
      </w:r>
      <w:r w:rsidR="00E74C43">
        <w:rPr>
          <w:rFonts w:eastAsia="宋体"/>
          <w:lang w:val="en-US" w:eastAsia="zh-CN"/>
        </w:rPr>
        <w:t>E configuration, all reporting activity related to this configuration should be stopped by the UE and any unsent reports should be therefore discarded by the UE.</w:t>
      </w:r>
    </w:p>
    <w:p w14:paraId="12DFD5B3" w14:textId="1EBD108A" w:rsidR="00932DDF" w:rsidRPr="00B708E4" w:rsidRDefault="005F7E22" w:rsidP="009010AD">
      <w:pPr>
        <w:rPr>
          <w:rFonts w:eastAsia="宋体"/>
          <w:b/>
          <w:lang w:val="en-US" w:eastAsia="zh-CN"/>
        </w:rPr>
      </w:pPr>
      <w:r>
        <w:rPr>
          <w:rFonts w:eastAsia="宋体"/>
          <w:b/>
          <w:lang w:val="en-US" w:eastAsia="zh-CN"/>
        </w:rPr>
        <w:t>Proposal 1</w:t>
      </w:r>
      <w:r w:rsidR="009010AD">
        <w:rPr>
          <w:rFonts w:eastAsia="宋体"/>
          <w:b/>
          <w:lang w:val="en-US" w:eastAsia="zh-CN"/>
        </w:rPr>
        <w:t xml:space="preserve">: </w:t>
      </w:r>
      <w:r w:rsidR="00932DDF">
        <w:rPr>
          <w:rFonts w:eastAsia="宋体"/>
          <w:b/>
          <w:lang w:val="en-US" w:eastAsia="zh-CN"/>
        </w:rPr>
        <w:t xml:space="preserve">When RAN </w:t>
      </w:r>
      <w:r w:rsidR="00F06919">
        <w:rPr>
          <w:rFonts w:eastAsia="宋体"/>
          <w:b/>
          <w:lang w:val="en-US" w:eastAsia="zh-CN"/>
        </w:rPr>
        <w:t>orders the UE to release</w:t>
      </w:r>
      <w:r w:rsidR="00932DDF">
        <w:rPr>
          <w:rFonts w:eastAsia="宋体"/>
          <w:b/>
          <w:lang w:val="en-US" w:eastAsia="zh-CN"/>
        </w:rPr>
        <w:t xml:space="preserve"> a QoE configuration, a UE </w:t>
      </w:r>
      <w:r w:rsidR="001420EC">
        <w:rPr>
          <w:rFonts w:eastAsia="宋体"/>
          <w:b/>
          <w:lang w:val="en-US" w:eastAsia="zh-CN"/>
        </w:rPr>
        <w:t>rel</w:t>
      </w:r>
      <w:r w:rsidR="00E74C43">
        <w:rPr>
          <w:rFonts w:eastAsia="宋体"/>
          <w:b/>
          <w:lang w:val="en-US" w:eastAsia="zh-CN"/>
        </w:rPr>
        <w:t xml:space="preserve">eases the QoE configuration, </w:t>
      </w:r>
      <w:r w:rsidR="00932DDF">
        <w:rPr>
          <w:rFonts w:eastAsia="宋体"/>
          <w:b/>
          <w:lang w:val="en-US" w:eastAsia="zh-CN"/>
        </w:rPr>
        <w:t xml:space="preserve">stops reporting for this QoE configuration </w:t>
      </w:r>
      <w:r w:rsidR="00E74C43">
        <w:rPr>
          <w:rFonts w:eastAsia="宋体"/>
          <w:b/>
          <w:lang w:val="en-US" w:eastAsia="zh-CN"/>
        </w:rPr>
        <w:t>and discards any unsent QoE reports for this QoE configuration.</w:t>
      </w:r>
    </w:p>
    <w:p w14:paraId="4FA1DC14" w14:textId="5D15D89E" w:rsidR="001944CA" w:rsidRDefault="001944CA" w:rsidP="001944CA">
      <w:pPr>
        <w:pStyle w:val="Heading4"/>
      </w:pPr>
      <w:r w:rsidRPr="00360C01">
        <w:t>2.</w:t>
      </w:r>
      <w:r w:rsidR="001C0241">
        <w:t>2</w:t>
      </w:r>
      <w:r w:rsidR="008402AF">
        <w:tab/>
      </w:r>
      <w:r>
        <w:t xml:space="preserve">Pause/Resume </w:t>
      </w:r>
      <w:r w:rsidR="00B46C58">
        <w:t xml:space="preserve">at the RAN </w:t>
      </w:r>
      <w:r w:rsidR="00C91DB3">
        <w:t>overload</w:t>
      </w:r>
    </w:p>
    <w:p w14:paraId="7AABFF70" w14:textId="77777777" w:rsidR="00B713DF" w:rsidRDefault="00B713DF" w:rsidP="00B713DF">
      <w:pPr>
        <w:rPr>
          <w:bCs/>
          <w:szCs w:val="18"/>
        </w:rPr>
      </w:pPr>
      <w:r>
        <w:rPr>
          <w:bCs/>
          <w:szCs w:val="18"/>
        </w:rPr>
        <w:t xml:space="preserve">According to the WID [1], RAN2 needs to discuss the QoE measurement handling at RAN overload, including pause and resume of QoE measurement reporting. In section 6.5 of the TR [2], it is indicated that </w:t>
      </w:r>
      <w:r>
        <w:rPr>
          <w:lang w:val="en-US" w:eastAsia="zh-CN"/>
        </w:rPr>
        <w:t>RAN can stop new QoE measurement configurations, release existing QoE measurement configurations and pause QoE measurement reporting in the case of RAN overload</w:t>
      </w:r>
      <w:r>
        <w:rPr>
          <w:bCs/>
          <w:szCs w:val="18"/>
        </w:rPr>
        <w:t>. Therefore, RAN2 will have to design the pause and resume mechanism to handle RAN overload. In the last meeting, RAN2 has agreed to use the RRC signalling to indicate the UE to pause or resume the QoE report.</w:t>
      </w:r>
    </w:p>
    <w:tbl>
      <w:tblPr>
        <w:tblStyle w:val="TableGrid"/>
        <w:tblW w:w="0" w:type="auto"/>
        <w:tblLook w:val="04A0" w:firstRow="1" w:lastRow="0" w:firstColumn="1" w:lastColumn="0" w:noHBand="0" w:noVBand="1"/>
      </w:tblPr>
      <w:tblGrid>
        <w:gridCol w:w="9628"/>
      </w:tblGrid>
      <w:tr w:rsidR="00B713DF" w14:paraId="04FC1817" w14:textId="77777777" w:rsidTr="008F0C0F">
        <w:tc>
          <w:tcPr>
            <w:tcW w:w="9628" w:type="dxa"/>
          </w:tcPr>
          <w:p w14:paraId="3373617A" w14:textId="77777777" w:rsidR="00B713DF" w:rsidRPr="00BD0709" w:rsidRDefault="00B713DF" w:rsidP="008F0C0F">
            <w:pPr>
              <w:pStyle w:val="Heading2"/>
              <w:ind w:left="0" w:firstLine="0"/>
            </w:pPr>
            <w:r w:rsidRPr="00BD0709">
              <w:t>6.</w:t>
            </w:r>
            <w:r>
              <w:rPr>
                <w:rFonts w:hint="eastAsia"/>
                <w:lang w:eastAsia="zh-CN"/>
              </w:rPr>
              <w:t>5</w:t>
            </w:r>
            <w:r w:rsidRPr="00BD0709">
              <w:t xml:space="preserve"> </w:t>
            </w:r>
            <w:r w:rsidRPr="00BD0709">
              <w:rPr>
                <w:rFonts w:hint="eastAsia"/>
              </w:rPr>
              <w:tab/>
            </w:r>
            <w:r w:rsidRPr="00BD0709">
              <w:t>QoE measurement handling at RAN overload</w:t>
            </w:r>
          </w:p>
          <w:p w14:paraId="6C6F4D79" w14:textId="77777777" w:rsidR="00B713DF" w:rsidRDefault="00B713DF" w:rsidP="008F0C0F">
            <w:pPr>
              <w:rPr>
                <w:bCs/>
                <w:szCs w:val="18"/>
              </w:rPr>
            </w:pPr>
            <w:r>
              <w:rPr>
                <w:lang w:val="en-US" w:eastAsia="zh-CN"/>
              </w:rPr>
              <w:t>In case of RAN overload in standalone connectivity, RAN can stop new QoE measurement configurations, release existing QoE measurement configurations and pause QoE measurement reporting.</w:t>
            </w:r>
            <w:r>
              <w:rPr>
                <w:rFonts w:hint="eastAsia"/>
                <w:lang w:val="en-US" w:eastAsia="zh-CN"/>
              </w:rPr>
              <w:t xml:space="preserve"> </w:t>
            </w:r>
            <w:r w:rsidRPr="005C512C">
              <w:rPr>
                <w:highlight w:val="yellow"/>
                <w:lang w:val="en-US" w:eastAsia="zh-CN"/>
              </w:rPr>
              <w:t>RRC signaling is used by the gNB to indicate the UE to pause or resume the QoE reporting.</w:t>
            </w:r>
            <w:r w:rsidRPr="00D157FB">
              <w:rPr>
                <w:lang w:val="en-US" w:eastAsia="zh-CN"/>
              </w:rPr>
              <w:t xml:space="preserve"> Potential solutions of pause/resume mechanism need detailed technical specification of the procedures, e.g. pause/resume for all QoE reports or pause/resume per QoE configuration, how long can the UE store the reports, limit for stored reports size etc.</w:t>
            </w:r>
          </w:p>
        </w:tc>
      </w:tr>
    </w:tbl>
    <w:p w14:paraId="5634EB04" w14:textId="77777777" w:rsidR="00B713DF" w:rsidRDefault="00B713DF" w:rsidP="00B713DF">
      <w:pPr>
        <w:rPr>
          <w:bCs/>
          <w:szCs w:val="18"/>
        </w:rPr>
      </w:pPr>
      <w:r>
        <w:rPr>
          <w:bCs/>
          <w:szCs w:val="18"/>
        </w:rPr>
        <w:t xml:space="preserve">In case the UE is configured with multiple QoE configurations, it would be beneficial to allow the network to pause reporting for only some of the configurations (similarly as it is possible to release only some of the configurations). </w:t>
      </w:r>
    </w:p>
    <w:p w14:paraId="4728EF4A" w14:textId="41E7A7A7" w:rsidR="00B713DF" w:rsidRPr="00481EF8" w:rsidRDefault="00D960C5" w:rsidP="00B713DF">
      <w:pPr>
        <w:spacing w:after="100" w:afterAutospacing="1"/>
        <w:rPr>
          <w:rFonts w:eastAsia="宋体"/>
          <w:b/>
          <w:lang w:val="en-US" w:eastAsia="zh-CN"/>
        </w:rPr>
      </w:pPr>
      <w:r>
        <w:rPr>
          <w:b/>
        </w:rPr>
        <w:t>Proposal 2</w:t>
      </w:r>
      <w:r w:rsidR="00B713DF">
        <w:rPr>
          <w:b/>
        </w:rPr>
        <w:t>: In order to temporarily pause QoE reporting from a UE, e.g. during RAN overload, RAN can send</w:t>
      </w:r>
      <w:r w:rsidR="00B713DF">
        <w:t xml:space="preserve"> </w:t>
      </w:r>
      <w:r w:rsidR="00B713DF" w:rsidRPr="008041D4">
        <w:rPr>
          <w:b/>
        </w:rPr>
        <w:t xml:space="preserve">the QoE reporting pause command </w:t>
      </w:r>
      <w:r w:rsidR="00B713DF">
        <w:rPr>
          <w:b/>
        </w:rPr>
        <w:t xml:space="preserve">to the UE </w:t>
      </w:r>
      <w:r w:rsidR="00B713DF" w:rsidRPr="008041D4">
        <w:rPr>
          <w:b/>
        </w:rPr>
        <w:t>in the DL RRC message</w:t>
      </w:r>
      <w:r w:rsidR="00B713DF">
        <w:rPr>
          <w:b/>
        </w:rPr>
        <w:t>, which indicates QoE configurations (one or more) for which the reporting should be paused.</w:t>
      </w:r>
    </w:p>
    <w:p w14:paraId="7CD649C2" w14:textId="2526DD62" w:rsidR="00B02708" w:rsidRDefault="00B02708" w:rsidP="001944CA">
      <w:pPr>
        <w:rPr>
          <w:bCs/>
          <w:szCs w:val="18"/>
        </w:rPr>
      </w:pPr>
      <w:r>
        <w:rPr>
          <w:bCs/>
          <w:szCs w:val="18"/>
        </w:rPr>
        <w:t>With respect to pause/resume mechanism, RAN2 shortlisted three options</w:t>
      </w:r>
      <w:r w:rsidR="00B713DF">
        <w:rPr>
          <w:bCs/>
          <w:szCs w:val="18"/>
        </w:rPr>
        <w:t xml:space="preserve"> during RAN2#113bis-e meeting</w:t>
      </w:r>
      <w:r>
        <w:rPr>
          <w:bCs/>
          <w:szCs w:val="18"/>
        </w:rPr>
        <w:t>, which are mainly differentiated by the layer which is responsible to store the QoE reports generated during the time where the UE is not able to send them to the network due to “pause” indication having being received by the UE”</w:t>
      </w:r>
    </w:p>
    <w:p w14:paraId="54E2EB6B" w14:textId="6B1D7D1E" w:rsidR="00B02708" w:rsidRDefault="00B02708" w:rsidP="00B02708">
      <w:pPr>
        <w:pStyle w:val="ListParagraph"/>
        <w:numPr>
          <w:ilvl w:val="0"/>
          <w:numId w:val="24"/>
        </w:numPr>
        <w:ind w:firstLineChars="0"/>
        <w:rPr>
          <w:bCs/>
          <w:szCs w:val="18"/>
        </w:rPr>
      </w:pPr>
      <w:r>
        <w:rPr>
          <w:bCs/>
          <w:szCs w:val="18"/>
        </w:rPr>
        <w:t>In option 1, it is the application layer responsibility to store the QoE reports</w:t>
      </w:r>
    </w:p>
    <w:p w14:paraId="5740C6F5" w14:textId="3E6DD222" w:rsidR="00B02708" w:rsidRDefault="00B02708" w:rsidP="00B02708">
      <w:pPr>
        <w:pStyle w:val="ListParagraph"/>
        <w:numPr>
          <w:ilvl w:val="0"/>
          <w:numId w:val="24"/>
        </w:numPr>
        <w:ind w:firstLineChars="0"/>
        <w:rPr>
          <w:bCs/>
          <w:szCs w:val="18"/>
        </w:rPr>
      </w:pPr>
      <w:r>
        <w:rPr>
          <w:bCs/>
          <w:szCs w:val="18"/>
        </w:rPr>
        <w:t>In option 2, QoE reports are stored at the AS layer</w:t>
      </w:r>
    </w:p>
    <w:p w14:paraId="3A71E513" w14:textId="5E03E46A" w:rsidR="00B02708" w:rsidRDefault="00B02708" w:rsidP="00B02708">
      <w:pPr>
        <w:pStyle w:val="ListParagraph"/>
        <w:numPr>
          <w:ilvl w:val="0"/>
          <w:numId w:val="24"/>
        </w:numPr>
        <w:ind w:firstLineChars="0"/>
        <w:rPr>
          <w:bCs/>
          <w:szCs w:val="18"/>
        </w:rPr>
      </w:pPr>
      <w:r>
        <w:rPr>
          <w:bCs/>
          <w:szCs w:val="18"/>
        </w:rPr>
        <w:t>In option 3, QoE reports are not stored at any layer during QoE pause period and are discarded by the UE</w:t>
      </w:r>
    </w:p>
    <w:p w14:paraId="5611F0DE" w14:textId="15E1F861" w:rsidR="003717C0" w:rsidRDefault="003717C0" w:rsidP="001944CA">
      <w:pPr>
        <w:rPr>
          <w:bCs/>
          <w:szCs w:val="18"/>
        </w:rPr>
      </w:pPr>
      <w:r>
        <w:rPr>
          <w:bCs/>
          <w:szCs w:val="18"/>
        </w:rPr>
        <w:t>With respect to this topic, there was also some work already performed by SA5 and SA4 provided their input on this topic in the LS in Rel-16:</w:t>
      </w:r>
    </w:p>
    <w:p w14:paraId="6DD281A8" w14:textId="77777777" w:rsidR="003717C0" w:rsidRDefault="003717C0" w:rsidP="001E5E8C">
      <w:pPr>
        <w:pStyle w:val="ListParagraph"/>
        <w:numPr>
          <w:ilvl w:val="0"/>
          <w:numId w:val="23"/>
        </w:numPr>
        <w:ind w:firstLineChars="0"/>
        <w:rPr>
          <w:bCs/>
          <w:szCs w:val="18"/>
          <w:lang w:val="en-US"/>
        </w:rPr>
      </w:pPr>
      <w:r w:rsidRPr="003717C0">
        <w:rPr>
          <w:rFonts w:hint="eastAsia"/>
          <w:bCs/>
          <w:szCs w:val="18"/>
          <w:lang w:val="en-US"/>
        </w:rPr>
        <w:t>SA5 captures a solution to handle QoE pause/resume in TS 28.405, section 4.2.3</w:t>
      </w:r>
      <w:r w:rsidRPr="003717C0">
        <w:rPr>
          <w:bCs/>
          <w:szCs w:val="18"/>
          <w:lang w:val="en-US"/>
        </w:rPr>
        <w:t>: „</w:t>
      </w:r>
      <w:r w:rsidRPr="003717C0">
        <w:rPr>
          <w:bCs/>
          <w:szCs w:val="18"/>
        </w:rPr>
        <w:t>The Access stratum sends +CAPPLEVMC AT command [5] to the application with the temporary stop request. The application stops the reporting and stops recording further information when the data in the reporting container is used.</w:t>
      </w:r>
      <w:r w:rsidRPr="003717C0">
        <w:rPr>
          <w:bCs/>
          <w:szCs w:val="18"/>
          <w:lang w:val="en-US"/>
        </w:rPr>
        <w:t>”</w:t>
      </w:r>
    </w:p>
    <w:p w14:paraId="2AD78263" w14:textId="5D616F25" w:rsidR="003717C0" w:rsidRDefault="003717C0" w:rsidP="003717C0">
      <w:pPr>
        <w:pStyle w:val="ListParagraph"/>
        <w:ind w:left="720" w:firstLineChars="0" w:firstLine="0"/>
        <w:rPr>
          <w:bCs/>
          <w:szCs w:val="18"/>
          <w:lang w:val="en-US"/>
        </w:rPr>
      </w:pPr>
      <w:r w:rsidRPr="003717C0">
        <w:rPr>
          <w:rFonts w:hint="eastAsia"/>
          <w:bCs/>
          <w:szCs w:val="18"/>
          <w:lang w:val="en-US"/>
        </w:rPr>
        <w:t xml:space="preserve">SA5 approach is transparent to AS layer, i.e. </w:t>
      </w:r>
      <w:r w:rsidRPr="003717C0">
        <w:rPr>
          <w:bCs/>
          <w:szCs w:val="18"/>
          <w:lang w:val="en-US"/>
        </w:rPr>
        <w:t>application</w:t>
      </w:r>
      <w:r w:rsidRPr="003717C0">
        <w:rPr>
          <w:rFonts w:hint="eastAsia"/>
          <w:bCs/>
          <w:szCs w:val="18"/>
          <w:lang w:val="en-US"/>
        </w:rPr>
        <w:t xml:space="preserve"> layer is informed about the pause command received from the network and suspends QoE reporting until </w:t>
      </w:r>
      <w:r>
        <w:rPr>
          <w:rFonts w:hint="eastAsia"/>
          <w:bCs/>
          <w:szCs w:val="18"/>
          <w:lang w:val="en-US"/>
        </w:rPr>
        <w:t xml:space="preserve">resume indication is received, i.e. </w:t>
      </w:r>
      <w:r w:rsidRPr="00A1337B">
        <w:rPr>
          <w:bCs/>
          <w:szCs w:val="18"/>
          <w:lang w:val="en-US"/>
        </w:rPr>
        <w:t>it is in line with option 1 shortlisted by RAN2.</w:t>
      </w:r>
    </w:p>
    <w:p w14:paraId="52DF4674" w14:textId="1FF28FD9" w:rsidR="003717C0" w:rsidRPr="00AE698F" w:rsidRDefault="003717C0" w:rsidP="003717C0">
      <w:pPr>
        <w:pStyle w:val="ListParagraph"/>
        <w:numPr>
          <w:ilvl w:val="0"/>
          <w:numId w:val="23"/>
        </w:numPr>
        <w:ind w:firstLineChars="0"/>
        <w:rPr>
          <w:bCs/>
          <w:szCs w:val="18"/>
          <w:lang w:val="en-US"/>
        </w:rPr>
      </w:pPr>
      <w:r w:rsidRPr="00AE698F">
        <w:rPr>
          <w:rFonts w:hint="eastAsia"/>
          <w:bCs/>
          <w:szCs w:val="18"/>
          <w:lang w:val="en-US"/>
        </w:rPr>
        <w:t>SA4 in their LS in R2-2100076 indicated that:</w:t>
      </w:r>
    </w:p>
    <w:p w14:paraId="5A9EB55E" w14:textId="49E31E14" w:rsidR="003717C0" w:rsidRPr="003717C0" w:rsidRDefault="00C70E3F" w:rsidP="003717C0">
      <w:pPr>
        <w:pStyle w:val="ListParagraph"/>
        <w:numPr>
          <w:ilvl w:val="1"/>
          <w:numId w:val="23"/>
        </w:numPr>
        <w:ind w:firstLineChars="0"/>
        <w:rPr>
          <w:bCs/>
          <w:szCs w:val="18"/>
          <w:lang w:val="en-US"/>
        </w:rPr>
      </w:pPr>
      <w:r>
        <w:rPr>
          <w:bCs/>
          <w:szCs w:val="18"/>
          <w:lang w:val="en-US"/>
        </w:rPr>
        <w:t>“</w:t>
      </w:r>
      <w:r w:rsidR="003717C0" w:rsidRPr="003717C0">
        <w:rPr>
          <w:bCs/>
          <w:szCs w:val="18"/>
        </w:rPr>
        <w:t>Regarding temporary stop and restart, SA4 agrees that this seems to be a useful functionality to handle temporary RAN overload. However, as we also stated in the above reply, SA4 believes that there should be no need for involving the application in this scenario.</w:t>
      </w:r>
      <w:r w:rsidR="003717C0" w:rsidRPr="003717C0">
        <w:rPr>
          <w:bCs/>
          <w:szCs w:val="18"/>
          <w:lang w:val="en-US"/>
        </w:rPr>
        <w:t>”</w:t>
      </w:r>
    </w:p>
    <w:p w14:paraId="3B2A35DF" w14:textId="460D4117" w:rsidR="003717C0" w:rsidRDefault="00C70E3F" w:rsidP="003717C0">
      <w:pPr>
        <w:pStyle w:val="ListParagraph"/>
        <w:numPr>
          <w:ilvl w:val="1"/>
          <w:numId w:val="23"/>
        </w:numPr>
        <w:ind w:firstLineChars="0"/>
        <w:rPr>
          <w:bCs/>
          <w:szCs w:val="18"/>
          <w:lang w:val="en-US"/>
        </w:rPr>
      </w:pPr>
      <w:r>
        <w:rPr>
          <w:bCs/>
          <w:szCs w:val="18"/>
          <w:lang w:val="en-US"/>
        </w:rPr>
        <w:t>“</w:t>
      </w:r>
      <w:r w:rsidR="003717C0" w:rsidRPr="003717C0">
        <w:rPr>
          <w:bCs/>
          <w:szCs w:val="18"/>
        </w:rPr>
        <w:t>The temporary stop and restart is a generic service-agnostic functionality which can be handled directly at RAN level in the UE, whenever any temporary RAN overload is seen. SA4 thus decided to not implement this functionality at the application level.</w:t>
      </w:r>
      <w:r w:rsidR="003717C0" w:rsidRPr="003717C0">
        <w:rPr>
          <w:bCs/>
          <w:szCs w:val="18"/>
          <w:lang w:val="en-US"/>
        </w:rPr>
        <w:t>”</w:t>
      </w:r>
    </w:p>
    <w:p w14:paraId="7818011B" w14:textId="07C01436" w:rsidR="003717C0" w:rsidRPr="003717C0" w:rsidRDefault="003717C0" w:rsidP="003717C0">
      <w:pPr>
        <w:pStyle w:val="ListParagraph"/>
        <w:ind w:left="1440" w:firstLineChars="0" w:firstLine="0"/>
        <w:rPr>
          <w:bCs/>
          <w:szCs w:val="18"/>
          <w:lang w:val="en-US"/>
        </w:rPr>
      </w:pPr>
      <w:r w:rsidRPr="00A1337B">
        <w:rPr>
          <w:bCs/>
          <w:szCs w:val="18"/>
          <w:lang w:val="en-US"/>
        </w:rPr>
        <w:t>SA4 approach is then in line with option 2 shortlisted by RAN2.</w:t>
      </w:r>
    </w:p>
    <w:p w14:paraId="3F34B566" w14:textId="775E6AA7" w:rsidR="00A1337B" w:rsidRPr="00A1337B" w:rsidRDefault="003E5CB7" w:rsidP="001944CA">
      <w:pPr>
        <w:rPr>
          <w:b/>
          <w:bCs/>
          <w:szCs w:val="18"/>
          <w:lang w:val="en-US"/>
        </w:rPr>
      </w:pPr>
      <w:r>
        <w:rPr>
          <w:b/>
          <w:bCs/>
          <w:szCs w:val="18"/>
          <w:lang w:val="en-US"/>
        </w:rPr>
        <w:t>Observation 1</w:t>
      </w:r>
      <w:r w:rsidR="00A1337B" w:rsidRPr="00A1337B">
        <w:rPr>
          <w:b/>
          <w:bCs/>
          <w:szCs w:val="18"/>
          <w:lang w:val="en-US"/>
        </w:rPr>
        <w:t>: SA5 approach is in line with option 1, and SA4 approach is in line with option 2.</w:t>
      </w:r>
    </w:p>
    <w:p w14:paraId="70CF847A" w14:textId="77777777" w:rsidR="00A1337B" w:rsidRDefault="00A1337B" w:rsidP="001944CA">
      <w:pPr>
        <w:rPr>
          <w:bCs/>
          <w:szCs w:val="18"/>
          <w:lang w:val="en-US"/>
        </w:rPr>
      </w:pPr>
    </w:p>
    <w:p w14:paraId="42EA6A35" w14:textId="5F745603" w:rsidR="003717C0" w:rsidRDefault="003717C0" w:rsidP="001944CA">
      <w:pPr>
        <w:rPr>
          <w:bCs/>
          <w:szCs w:val="18"/>
          <w:lang w:val="en-US"/>
        </w:rPr>
      </w:pPr>
      <w:r>
        <w:rPr>
          <w:bCs/>
          <w:szCs w:val="18"/>
          <w:lang w:val="en-US"/>
        </w:rPr>
        <w:t>From RAN2 perspective, it is important to analyze impacts of different options on AS layer, together with their technical merits and there are two main points that need to be considered before making the decision</w:t>
      </w:r>
      <w:r w:rsidR="00AE698F">
        <w:rPr>
          <w:bCs/>
          <w:szCs w:val="18"/>
          <w:lang w:val="en-US"/>
        </w:rPr>
        <w:t>, i.e. storage capacity and report handling when it is exceeded</w:t>
      </w:r>
      <w:r w:rsidR="008A2D5B">
        <w:rPr>
          <w:bCs/>
          <w:szCs w:val="18"/>
          <w:lang w:val="en-US"/>
        </w:rPr>
        <w:t xml:space="preserve">. In the below, we focus on analyzing options 1 and 2, since option 3 is rather a fallback solution </w:t>
      </w:r>
      <w:r w:rsidR="00DE5EBF">
        <w:rPr>
          <w:bCs/>
          <w:szCs w:val="18"/>
          <w:lang w:val="en-US"/>
        </w:rPr>
        <w:t>as all the QoE reports generated during pause indication would be lost if it is applied.</w:t>
      </w:r>
    </w:p>
    <w:p w14:paraId="474CEC78" w14:textId="77777777" w:rsidR="003717C0" w:rsidRPr="003717C0" w:rsidRDefault="003717C0" w:rsidP="003717C0">
      <w:pPr>
        <w:rPr>
          <w:bCs/>
          <w:szCs w:val="18"/>
          <w:lang w:val="en-US"/>
        </w:rPr>
      </w:pPr>
      <w:r w:rsidRPr="003717C0">
        <w:rPr>
          <w:bCs/>
          <w:szCs w:val="18"/>
          <w:lang w:val="en-US"/>
        </w:rPr>
        <w:t>In general, the following aspects have to be considered for QoE report handling:</w:t>
      </w:r>
    </w:p>
    <w:p w14:paraId="6D188F55" w14:textId="77777777" w:rsidR="003717C0" w:rsidRPr="003717C0" w:rsidRDefault="003717C0" w:rsidP="003717C0">
      <w:pPr>
        <w:pStyle w:val="ListParagraph"/>
        <w:numPr>
          <w:ilvl w:val="0"/>
          <w:numId w:val="29"/>
        </w:numPr>
        <w:spacing w:after="0"/>
        <w:ind w:firstLineChars="0"/>
        <w:rPr>
          <w:bCs/>
          <w:szCs w:val="18"/>
          <w:lang w:val="en-US"/>
        </w:rPr>
      </w:pPr>
      <w:r w:rsidRPr="003717C0">
        <w:rPr>
          <w:b/>
          <w:bCs/>
          <w:szCs w:val="18"/>
          <w:lang w:val="pl-PL"/>
        </w:rPr>
        <w:t>Storage capacity:</w:t>
      </w:r>
    </w:p>
    <w:p w14:paraId="61455FB2" w14:textId="418D33D5" w:rsidR="003717C0" w:rsidRPr="00D80EF7" w:rsidRDefault="003717C0" w:rsidP="00AF27B6">
      <w:pPr>
        <w:pStyle w:val="ListParagraph"/>
        <w:numPr>
          <w:ilvl w:val="1"/>
          <w:numId w:val="29"/>
        </w:numPr>
        <w:spacing w:after="0"/>
        <w:ind w:firstLineChars="0"/>
        <w:rPr>
          <w:bCs/>
          <w:szCs w:val="18"/>
          <w:lang w:val="en-US"/>
        </w:rPr>
      </w:pPr>
      <w:r w:rsidRPr="00D80EF7">
        <w:rPr>
          <w:bCs/>
          <w:szCs w:val="18"/>
          <w:lang w:val="en-US"/>
        </w:rPr>
        <w:t>Memory resources at UE AS</w:t>
      </w:r>
      <w:r w:rsidR="00D80EF7" w:rsidRPr="00D80EF7">
        <w:rPr>
          <w:bCs/>
          <w:szCs w:val="18"/>
          <w:lang w:val="en-US"/>
        </w:rPr>
        <w:t xml:space="preserve"> layer are </w:t>
      </w:r>
      <w:r w:rsidRPr="00D80EF7">
        <w:rPr>
          <w:bCs/>
          <w:szCs w:val="18"/>
          <w:lang w:val="en-US"/>
        </w:rPr>
        <w:t xml:space="preserve">very </w:t>
      </w:r>
      <w:r w:rsidR="00D80EF7" w:rsidRPr="00D80EF7">
        <w:rPr>
          <w:bCs/>
          <w:szCs w:val="18"/>
          <w:lang w:val="en-US"/>
        </w:rPr>
        <w:t xml:space="preserve">scarce as UE uses its RAM memory at AS layer. For example, for logged MDT, the maximum size of the MDT measurements that can be stored is </w:t>
      </w:r>
      <w:r w:rsidRPr="00D80EF7">
        <w:rPr>
          <w:bCs/>
          <w:szCs w:val="18"/>
          <w:lang w:val="en-US"/>
        </w:rPr>
        <w:t>64 kBytes</w:t>
      </w:r>
      <w:r w:rsidR="00D80EF7" w:rsidRPr="00D80EF7">
        <w:rPr>
          <w:bCs/>
          <w:szCs w:val="18"/>
          <w:lang w:val="en-US"/>
        </w:rPr>
        <w:t xml:space="preserve"> and it does not seem feasible to allow more capacity in case of QoE reports. This would mean that AS layer would be capable of storing only</w:t>
      </w:r>
      <w:r w:rsidRPr="00D80EF7">
        <w:rPr>
          <w:bCs/>
          <w:szCs w:val="18"/>
          <w:lang w:val="en-US"/>
        </w:rPr>
        <w:t xml:space="preserve"> eight reports of maximum size or </w:t>
      </w:r>
      <w:r w:rsidR="00D80EF7" w:rsidRPr="00D80EF7">
        <w:rPr>
          <w:bCs/>
          <w:szCs w:val="18"/>
          <w:lang w:val="en-US"/>
        </w:rPr>
        <w:t>even less in case the 8kBytes limitation is lifted.</w:t>
      </w:r>
      <w:r w:rsidRPr="00D80EF7">
        <w:rPr>
          <w:bCs/>
          <w:szCs w:val="18"/>
          <w:lang w:val="en-US"/>
        </w:rPr>
        <w:t xml:space="preserve"> This can be especially problematic for periodic reports where the number of reports during pause may be very high. </w:t>
      </w:r>
      <w:r w:rsidR="00D80EF7" w:rsidRPr="00D80EF7">
        <w:rPr>
          <w:bCs/>
          <w:szCs w:val="18"/>
          <w:lang w:val="en-US"/>
        </w:rPr>
        <w:t xml:space="preserve">The problem may be even larger in case both MDT and QoE are enabled at the UE as the storage capacity in this case might have to be shared between these </w:t>
      </w:r>
      <w:r w:rsidR="00D80EF7">
        <w:rPr>
          <w:bCs/>
          <w:szCs w:val="18"/>
          <w:lang w:val="en-US"/>
        </w:rPr>
        <w:t xml:space="preserve">two </w:t>
      </w:r>
      <w:r w:rsidR="00D80EF7" w:rsidRPr="00D80EF7">
        <w:rPr>
          <w:bCs/>
          <w:szCs w:val="18"/>
          <w:lang w:val="en-US"/>
        </w:rPr>
        <w:t>features.</w:t>
      </w:r>
    </w:p>
    <w:p w14:paraId="623FA49E" w14:textId="69EBB306" w:rsidR="003717C0" w:rsidRPr="003717C0" w:rsidRDefault="00D80EF7" w:rsidP="003717C0">
      <w:pPr>
        <w:pStyle w:val="ListParagraph"/>
        <w:numPr>
          <w:ilvl w:val="1"/>
          <w:numId w:val="29"/>
        </w:numPr>
        <w:spacing w:after="0"/>
        <w:ind w:firstLineChars="0"/>
        <w:rPr>
          <w:bCs/>
          <w:szCs w:val="18"/>
          <w:lang w:val="en-US"/>
        </w:rPr>
      </w:pPr>
      <w:r>
        <w:rPr>
          <w:bCs/>
          <w:szCs w:val="18"/>
          <w:lang w:val="en-US"/>
        </w:rPr>
        <w:t>A</w:t>
      </w:r>
      <w:r w:rsidR="003717C0" w:rsidRPr="003717C0">
        <w:rPr>
          <w:bCs/>
          <w:szCs w:val="18"/>
          <w:lang w:val="en-US"/>
        </w:rPr>
        <w:t xml:space="preserve">pplication layer </w:t>
      </w:r>
      <w:r>
        <w:rPr>
          <w:bCs/>
          <w:szCs w:val="18"/>
          <w:lang w:val="en-US"/>
        </w:rPr>
        <w:t xml:space="preserve">on the other hand may utilize </w:t>
      </w:r>
      <w:r w:rsidR="002400A7">
        <w:rPr>
          <w:bCs/>
          <w:szCs w:val="18"/>
          <w:lang w:val="en-US"/>
        </w:rPr>
        <w:t>UE’s internal storage drives, which in the contemporary devices offers tens or hundreds of gigabytes of capacity. Therefore, much more reports could be stored with minimal risk of exceeding the storage capacity.</w:t>
      </w:r>
    </w:p>
    <w:p w14:paraId="043BF8C6" w14:textId="77777777" w:rsidR="003717C0" w:rsidRPr="003717C0" w:rsidRDefault="003717C0" w:rsidP="002400A7">
      <w:pPr>
        <w:pStyle w:val="ListParagraph"/>
        <w:numPr>
          <w:ilvl w:val="0"/>
          <w:numId w:val="29"/>
        </w:numPr>
        <w:spacing w:before="240" w:after="0"/>
        <w:ind w:firstLineChars="0"/>
        <w:rPr>
          <w:bCs/>
          <w:szCs w:val="18"/>
          <w:lang w:val="en-US"/>
        </w:rPr>
      </w:pPr>
      <w:r w:rsidRPr="003717C0">
        <w:rPr>
          <w:b/>
          <w:bCs/>
          <w:szCs w:val="18"/>
          <w:lang w:val="en-US"/>
        </w:rPr>
        <w:t>What to do when the maximum storing capacity is exceeded:</w:t>
      </w:r>
    </w:p>
    <w:p w14:paraId="0BC36BCC" w14:textId="0113B148" w:rsidR="003717C0" w:rsidRPr="003717C0" w:rsidRDefault="003717C0" w:rsidP="003717C0">
      <w:pPr>
        <w:pStyle w:val="ListParagraph"/>
        <w:numPr>
          <w:ilvl w:val="1"/>
          <w:numId w:val="29"/>
        </w:numPr>
        <w:spacing w:after="0"/>
        <w:ind w:firstLineChars="0"/>
        <w:rPr>
          <w:bCs/>
          <w:szCs w:val="18"/>
          <w:lang w:val="en-US"/>
        </w:rPr>
      </w:pPr>
      <w:r w:rsidRPr="003717C0">
        <w:rPr>
          <w:bCs/>
          <w:szCs w:val="18"/>
          <w:lang w:val="en-US"/>
        </w:rPr>
        <w:t>This is especially relevant for option 2 as the storing capacity there will be very limited</w:t>
      </w:r>
      <w:r w:rsidR="002400A7">
        <w:rPr>
          <w:bCs/>
          <w:szCs w:val="18"/>
          <w:lang w:val="en-US"/>
        </w:rPr>
        <w:t xml:space="preserve"> while for option 1 this issue practically does not exist.</w:t>
      </w:r>
    </w:p>
    <w:p w14:paraId="70DC09BA" w14:textId="77777777" w:rsidR="002400A7" w:rsidRDefault="002400A7" w:rsidP="003717C0">
      <w:pPr>
        <w:pStyle w:val="ListParagraph"/>
        <w:numPr>
          <w:ilvl w:val="1"/>
          <w:numId w:val="29"/>
        </w:numPr>
        <w:spacing w:after="0"/>
        <w:ind w:firstLineChars="0"/>
        <w:rPr>
          <w:bCs/>
          <w:szCs w:val="18"/>
          <w:lang w:val="en-US"/>
        </w:rPr>
      </w:pPr>
      <w:r>
        <w:rPr>
          <w:bCs/>
          <w:szCs w:val="18"/>
          <w:lang w:val="en-US"/>
        </w:rPr>
        <w:t>There are numerous options about what to do when the storage capacity at AS layer is exceeded:</w:t>
      </w:r>
    </w:p>
    <w:p w14:paraId="630B167F" w14:textId="016F43EF" w:rsidR="003717C0" w:rsidRPr="007872A5" w:rsidRDefault="002400A7" w:rsidP="007872A5">
      <w:pPr>
        <w:pStyle w:val="ListParagraph"/>
        <w:numPr>
          <w:ilvl w:val="2"/>
          <w:numId w:val="29"/>
        </w:numPr>
        <w:spacing w:after="0"/>
        <w:ind w:firstLineChars="0"/>
        <w:rPr>
          <w:bCs/>
          <w:szCs w:val="18"/>
          <w:lang w:val="en-US"/>
        </w:rPr>
      </w:pPr>
      <w:r w:rsidRPr="007872A5">
        <w:rPr>
          <w:bCs/>
          <w:szCs w:val="18"/>
          <w:lang w:val="en-US"/>
        </w:rPr>
        <w:t>T</w:t>
      </w:r>
      <w:r w:rsidR="003717C0" w:rsidRPr="007872A5">
        <w:rPr>
          <w:bCs/>
          <w:szCs w:val="18"/>
          <w:lang w:val="en-US"/>
        </w:rPr>
        <w:t xml:space="preserve">he UE </w:t>
      </w:r>
      <w:r w:rsidRPr="007872A5">
        <w:rPr>
          <w:bCs/>
          <w:szCs w:val="18"/>
          <w:lang w:val="en-US"/>
        </w:rPr>
        <w:t xml:space="preserve">may </w:t>
      </w:r>
      <w:r w:rsidR="003717C0" w:rsidRPr="007872A5">
        <w:rPr>
          <w:bCs/>
          <w:szCs w:val="18"/>
          <w:lang w:val="en-US"/>
        </w:rPr>
        <w:t>simply discard all subsequent</w:t>
      </w:r>
      <w:r w:rsidRPr="007872A5">
        <w:rPr>
          <w:bCs/>
          <w:szCs w:val="18"/>
          <w:lang w:val="en-US"/>
        </w:rPr>
        <w:t xml:space="preserve"> reports from application layer. However, this may lead to situations where such reports will be useless for the collecting entity as SA4 normally requires that all reports from a certain QoE session are needed, or otherwise the whole measurement session is discarded</w:t>
      </w:r>
      <w:r w:rsidR="00DC6007" w:rsidRPr="007872A5">
        <w:rPr>
          <w:bCs/>
          <w:szCs w:val="18"/>
          <w:lang w:val="en-US"/>
        </w:rPr>
        <w:t>, as indicated by SA4 in [3]</w:t>
      </w:r>
      <w:r w:rsidR="007872A5" w:rsidRPr="007872A5">
        <w:rPr>
          <w:bCs/>
          <w:szCs w:val="18"/>
          <w:lang w:val="en-US"/>
        </w:rPr>
        <w:t xml:space="preserve">: “Due to the intended usage of the QoE reports, fragmented QoE reports covering only parts of a session are not very useful. For instance, to be able to apply the ITU-T standard P.1203 on the reported QoE metrics, the complete </w:t>
      </w:r>
      <w:r w:rsidR="007872A5">
        <w:rPr>
          <w:bCs/>
          <w:szCs w:val="18"/>
          <w:lang w:val="en-US"/>
        </w:rPr>
        <w:t>session must always be covered.</w:t>
      </w:r>
      <w:r w:rsidR="00E83797">
        <w:rPr>
          <w:bCs/>
          <w:szCs w:val="18"/>
          <w:lang w:val="en-US"/>
        </w:rPr>
        <w:t>”</w:t>
      </w:r>
    </w:p>
    <w:p w14:paraId="3B6AF87A" w14:textId="34EE1572" w:rsidR="003717C0" w:rsidRPr="003717C0" w:rsidRDefault="002400A7" w:rsidP="002400A7">
      <w:pPr>
        <w:pStyle w:val="ListParagraph"/>
        <w:numPr>
          <w:ilvl w:val="2"/>
          <w:numId w:val="29"/>
        </w:numPr>
        <w:spacing w:after="0"/>
        <w:ind w:firstLineChars="0"/>
        <w:rPr>
          <w:bCs/>
          <w:szCs w:val="18"/>
          <w:lang w:val="en-US"/>
        </w:rPr>
      </w:pPr>
      <w:r>
        <w:rPr>
          <w:bCs/>
          <w:szCs w:val="18"/>
          <w:lang w:val="en-US"/>
        </w:rPr>
        <w:t xml:space="preserve">There could be some prioritization rules about which reports should be stored and which discarded in the first place. This however would either require some network signaling to guide the UE’s AS layer or some AS layer to application layer interactions, so that AS layer is aware which reports to prioritize. With the former approach, it is unclear how the network would get the prioritization rules (probably some OAM/CN to RAN signaling would have to be specified) while the latter would require guidance from SA4 and additional work in SA4. </w:t>
      </w:r>
    </w:p>
    <w:p w14:paraId="11CB4135" w14:textId="2830D6DF" w:rsidR="003717C0" w:rsidRPr="003717C0" w:rsidRDefault="00DC43B9" w:rsidP="00DC6007">
      <w:pPr>
        <w:pStyle w:val="ListParagraph"/>
        <w:numPr>
          <w:ilvl w:val="1"/>
          <w:numId w:val="29"/>
        </w:numPr>
        <w:ind w:firstLineChars="0"/>
        <w:rPr>
          <w:bCs/>
          <w:szCs w:val="18"/>
          <w:lang w:val="en-US"/>
        </w:rPr>
      </w:pPr>
      <w:r>
        <w:rPr>
          <w:bCs/>
          <w:szCs w:val="18"/>
          <w:lang w:val="en-US"/>
        </w:rPr>
        <w:t>Another question that has to be discussed by RAN2 for option 2 is h</w:t>
      </w:r>
      <w:r w:rsidR="003717C0" w:rsidRPr="003717C0">
        <w:rPr>
          <w:bCs/>
          <w:szCs w:val="18"/>
          <w:lang w:val="en-US"/>
        </w:rPr>
        <w:t xml:space="preserve">ow long the UE </w:t>
      </w:r>
      <w:r>
        <w:rPr>
          <w:bCs/>
          <w:szCs w:val="18"/>
          <w:lang w:val="en-US"/>
        </w:rPr>
        <w:t xml:space="preserve">should </w:t>
      </w:r>
      <w:r w:rsidR="003717C0" w:rsidRPr="003717C0">
        <w:rPr>
          <w:bCs/>
          <w:szCs w:val="18"/>
          <w:lang w:val="en-US"/>
        </w:rPr>
        <w:t xml:space="preserve">store the reports and what happens to them when the UE goes to </w:t>
      </w:r>
      <w:r w:rsidR="00E83797">
        <w:rPr>
          <w:bCs/>
          <w:szCs w:val="18"/>
          <w:lang w:val="en-US"/>
        </w:rPr>
        <w:t>INACTIVE/</w:t>
      </w:r>
      <w:r w:rsidR="003717C0" w:rsidRPr="003717C0">
        <w:rPr>
          <w:bCs/>
          <w:szCs w:val="18"/>
          <w:lang w:val="en-US"/>
        </w:rPr>
        <w:t xml:space="preserve">IDLE state, </w:t>
      </w:r>
      <w:r>
        <w:rPr>
          <w:bCs/>
          <w:szCs w:val="18"/>
          <w:lang w:val="en-US"/>
        </w:rPr>
        <w:t xml:space="preserve">e.g. </w:t>
      </w:r>
      <w:r w:rsidR="003717C0" w:rsidRPr="003717C0">
        <w:rPr>
          <w:bCs/>
          <w:szCs w:val="18"/>
          <w:lang w:val="en-US"/>
        </w:rPr>
        <w:t xml:space="preserve">are they released or stored until the UE </w:t>
      </w:r>
      <w:r w:rsidRPr="003717C0">
        <w:rPr>
          <w:bCs/>
          <w:szCs w:val="18"/>
          <w:lang w:val="en-US"/>
        </w:rPr>
        <w:t>reconnects</w:t>
      </w:r>
      <w:r w:rsidR="003717C0" w:rsidRPr="003717C0">
        <w:rPr>
          <w:bCs/>
          <w:szCs w:val="18"/>
          <w:lang w:val="en-US"/>
        </w:rPr>
        <w:t xml:space="preserve"> with the network?</w:t>
      </w:r>
    </w:p>
    <w:p w14:paraId="40D49CAE" w14:textId="3F628171" w:rsidR="003717C0" w:rsidRDefault="00DC43B9" w:rsidP="001944CA">
      <w:pPr>
        <w:rPr>
          <w:bCs/>
          <w:szCs w:val="18"/>
          <w:lang w:val="en-US"/>
        </w:rPr>
      </w:pPr>
      <w:r>
        <w:rPr>
          <w:bCs/>
          <w:szCs w:val="18"/>
          <w:lang w:val="en-US"/>
        </w:rPr>
        <w:t>Based on the above, then following observations can be made:</w:t>
      </w:r>
    </w:p>
    <w:p w14:paraId="410C910F" w14:textId="43BE0847" w:rsidR="00DC43B9" w:rsidRPr="00A47E48" w:rsidRDefault="00DC43B9" w:rsidP="001944CA">
      <w:pPr>
        <w:rPr>
          <w:b/>
          <w:bCs/>
          <w:szCs w:val="18"/>
          <w:lang w:val="en-US"/>
        </w:rPr>
      </w:pPr>
      <w:r w:rsidRPr="00A47E48">
        <w:rPr>
          <w:b/>
          <w:bCs/>
          <w:szCs w:val="18"/>
          <w:lang w:val="en-US"/>
        </w:rPr>
        <w:t xml:space="preserve">Observation </w:t>
      </w:r>
      <w:r w:rsidR="003E5CB7">
        <w:rPr>
          <w:b/>
          <w:bCs/>
          <w:szCs w:val="18"/>
          <w:lang w:val="en-US"/>
        </w:rPr>
        <w:t>2</w:t>
      </w:r>
      <w:r w:rsidRPr="00A47E48">
        <w:rPr>
          <w:b/>
          <w:bCs/>
          <w:szCs w:val="18"/>
          <w:lang w:val="en-US"/>
        </w:rPr>
        <w:t>: Option 1 offers much more storage capacity for the QoE reports. For option 2, the number of stored QoE reports is very limited, especially when both MDT and QoE are enabled at the UE simultaneously.</w:t>
      </w:r>
      <w:r w:rsidR="0050361D">
        <w:rPr>
          <w:b/>
          <w:bCs/>
          <w:szCs w:val="18"/>
          <w:lang w:val="en-US"/>
        </w:rPr>
        <w:t xml:space="preserve"> If option 2 was to be chosen by RAN2, SA4 should verify whether the storage capacity limitations for QoE during QoE pause are acceptable from their perspective.</w:t>
      </w:r>
    </w:p>
    <w:p w14:paraId="0626B676" w14:textId="634105D7" w:rsidR="00DC43B9" w:rsidRPr="00A47E48" w:rsidRDefault="00DC43B9" w:rsidP="001944CA">
      <w:pPr>
        <w:rPr>
          <w:b/>
          <w:bCs/>
          <w:szCs w:val="18"/>
          <w:lang w:val="en-US"/>
        </w:rPr>
      </w:pPr>
      <w:r w:rsidRPr="00A47E48">
        <w:rPr>
          <w:b/>
          <w:bCs/>
          <w:szCs w:val="18"/>
          <w:lang w:val="en-US"/>
        </w:rPr>
        <w:t xml:space="preserve">Observation </w:t>
      </w:r>
      <w:r w:rsidR="003E5CB7">
        <w:rPr>
          <w:b/>
          <w:bCs/>
          <w:szCs w:val="18"/>
          <w:lang w:val="en-US"/>
        </w:rPr>
        <w:t>3</w:t>
      </w:r>
      <w:r w:rsidRPr="00A47E48">
        <w:rPr>
          <w:b/>
          <w:bCs/>
          <w:szCs w:val="18"/>
          <w:lang w:val="en-US"/>
        </w:rPr>
        <w:t>: Option 2 requires discussions about handling of QoE reports when the maximum storage capacity is reached. At least SA4 would have to be included in these discussions to ensure that SA4 requirements are met.</w:t>
      </w:r>
    </w:p>
    <w:p w14:paraId="564B77B9" w14:textId="218B5EA2" w:rsidR="0050361D" w:rsidRDefault="000E1D83" w:rsidP="001944CA">
      <w:pPr>
        <w:rPr>
          <w:bCs/>
          <w:szCs w:val="18"/>
          <w:lang w:val="en-US"/>
        </w:rPr>
      </w:pPr>
      <w:r>
        <w:rPr>
          <w:bCs/>
          <w:szCs w:val="18"/>
          <w:lang w:val="en-US"/>
        </w:rPr>
        <w:t xml:space="preserve">Therefore, option 2 would actually require much more coordination with other WGs than option 1. </w:t>
      </w:r>
      <w:r w:rsidR="0050361D">
        <w:rPr>
          <w:bCs/>
          <w:szCs w:val="18"/>
          <w:lang w:val="en-US"/>
        </w:rPr>
        <w:t xml:space="preserve">At the same time, there seems to be no technical advantage of option 2 over option 1. Some companies mentioned that </w:t>
      </w:r>
      <w:r>
        <w:rPr>
          <w:bCs/>
          <w:szCs w:val="18"/>
          <w:lang w:val="en-US"/>
        </w:rPr>
        <w:t>with option 2 there is more control in RAN over Q</w:t>
      </w:r>
      <w:r w:rsidR="0026765F">
        <w:rPr>
          <w:bCs/>
          <w:szCs w:val="18"/>
          <w:lang w:val="en-US"/>
        </w:rPr>
        <w:t>o</w:t>
      </w:r>
      <w:r>
        <w:rPr>
          <w:bCs/>
          <w:szCs w:val="18"/>
          <w:lang w:val="en-US"/>
        </w:rPr>
        <w:t>E reports, but we do not see this as an advantage. RAN2 agreed that QoE reports are transparent to RAN and therefore RAN has no knowledge about the priorities of the reports etc. Hence, it would rather be preferred that QoE reports are handled by the application layer. Another argument that was mentioned is that RAN may need to handle a peak of reports from application layer when the resume indication is received by the UE. However, this issue is common for both options under the assumption that the same storage limitation for QoE reports is available. RAN2 may further discuss whether peak of reports is really an issue and if it is, then the limitation can be applied at either AS or application layer.</w:t>
      </w:r>
    </w:p>
    <w:p w14:paraId="5E0B9029" w14:textId="0321549F" w:rsidR="000E1D83" w:rsidRPr="000E1D83" w:rsidRDefault="000E1D83" w:rsidP="001944CA">
      <w:pPr>
        <w:rPr>
          <w:b/>
          <w:bCs/>
          <w:szCs w:val="18"/>
          <w:lang w:val="en-US"/>
        </w:rPr>
      </w:pPr>
      <w:bookmarkStart w:id="2" w:name="OLE_LINK7"/>
      <w:bookmarkStart w:id="3" w:name="OLE_LINK8"/>
      <w:r>
        <w:rPr>
          <w:b/>
          <w:bCs/>
          <w:szCs w:val="18"/>
          <w:lang w:val="en-US"/>
        </w:rPr>
        <w:t xml:space="preserve">Observation </w:t>
      </w:r>
      <w:r w:rsidR="003E5CB7">
        <w:rPr>
          <w:b/>
          <w:bCs/>
          <w:szCs w:val="18"/>
          <w:lang w:val="en-US"/>
        </w:rPr>
        <w:t>4</w:t>
      </w:r>
      <w:r>
        <w:rPr>
          <w:b/>
          <w:bCs/>
          <w:szCs w:val="18"/>
          <w:lang w:val="en-US"/>
        </w:rPr>
        <w:t xml:space="preserve">: There seems to be no </w:t>
      </w:r>
      <w:r w:rsidR="00CC7F1B">
        <w:rPr>
          <w:b/>
          <w:bCs/>
          <w:szCs w:val="18"/>
          <w:lang w:val="en-US"/>
        </w:rPr>
        <w:t>technical adva</w:t>
      </w:r>
      <w:r w:rsidR="00382A46">
        <w:rPr>
          <w:b/>
          <w:bCs/>
          <w:szCs w:val="18"/>
          <w:lang w:val="en-US"/>
        </w:rPr>
        <w:t>ntage of option 2 over option 1 and option 2 requires RAN2 to coordinate with SA4 on the aspects such as storage capacity and QoE report handling upon reaching maximum storage capacity.</w:t>
      </w:r>
    </w:p>
    <w:bookmarkEnd w:id="2"/>
    <w:bookmarkEnd w:id="3"/>
    <w:p w14:paraId="66512A9D" w14:textId="11E22659" w:rsidR="00B02708" w:rsidRDefault="003717C0" w:rsidP="001944CA">
      <w:pPr>
        <w:rPr>
          <w:bCs/>
          <w:szCs w:val="18"/>
        </w:rPr>
      </w:pPr>
      <w:r>
        <w:rPr>
          <w:bCs/>
          <w:szCs w:val="18"/>
          <w:lang w:val="en-US"/>
        </w:rPr>
        <w:t xml:space="preserve">The table below captures a summary of </w:t>
      </w:r>
      <w:r>
        <w:rPr>
          <w:bCs/>
          <w:szCs w:val="18"/>
        </w:rPr>
        <w:t>advantages and disadvantages of th</w:t>
      </w:r>
      <w:r w:rsidR="00AE698F">
        <w:rPr>
          <w:bCs/>
          <w:szCs w:val="18"/>
        </w:rPr>
        <w:t>e three options</w:t>
      </w:r>
      <w:r>
        <w:rPr>
          <w:bCs/>
          <w:szCs w:val="18"/>
        </w:rPr>
        <w:t>.</w:t>
      </w:r>
    </w:p>
    <w:p w14:paraId="5D512CB1" w14:textId="6752D5DE" w:rsidR="00653488" w:rsidRPr="00653488" w:rsidRDefault="00653488" w:rsidP="00653488">
      <w:pPr>
        <w:jc w:val="center"/>
        <w:rPr>
          <w:b/>
          <w:bCs/>
          <w:szCs w:val="18"/>
        </w:rPr>
      </w:pPr>
      <w:r w:rsidRPr="00653488">
        <w:rPr>
          <w:b/>
          <w:bCs/>
          <w:szCs w:val="18"/>
        </w:rPr>
        <w:t>Table 1: Comparison of option 1, 2 and 3</w:t>
      </w:r>
    </w:p>
    <w:tbl>
      <w:tblPr>
        <w:tblW w:w="9629" w:type="dxa"/>
        <w:tblCellMar>
          <w:left w:w="0" w:type="dxa"/>
          <w:right w:w="0" w:type="dxa"/>
        </w:tblCellMar>
        <w:tblLook w:val="04A0" w:firstRow="1" w:lastRow="0" w:firstColumn="1" w:lastColumn="0" w:noHBand="0" w:noVBand="1"/>
      </w:tblPr>
      <w:tblGrid>
        <w:gridCol w:w="1975"/>
        <w:gridCol w:w="3827"/>
        <w:gridCol w:w="3827"/>
      </w:tblGrid>
      <w:tr w:rsidR="003717C0" w:rsidRPr="003717C0" w14:paraId="429FCD14" w14:textId="77777777" w:rsidTr="003717C0">
        <w:trPr>
          <w:trHeight w:val="245"/>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72C3F5A3" w14:textId="77777777" w:rsidR="003717C0" w:rsidRPr="003717C0" w:rsidRDefault="003717C0" w:rsidP="003717C0">
            <w:pPr>
              <w:rPr>
                <w:bCs/>
                <w:szCs w:val="18"/>
                <w:lang w:val="en-US"/>
              </w:rPr>
            </w:pPr>
            <w:r w:rsidRPr="003717C0">
              <w:rPr>
                <w:bCs/>
                <w:szCs w:val="18"/>
              </w:rPr>
              <w:t> </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62B35A69" w14:textId="77777777" w:rsidR="003717C0" w:rsidRPr="003717C0" w:rsidRDefault="003717C0" w:rsidP="003717C0">
            <w:pPr>
              <w:rPr>
                <w:bCs/>
                <w:szCs w:val="18"/>
                <w:lang w:val="en-US"/>
              </w:rPr>
            </w:pPr>
            <w:r w:rsidRPr="003717C0">
              <w:rPr>
                <w:b/>
                <w:bCs/>
                <w:szCs w:val="18"/>
              </w:rPr>
              <w:t>Advantages</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15A05313" w14:textId="77777777" w:rsidR="003717C0" w:rsidRPr="003717C0" w:rsidRDefault="003717C0" w:rsidP="003717C0">
            <w:pPr>
              <w:rPr>
                <w:bCs/>
                <w:szCs w:val="18"/>
                <w:lang w:val="en-US"/>
              </w:rPr>
            </w:pPr>
            <w:r w:rsidRPr="003717C0">
              <w:rPr>
                <w:b/>
                <w:bCs/>
                <w:szCs w:val="18"/>
              </w:rPr>
              <w:t>Disadvantages</w:t>
            </w:r>
          </w:p>
        </w:tc>
      </w:tr>
      <w:tr w:rsidR="003717C0" w:rsidRPr="003717C0" w14:paraId="64E583FC" w14:textId="77777777" w:rsidTr="003717C0">
        <w:trPr>
          <w:trHeight w:val="763"/>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078B558E" w14:textId="77777777" w:rsidR="003717C0" w:rsidRPr="003717C0" w:rsidRDefault="003717C0" w:rsidP="003717C0">
            <w:pPr>
              <w:rPr>
                <w:bCs/>
                <w:szCs w:val="18"/>
                <w:lang w:val="en-US"/>
              </w:rPr>
            </w:pPr>
            <w:r w:rsidRPr="003717C0">
              <w:rPr>
                <w:b/>
                <w:bCs/>
                <w:szCs w:val="18"/>
              </w:rPr>
              <w:t>Option 1</w:t>
            </w:r>
            <w:r w:rsidRPr="003717C0">
              <w:rPr>
                <w:b/>
                <w:bCs/>
                <w:szCs w:val="18"/>
                <w:lang w:val="en-US"/>
              </w:rPr>
              <w:t>.</w:t>
            </w:r>
            <w:r w:rsidRPr="003717C0">
              <w:rPr>
                <w:b/>
                <w:bCs/>
                <w:szCs w:val="18"/>
              </w:rPr>
              <w:t xml:space="preserve"> QoE reports during “pause” are stored at application layer</w:t>
            </w:r>
            <w:r w:rsidRPr="003717C0">
              <w:rPr>
                <w:b/>
                <w:bCs/>
                <w:szCs w:val="18"/>
                <w:lang w:val="en-US"/>
              </w:rPr>
              <w:t xml:space="preserve"> (</w:t>
            </w:r>
            <w:r w:rsidRPr="003717C0">
              <w:rPr>
                <w:b/>
                <w:bCs/>
                <w:szCs w:val="18"/>
              </w:rPr>
              <w:t>RAN transparent approach</w:t>
            </w:r>
            <w:r w:rsidRPr="003717C0">
              <w:rPr>
                <w:b/>
                <w:bCs/>
                <w:szCs w:val="18"/>
                <w:lang w:val="en-US"/>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075DE189" w14:textId="5ADB7B00" w:rsidR="00442B1D" w:rsidRPr="003717C0" w:rsidRDefault="002B068D" w:rsidP="003717C0">
            <w:pPr>
              <w:numPr>
                <w:ilvl w:val="0"/>
                <w:numId w:val="25"/>
              </w:numPr>
              <w:rPr>
                <w:bCs/>
                <w:szCs w:val="18"/>
                <w:lang w:val="en-US"/>
              </w:rPr>
            </w:pPr>
            <w:r w:rsidRPr="003717C0">
              <w:rPr>
                <w:bCs/>
                <w:szCs w:val="18"/>
                <w:lang w:val="en-US"/>
              </w:rPr>
              <w:t xml:space="preserve">There is no need to store the QoE reports in AS layer, which utilizes RAM memory which is a scarce resource. On the other hand, </w:t>
            </w:r>
            <w:r w:rsidR="0050361D" w:rsidRPr="003717C0">
              <w:rPr>
                <w:bCs/>
                <w:szCs w:val="18"/>
                <w:lang w:val="en-US"/>
              </w:rPr>
              <w:t>application</w:t>
            </w:r>
            <w:r w:rsidRPr="003717C0">
              <w:rPr>
                <w:bCs/>
                <w:szCs w:val="18"/>
                <w:lang w:val="en-US"/>
              </w:rPr>
              <w:t xml:space="preserve"> layer can have an access to UE </w:t>
            </w:r>
            <w:r w:rsidR="00AE698F">
              <w:rPr>
                <w:bCs/>
                <w:szCs w:val="18"/>
                <w:lang w:val="en-US"/>
              </w:rPr>
              <w:t>internal storage</w:t>
            </w:r>
            <w:r w:rsidRPr="003717C0">
              <w:rPr>
                <w:bCs/>
                <w:szCs w:val="18"/>
                <w:lang w:val="en-US"/>
              </w:rPr>
              <w:t>, which is much larger</w:t>
            </w:r>
            <w:r w:rsidR="00AE698F">
              <w:rPr>
                <w:bCs/>
                <w:szCs w:val="18"/>
                <w:lang w:val="en-US"/>
              </w:rPr>
              <w:t xml:space="preserve"> (tens or hundreds of gigabytes)</w:t>
            </w:r>
          </w:p>
          <w:p w14:paraId="37A1FA0B" w14:textId="77777777" w:rsidR="00442B1D" w:rsidRPr="003717C0" w:rsidRDefault="002B068D" w:rsidP="003717C0">
            <w:pPr>
              <w:numPr>
                <w:ilvl w:val="0"/>
                <w:numId w:val="25"/>
              </w:numPr>
              <w:rPr>
                <w:bCs/>
                <w:szCs w:val="18"/>
                <w:lang w:val="en-US"/>
              </w:rPr>
            </w:pPr>
            <w:r w:rsidRPr="003717C0">
              <w:rPr>
                <w:bCs/>
                <w:szCs w:val="18"/>
                <w:lang w:val="en-US"/>
              </w:rPr>
              <w:t>Very limited impact to RAN2 specifications as there is no need to discuss details of QoE reports storing in AS layer (e.g. maximum storing time, maximum size of stored reports, priorities etc.) or to define reporting of stored QoE reports after resume is indicated (i.e. QoE reports are handled in the same way as during normal operation)</w:t>
            </w:r>
          </w:p>
          <w:p w14:paraId="310A9FFE" w14:textId="77777777" w:rsidR="003717C0" w:rsidRDefault="002B068D" w:rsidP="003717C0">
            <w:pPr>
              <w:numPr>
                <w:ilvl w:val="0"/>
                <w:numId w:val="25"/>
              </w:numPr>
              <w:rPr>
                <w:bCs/>
                <w:szCs w:val="18"/>
                <w:lang w:val="en-US"/>
              </w:rPr>
            </w:pPr>
            <w:r w:rsidRPr="003717C0">
              <w:rPr>
                <w:bCs/>
                <w:szCs w:val="18"/>
                <w:lang w:val="en-US"/>
              </w:rPr>
              <w:t>SA5 has already defined a solution for LTE which can be easily reused</w:t>
            </w:r>
          </w:p>
          <w:p w14:paraId="5E9BAE9A" w14:textId="77777777" w:rsidR="00AE698F" w:rsidRDefault="00AE698F" w:rsidP="003717C0">
            <w:pPr>
              <w:numPr>
                <w:ilvl w:val="0"/>
                <w:numId w:val="25"/>
              </w:numPr>
              <w:rPr>
                <w:bCs/>
                <w:szCs w:val="18"/>
                <w:lang w:val="en-US"/>
              </w:rPr>
            </w:pPr>
            <w:r>
              <w:rPr>
                <w:bCs/>
                <w:szCs w:val="18"/>
                <w:lang w:val="en-US"/>
              </w:rPr>
              <w:t>Application layer has better knowledge about which reports require storing and which can be discarded when the storage capacity is reached</w:t>
            </w:r>
          </w:p>
          <w:p w14:paraId="60E1E6B7" w14:textId="01AA0DD2" w:rsidR="00AE698F" w:rsidRPr="003717C0" w:rsidRDefault="00AE698F" w:rsidP="003717C0">
            <w:pPr>
              <w:numPr>
                <w:ilvl w:val="0"/>
                <w:numId w:val="25"/>
              </w:numPr>
              <w:rPr>
                <w:bCs/>
                <w:szCs w:val="18"/>
                <w:lang w:val="en-US"/>
              </w:rPr>
            </w:pPr>
            <w:r>
              <w:rPr>
                <w:bCs/>
                <w:szCs w:val="18"/>
                <w:lang w:val="en-US"/>
              </w:rPr>
              <w:t>Aligned with the principle of transparent handling of QoE reports at RAN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555CD1B2" w14:textId="1A62A9F1" w:rsidR="00442B1D" w:rsidRPr="003717C0" w:rsidRDefault="002B068D" w:rsidP="00D87483">
            <w:pPr>
              <w:numPr>
                <w:ilvl w:val="0"/>
                <w:numId w:val="26"/>
              </w:numPr>
              <w:rPr>
                <w:bCs/>
                <w:szCs w:val="18"/>
                <w:lang w:val="en-US"/>
              </w:rPr>
            </w:pPr>
            <w:r w:rsidRPr="003717C0">
              <w:rPr>
                <w:bCs/>
                <w:szCs w:val="18"/>
                <w:lang w:val="en-US"/>
              </w:rPr>
              <w:t>Application layer behavior upon reception of pause/resume indications</w:t>
            </w:r>
            <w:r w:rsidR="00D87483">
              <w:rPr>
                <w:bCs/>
                <w:szCs w:val="18"/>
                <w:lang w:val="en-US"/>
              </w:rPr>
              <w:t xml:space="preserve"> may</w:t>
            </w:r>
            <w:r w:rsidRPr="003717C0">
              <w:rPr>
                <w:bCs/>
                <w:szCs w:val="18"/>
                <w:lang w:val="en-US"/>
              </w:rPr>
              <w:t xml:space="preserve"> need to be specified by SA4</w:t>
            </w:r>
          </w:p>
        </w:tc>
      </w:tr>
      <w:tr w:rsidR="003717C0" w:rsidRPr="003717C0" w14:paraId="412A1ED9" w14:textId="77777777" w:rsidTr="007872A5">
        <w:trPr>
          <w:trHeight w:val="321"/>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54055115" w14:textId="77777777" w:rsidR="003717C0" w:rsidRPr="003717C0" w:rsidRDefault="003717C0" w:rsidP="003717C0">
            <w:pPr>
              <w:rPr>
                <w:bCs/>
                <w:szCs w:val="18"/>
                <w:lang w:val="en-US"/>
              </w:rPr>
            </w:pPr>
            <w:r w:rsidRPr="003717C0">
              <w:rPr>
                <w:b/>
                <w:bCs/>
                <w:szCs w:val="18"/>
              </w:rPr>
              <w:t>Option 2</w:t>
            </w:r>
            <w:r w:rsidRPr="003717C0">
              <w:rPr>
                <w:b/>
                <w:bCs/>
                <w:szCs w:val="18"/>
                <w:lang w:val="en-US"/>
              </w:rPr>
              <w:t>.</w:t>
            </w:r>
            <w:r w:rsidRPr="003717C0">
              <w:rPr>
                <w:b/>
                <w:bCs/>
                <w:szCs w:val="18"/>
              </w:rPr>
              <w:t xml:space="preserve"> QoE reports during “pause” are stored at AS layer</w:t>
            </w:r>
            <w:r w:rsidRPr="003717C0">
              <w:rPr>
                <w:b/>
                <w:bCs/>
                <w:szCs w:val="18"/>
                <w:lang w:val="en-US"/>
              </w:rPr>
              <w:t xml:space="preserve"> (</w:t>
            </w:r>
            <w:r w:rsidRPr="003717C0">
              <w:rPr>
                <w:b/>
                <w:bCs/>
                <w:szCs w:val="18"/>
              </w:rPr>
              <w:t>application transparent approach</w:t>
            </w:r>
            <w:r w:rsidRPr="003717C0">
              <w:rPr>
                <w:b/>
                <w:bCs/>
                <w:szCs w:val="18"/>
                <w:lang w:val="en-US"/>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6B047A1A" w14:textId="77777777" w:rsidR="00442B1D" w:rsidRPr="003717C0" w:rsidRDefault="002B068D" w:rsidP="003717C0">
            <w:pPr>
              <w:numPr>
                <w:ilvl w:val="0"/>
                <w:numId w:val="27"/>
              </w:numPr>
              <w:rPr>
                <w:bCs/>
                <w:szCs w:val="18"/>
                <w:lang w:val="en-US"/>
              </w:rPr>
            </w:pPr>
            <w:r w:rsidRPr="003717C0">
              <w:rPr>
                <w:bCs/>
                <w:szCs w:val="18"/>
                <w:lang w:val="en-US"/>
              </w:rPr>
              <w:t>Application layer is unaffected</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25CD31BB" w14:textId="77777777" w:rsidR="00442B1D" w:rsidRPr="003717C0" w:rsidRDefault="002B068D" w:rsidP="003717C0">
            <w:pPr>
              <w:numPr>
                <w:ilvl w:val="0"/>
                <w:numId w:val="27"/>
              </w:numPr>
              <w:rPr>
                <w:bCs/>
                <w:szCs w:val="18"/>
                <w:lang w:val="en-US"/>
              </w:rPr>
            </w:pPr>
            <w:r w:rsidRPr="003717C0">
              <w:rPr>
                <w:bCs/>
                <w:szCs w:val="18"/>
                <w:lang w:val="en-US"/>
              </w:rPr>
              <w:t>The QoE reports need to be stored at AS layer, which has very limited storage capacity</w:t>
            </w:r>
          </w:p>
          <w:p w14:paraId="2E78F8B5" w14:textId="0DBD3263" w:rsidR="00442B1D" w:rsidRDefault="0026765F" w:rsidP="003717C0">
            <w:pPr>
              <w:numPr>
                <w:ilvl w:val="0"/>
                <w:numId w:val="27"/>
              </w:numPr>
              <w:rPr>
                <w:bCs/>
                <w:szCs w:val="18"/>
                <w:lang w:val="en-US"/>
              </w:rPr>
            </w:pPr>
            <w:r>
              <w:rPr>
                <w:bCs/>
                <w:szCs w:val="18"/>
                <w:lang w:val="en-US"/>
              </w:rPr>
              <w:t>It will take some efforts for RAN2 to discuss open issues</w:t>
            </w:r>
            <w:r w:rsidR="002B068D" w:rsidRPr="003717C0">
              <w:rPr>
                <w:bCs/>
                <w:szCs w:val="18"/>
                <w:lang w:val="en-US"/>
              </w:rPr>
              <w:t>, e.g. the details of QoE reports storage and reporting after UE receives pause/resume indications</w:t>
            </w:r>
          </w:p>
          <w:p w14:paraId="4D998926" w14:textId="47AB7720" w:rsidR="007872A5" w:rsidRDefault="007872A5" w:rsidP="003717C0">
            <w:pPr>
              <w:numPr>
                <w:ilvl w:val="0"/>
                <w:numId w:val="27"/>
              </w:numPr>
              <w:rPr>
                <w:bCs/>
                <w:szCs w:val="18"/>
                <w:lang w:val="en-US"/>
              </w:rPr>
            </w:pPr>
            <w:r>
              <w:rPr>
                <w:bCs/>
                <w:szCs w:val="18"/>
                <w:lang w:val="en-US"/>
              </w:rPr>
              <w:t>RAN and AS layer is not aware of QoE reports priority, e.g .to ensure QoE measurement session completeness, and interactions with application layer would have to be specified</w:t>
            </w:r>
          </w:p>
          <w:p w14:paraId="4BF99731" w14:textId="2E5BD7CC" w:rsidR="007872A5" w:rsidRPr="003717C0" w:rsidRDefault="0026765F" w:rsidP="0026765F">
            <w:pPr>
              <w:numPr>
                <w:ilvl w:val="0"/>
                <w:numId w:val="27"/>
              </w:numPr>
              <w:rPr>
                <w:bCs/>
                <w:szCs w:val="18"/>
                <w:lang w:val="en-US"/>
              </w:rPr>
            </w:pPr>
            <w:r>
              <w:rPr>
                <w:bCs/>
                <w:szCs w:val="18"/>
                <w:lang w:val="en-US"/>
              </w:rPr>
              <w:t>For some discussions, SA4 may need to be consulted</w:t>
            </w:r>
            <w:r w:rsidR="007872A5">
              <w:rPr>
                <w:bCs/>
                <w:szCs w:val="18"/>
                <w:lang w:val="en-US"/>
              </w:rPr>
              <w:t xml:space="preserve"> in order to ensure SA4 requirements are met</w:t>
            </w:r>
          </w:p>
        </w:tc>
      </w:tr>
      <w:tr w:rsidR="003717C0" w:rsidRPr="003717C0" w14:paraId="022AF72D" w14:textId="77777777" w:rsidTr="007872A5">
        <w:trPr>
          <w:trHeight w:val="1666"/>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07EE41D4" w14:textId="1472859A" w:rsidR="003717C0" w:rsidRPr="003717C0" w:rsidRDefault="003717C0" w:rsidP="003717C0">
            <w:pPr>
              <w:rPr>
                <w:bCs/>
                <w:szCs w:val="18"/>
                <w:lang w:val="en-US"/>
              </w:rPr>
            </w:pPr>
            <w:r w:rsidRPr="003717C0">
              <w:rPr>
                <w:b/>
                <w:bCs/>
                <w:szCs w:val="18"/>
              </w:rPr>
              <w:t>Option 3</w:t>
            </w:r>
            <w:r w:rsidRPr="003717C0">
              <w:rPr>
                <w:b/>
                <w:bCs/>
                <w:szCs w:val="18"/>
                <w:lang w:val="en-US"/>
              </w:rPr>
              <w:t>.</w:t>
            </w:r>
            <w:r w:rsidRPr="003717C0">
              <w:rPr>
                <w:b/>
                <w:bCs/>
                <w:szCs w:val="18"/>
              </w:rPr>
              <w:t xml:space="preserve"> AS discard</w:t>
            </w:r>
            <w:r w:rsidRPr="003717C0">
              <w:rPr>
                <w:b/>
                <w:bCs/>
                <w:szCs w:val="18"/>
                <w:lang w:val="en-US"/>
              </w:rPr>
              <w:t>s</w:t>
            </w:r>
            <w:r w:rsidRPr="003717C0">
              <w:rPr>
                <w:b/>
                <w:bCs/>
                <w:szCs w:val="18"/>
              </w:rPr>
              <w:t xml:space="preserve"> the QoE </w:t>
            </w:r>
            <w:r w:rsidRPr="003717C0">
              <w:rPr>
                <w:b/>
                <w:bCs/>
                <w:szCs w:val="18"/>
                <w:lang w:val="en-US"/>
              </w:rPr>
              <w:t>reports</w:t>
            </w:r>
            <w:r w:rsidRPr="003717C0">
              <w:rPr>
                <w:b/>
                <w:bCs/>
                <w:szCs w:val="18"/>
              </w:rPr>
              <w:t xml:space="preserve"> </w:t>
            </w:r>
            <w:r w:rsidRPr="003717C0">
              <w:rPr>
                <w:b/>
                <w:bCs/>
                <w:szCs w:val="18"/>
                <w:lang w:val="en-US"/>
              </w:rPr>
              <w:t>received from applicat</w:t>
            </w:r>
            <w:r w:rsidR="007E4854">
              <w:rPr>
                <w:b/>
                <w:bCs/>
                <w:szCs w:val="18"/>
                <w:lang w:val="en-US"/>
              </w:rPr>
              <w:t>i</w:t>
            </w:r>
            <w:r w:rsidRPr="003717C0">
              <w:rPr>
                <w:b/>
                <w:bCs/>
                <w:szCs w:val="18"/>
                <w:lang w:val="en-US"/>
              </w:rPr>
              <w:t xml:space="preserve">on layer </w:t>
            </w:r>
            <w:r w:rsidRPr="003717C0">
              <w:rPr>
                <w:b/>
                <w:bCs/>
                <w:szCs w:val="18"/>
              </w:rPr>
              <w:t>during “pause”</w:t>
            </w:r>
            <w:r w:rsidRPr="003717C0">
              <w:rPr>
                <w:b/>
                <w:bCs/>
                <w:szCs w:val="18"/>
                <w:lang w:val="en-US"/>
              </w:rPr>
              <w:t xml:space="preserve"> (</w:t>
            </w:r>
            <w:r w:rsidRPr="003717C0">
              <w:rPr>
                <w:b/>
                <w:bCs/>
                <w:szCs w:val="18"/>
              </w:rPr>
              <w:t>RAN transparent approach</w:t>
            </w:r>
            <w:r w:rsidRPr="003717C0">
              <w:rPr>
                <w:b/>
                <w:bCs/>
                <w:szCs w:val="18"/>
                <w:lang w:val="en-US"/>
              </w:rPr>
              <w:t>)</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5A601112" w14:textId="77777777" w:rsidR="00442B1D" w:rsidRPr="003717C0" w:rsidRDefault="002B068D" w:rsidP="003717C0">
            <w:pPr>
              <w:numPr>
                <w:ilvl w:val="0"/>
                <w:numId w:val="28"/>
              </w:numPr>
              <w:rPr>
                <w:bCs/>
                <w:szCs w:val="18"/>
                <w:lang w:val="en-US"/>
              </w:rPr>
            </w:pPr>
            <w:r w:rsidRPr="003717C0">
              <w:rPr>
                <w:bCs/>
                <w:szCs w:val="18"/>
                <w:lang w:val="en-US"/>
              </w:rPr>
              <w:t>There is no need to store the QoE reports in AS layer, which utilizes RAM memory which is a scarce resource</w:t>
            </w:r>
          </w:p>
          <w:p w14:paraId="51D10959" w14:textId="77777777" w:rsidR="002574C2" w:rsidRPr="003717C0" w:rsidRDefault="002574C2" w:rsidP="002574C2">
            <w:pPr>
              <w:numPr>
                <w:ilvl w:val="0"/>
                <w:numId w:val="28"/>
              </w:numPr>
              <w:rPr>
                <w:bCs/>
                <w:szCs w:val="18"/>
                <w:lang w:val="en-US"/>
              </w:rPr>
            </w:pPr>
            <w:r w:rsidRPr="003717C0">
              <w:rPr>
                <w:bCs/>
                <w:szCs w:val="18"/>
                <w:lang w:val="en-US"/>
              </w:rPr>
              <w:t>Application layer may or may not buffer the QoE data during pause, which can be decided by SA4</w:t>
            </w:r>
          </w:p>
          <w:p w14:paraId="4FEB0B41" w14:textId="77777777" w:rsidR="00442B1D" w:rsidRPr="003717C0" w:rsidRDefault="002B068D" w:rsidP="003717C0">
            <w:pPr>
              <w:numPr>
                <w:ilvl w:val="0"/>
                <w:numId w:val="28"/>
              </w:numPr>
              <w:rPr>
                <w:bCs/>
                <w:szCs w:val="18"/>
                <w:lang w:val="en-US"/>
              </w:rPr>
            </w:pPr>
            <w:r w:rsidRPr="003717C0">
              <w:rPr>
                <w:bCs/>
                <w:szCs w:val="18"/>
                <w:lang w:val="en-US"/>
              </w:rPr>
              <w:t>Very limited impact to RAN2 specification</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78" w:type="dxa"/>
              <w:bottom w:w="0" w:type="dxa"/>
              <w:right w:w="78" w:type="dxa"/>
            </w:tcMar>
            <w:hideMark/>
          </w:tcPr>
          <w:p w14:paraId="4919E9CB" w14:textId="7E7E6762" w:rsidR="00442B1D" w:rsidRPr="003717C0" w:rsidRDefault="002B068D" w:rsidP="003717C0">
            <w:pPr>
              <w:numPr>
                <w:ilvl w:val="0"/>
                <w:numId w:val="28"/>
              </w:numPr>
              <w:rPr>
                <w:bCs/>
                <w:szCs w:val="18"/>
                <w:lang w:val="en-US"/>
              </w:rPr>
            </w:pPr>
            <w:r w:rsidRPr="003717C0">
              <w:rPr>
                <w:bCs/>
                <w:szCs w:val="18"/>
                <w:lang w:val="en-US"/>
              </w:rPr>
              <w:t>If SA4 de</w:t>
            </w:r>
            <w:r w:rsidR="002574C2">
              <w:rPr>
                <w:bCs/>
                <w:szCs w:val="18"/>
                <w:lang w:val="en-US"/>
              </w:rPr>
              <w:t xml:space="preserve">cides not to do anything, the QoE reports </w:t>
            </w:r>
            <w:r w:rsidRPr="003717C0">
              <w:rPr>
                <w:bCs/>
                <w:szCs w:val="18"/>
                <w:lang w:val="en-US"/>
              </w:rPr>
              <w:t xml:space="preserve">sent by </w:t>
            </w:r>
            <w:r w:rsidR="003717C0" w:rsidRPr="003717C0">
              <w:rPr>
                <w:bCs/>
                <w:szCs w:val="18"/>
                <w:lang w:val="en-US"/>
              </w:rPr>
              <w:t>application</w:t>
            </w:r>
            <w:r w:rsidRPr="003717C0">
              <w:rPr>
                <w:bCs/>
                <w:szCs w:val="18"/>
                <w:lang w:val="en-US"/>
              </w:rPr>
              <w:t xml:space="preserve"> layer during pause will be lost</w:t>
            </w:r>
          </w:p>
        </w:tc>
      </w:tr>
    </w:tbl>
    <w:p w14:paraId="7E291432" w14:textId="77777777" w:rsidR="003717C0" w:rsidRDefault="003717C0" w:rsidP="001944CA">
      <w:pPr>
        <w:rPr>
          <w:bCs/>
          <w:szCs w:val="18"/>
          <w:lang w:val="en-US"/>
        </w:rPr>
      </w:pPr>
    </w:p>
    <w:p w14:paraId="57352972" w14:textId="0963EB45" w:rsidR="00A1337B" w:rsidRPr="00653488" w:rsidRDefault="00A1337B" w:rsidP="001944CA">
      <w:pPr>
        <w:rPr>
          <w:bCs/>
          <w:szCs w:val="18"/>
          <w:lang w:val="en-US"/>
        </w:rPr>
      </w:pPr>
      <w:r>
        <w:rPr>
          <w:bCs/>
          <w:szCs w:val="18"/>
          <w:lang w:val="en-US"/>
        </w:rPr>
        <w:t xml:space="preserve">In the past, SA4 and SA5 had some preferences on solutions, and they also gave some analysis. However, based on the above technical analysis and comparison, we feel that different options have significantly different impacts to RAN2, SA4 and </w:t>
      </w:r>
      <w:r w:rsidR="007E4854">
        <w:rPr>
          <w:bCs/>
          <w:szCs w:val="18"/>
          <w:lang w:val="en-US"/>
        </w:rPr>
        <w:t>potentially</w:t>
      </w:r>
      <w:r>
        <w:rPr>
          <w:bCs/>
          <w:szCs w:val="18"/>
          <w:lang w:val="en-US"/>
        </w:rPr>
        <w:t xml:space="preserve"> other WGs. </w:t>
      </w:r>
      <w:r w:rsidR="007E4854">
        <w:rPr>
          <w:bCs/>
          <w:szCs w:val="18"/>
          <w:lang w:val="en-US"/>
        </w:rPr>
        <w:t>Hence,</w:t>
      </w:r>
      <w:r>
        <w:rPr>
          <w:bCs/>
          <w:szCs w:val="18"/>
          <w:lang w:val="en-US"/>
        </w:rPr>
        <w:t xml:space="preserve"> we think that RAN2 should have full analysis before making a decision, otherwise, there is a risk that </w:t>
      </w:r>
      <w:r w:rsidR="00653488">
        <w:rPr>
          <w:bCs/>
          <w:szCs w:val="18"/>
          <w:lang w:val="en-US"/>
        </w:rPr>
        <w:t xml:space="preserve">RAN2 choose a solution but </w:t>
      </w:r>
      <w:r w:rsidR="007E4854">
        <w:rPr>
          <w:bCs/>
          <w:szCs w:val="18"/>
          <w:lang w:val="en-US"/>
        </w:rPr>
        <w:t>which</w:t>
      </w:r>
      <w:r w:rsidR="00653488">
        <w:rPr>
          <w:bCs/>
          <w:szCs w:val="18"/>
          <w:lang w:val="en-US"/>
        </w:rPr>
        <w:t xml:space="preserve"> requires high workload in RAN2 and other WGs. Based on table 1, we think option 2 has more disadvantages than other options, and it was not fully discussed during SI phase. </w:t>
      </w:r>
      <w:r w:rsidR="007E4854">
        <w:rPr>
          <w:bCs/>
          <w:szCs w:val="18"/>
          <w:lang w:val="en-US"/>
        </w:rPr>
        <w:t>O</w:t>
      </w:r>
      <w:r w:rsidR="00653488">
        <w:rPr>
          <w:bCs/>
          <w:szCs w:val="18"/>
          <w:lang w:val="en-US"/>
        </w:rPr>
        <w:t>n the other hand, we are also open to see if option 2 can be simple enough</w:t>
      </w:r>
      <w:r w:rsidR="0070026A">
        <w:rPr>
          <w:bCs/>
          <w:szCs w:val="18"/>
          <w:lang w:val="en-US"/>
        </w:rPr>
        <w:t xml:space="preserve"> or not</w:t>
      </w:r>
      <w:r w:rsidR="00653488">
        <w:rPr>
          <w:bCs/>
          <w:szCs w:val="18"/>
          <w:lang w:val="en-US"/>
        </w:rPr>
        <w:t xml:space="preserve"> (e.g. </w:t>
      </w:r>
      <w:r w:rsidR="006D63E8">
        <w:rPr>
          <w:bCs/>
          <w:szCs w:val="18"/>
          <w:lang w:val="en-US"/>
        </w:rPr>
        <w:t xml:space="preserve">with very limited </w:t>
      </w:r>
      <w:r w:rsidR="00653488">
        <w:rPr>
          <w:bCs/>
          <w:szCs w:val="18"/>
          <w:lang w:val="en-US"/>
        </w:rPr>
        <w:t>RAN2 impacts</w:t>
      </w:r>
      <w:r w:rsidR="006D63E8">
        <w:rPr>
          <w:bCs/>
          <w:szCs w:val="18"/>
          <w:lang w:val="en-US"/>
        </w:rPr>
        <w:t xml:space="preserve"> and without requiring significant</w:t>
      </w:r>
      <w:r w:rsidR="00653488">
        <w:rPr>
          <w:bCs/>
          <w:szCs w:val="18"/>
          <w:lang w:val="en-US"/>
        </w:rPr>
        <w:t xml:space="preserve"> co-ordinations between RAN2 and other WGs).</w:t>
      </w:r>
    </w:p>
    <w:p w14:paraId="067673C0" w14:textId="45A67071" w:rsidR="001944CA" w:rsidRDefault="00D960C5" w:rsidP="00215396">
      <w:pPr>
        <w:spacing w:after="100" w:afterAutospacing="1"/>
        <w:rPr>
          <w:b/>
        </w:rPr>
      </w:pPr>
      <w:r>
        <w:rPr>
          <w:b/>
        </w:rPr>
        <w:t>Proposal 3</w:t>
      </w:r>
      <w:r w:rsidR="00215396">
        <w:rPr>
          <w:b/>
        </w:rPr>
        <w:t xml:space="preserve">: </w:t>
      </w:r>
      <w:r w:rsidR="00653488">
        <w:rPr>
          <w:b/>
        </w:rPr>
        <w:t xml:space="preserve">It is proposed RAN2 to adopt option 1,  i.e. </w:t>
      </w:r>
      <w:r w:rsidR="001944CA">
        <w:rPr>
          <w:b/>
        </w:rPr>
        <w:t>RAN2 assumes that “pause” and “resume” commands for a QoE configuration are forwarded by the UE to application layer. After receiving a “pause” indication from the UE, application layer will stop sending reports to RRC layer and only continue to do so after receiving “resume” indication from the UE. An LS to SA</w:t>
      </w:r>
      <w:r w:rsidR="00D87483">
        <w:rPr>
          <w:b/>
        </w:rPr>
        <w:t>4</w:t>
      </w:r>
      <w:r w:rsidR="001944CA">
        <w:rPr>
          <w:b/>
        </w:rPr>
        <w:t xml:space="preserve"> should be sent to confirm this understanding.</w:t>
      </w:r>
    </w:p>
    <w:p w14:paraId="4B02598D" w14:textId="77777777" w:rsidR="00A1337B" w:rsidRPr="009010AD" w:rsidRDefault="00A1337B" w:rsidP="00215396">
      <w:pPr>
        <w:spacing w:after="100" w:afterAutospacing="1"/>
        <w:rPr>
          <w:rFonts w:eastAsia="宋体"/>
          <w:b/>
          <w:lang w:val="en-US" w:eastAsia="zh-CN"/>
        </w:rPr>
      </w:pPr>
    </w:p>
    <w:p w14:paraId="75829312" w14:textId="1F35AEA5" w:rsidR="00C104C8" w:rsidRPr="00F424E7" w:rsidRDefault="00964620" w:rsidP="00964620">
      <w:pPr>
        <w:pStyle w:val="Heading3"/>
      </w:pPr>
      <w:r>
        <w:t>3</w:t>
      </w:r>
      <w:r w:rsidR="00E91464">
        <w:tab/>
      </w:r>
      <w:r w:rsidR="00D30C8A">
        <w:t xml:space="preserve">Resume </w:t>
      </w:r>
      <w:r w:rsidR="00D30C8A" w:rsidRPr="00F424E7">
        <w:t xml:space="preserve">upon </w:t>
      </w:r>
      <w:r w:rsidR="00D30C8A" w:rsidRPr="00F424E7">
        <w:rPr>
          <w:rFonts w:hint="eastAsia"/>
        </w:rPr>
        <w:t>transition</w:t>
      </w:r>
      <w:r w:rsidR="00D30C8A" w:rsidRPr="00F424E7">
        <w:t xml:space="preserve"> from RRC_INACTIVE</w:t>
      </w:r>
    </w:p>
    <w:p w14:paraId="11B8F8FA" w14:textId="488B7BC8" w:rsidR="00030923" w:rsidRPr="005E3B0A" w:rsidRDefault="00030923" w:rsidP="00030923">
      <w:r>
        <w:t>RAN2 agreed that t</w:t>
      </w:r>
      <w:r w:rsidRPr="00030923">
        <w:t>he UE Inactive AS context includes the U</w:t>
      </w:r>
      <w:r>
        <w:t xml:space="preserve">E AS configuration for the QoE, i.e. </w:t>
      </w:r>
      <w:r w:rsidRPr="00030923">
        <w:t>it is not re</w:t>
      </w:r>
      <w:r>
        <w:t>leased when UE goes to Inactive</w:t>
      </w:r>
      <w:r w:rsidRPr="00030923">
        <w:t>.</w:t>
      </w:r>
      <w:r>
        <w:t xml:space="preserve"> The goal is to avoid a necessity of resending the QoE configuration when the UE moves back to RRC Connected state. W</w:t>
      </w:r>
      <w:r w:rsidRPr="001944CA">
        <w:t>hen the connecti</w:t>
      </w:r>
      <w:r>
        <w:t>on is resumed in another gNB, the gNB</w:t>
      </w:r>
      <w:r w:rsidRPr="001944CA">
        <w:t xml:space="preserve"> will find out whether the UE is configured with QoE measurements based on the context it fetches from the anchor node. However, the new gNB may want to release the QoE measurement configuration, e.g. due to RAN overload or </w:t>
      </w:r>
      <w:r>
        <w:t xml:space="preserve">because some </w:t>
      </w:r>
      <w:r w:rsidR="00C42452">
        <w:t>configurations</w:t>
      </w:r>
      <w:r>
        <w:t xml:space="preserve"> may be invalid in the new gNB. </w:t>
      </w:r>
      <w:r w:rsidRPr="001944CA">
        <w:t xml:space="preserve">It should be then possible for the new gNB to decide whether to restore or release the QoE measurement configuration during RRC resume procedure. </w:t>
      </w:r>
      <w:r w:rsidRPr="005E3B0A">
        <w:t>To achieve that, a similar approach can be used as for DCCA enhancements where the network can decide whether the UE should keep it</w:t>
      </w:r>
      <w:r>
        <w:t>s</w:t>
      </w:r>
      <w:r w:rsidRPr="005E3B0A">
        <w:t xml:space="preserve"> SCells or SCG configuration when resuming the connection by using restoreMCG-SCells and restoreSCG parameters. Similarly, the gNB could include the flag in RRCResume message telling the UE whether the QoE measurements should be kept or released. </w:t>
      </w:r>
    </w:p>
    <w:p w14:paraId="003459E7" w14:textId="449B993B" w:rsidR="00030923" w:rsidRPr="005E3B0A" w:rsidRDefault="00D960C5" w:rsidP="00030923">
      <w:pPr>
        <w:spacing w:after="100" w:afterAutospacing="1"/>
        <w:rPr>
          <w:rFonts w:eastAsia="宋体"/>
          <w:b/>
          <w:lang w:val="en-US" w:eastAsia="zh-CN"/>
        </w:rPr>
      </w:pPr>
      <w:r>
        <w:rPr>
          <w:b/>
        </w:rPr>
        <w:t>Proposal 4</w:t>
      </w:r>
      <w:r w:rsidR="00030923">
        <w:rPr>
          <w:b/>
        </w:rPr>
        <w:t xml:space="preserve">: </w:t>
      </w:r>
      <w:r w:rsidR="00030923" w:rsidRPr="6655CCBB">
        <w:rPr>
          <w:b/>
        </w:rPr>
        <w:t>The target node can indicate whether the UE should restore or release its QoE configuration during RRC resume procedure</w:t>
      </w:r>
      <w:r w:rsidR="00030923" w:rsidRPr="6655CCBB">
        <w:rPr>
          <w:rFonts w:eastAsia="宋体"/>
          <w:b/>
          <w:lang w:val="en-US" w:eastAsia="zh-CN"/>
        </w:rPr>
        <w:t>.</w:t>
      </w:r>
    </w:p>
    <w:p w14:paraId="7A7EFDE7" w14:textId="3F763F23" w:rsidR="00AD088D" w:rsidRDefault="00030923" w:rsidP="00C104C8">
      <w:r>
        <w:t xml:space="preserve">Furthermore, it is important to note that QoE configurations may be handled differently for signalling based and for management based QoE activations. </w:t>
      </w:r>
      <w:r w:rsidR="00C104C8" w:rsidRPr="00126F41">
        <w:t xml:space="preserve">In LTE, </w:t>
      </w:r>
      <w:r w:rsidR="00AD088D">
        <w:t>the QoE measurement is activated by Trace function from the MDT framework.</w:t>
      </w:r>
    </w:p>
    <w:tbl>
      <w:tblPr>
        <w:tblStyle w:val="TableGrid"/>
        <w:tblW w:w="0" w:type="auto"/>
        <w:tblLook w:val="04A0" w:firstRow="1" w:lastRow="0" w:firstColumn="1" w:lastColumn="0" w:noHBand="0" w:noVBand="1"/>
      </w:tblPr>
      <w:tblGrid>
        <w:gridCol w:w="9628"/>
      </w:tblGrid>
      <w:tr w:rsidR="00AD088D" w14:paraId="6EC0ECA0" w14:textId="77777777" w:rsidTr="00AD088D">
        <w:tc>
          <w:tcPr>
            <w:tcW w:w="9628" w:type="dxa"/>
          </w:tcPr>
          <w:p w14:paraId="12AB2BCA" w14:textId="77777777" w:rsidR="00AD088D" w:rsidRPr="00AD088D" w:rsidRDefault="00AD088D" w:rsidP="00AD088D">
            <w:pPr>
              <w:keepNext/>
              <w:keepLines/>
              <w:spacing w:before="180"/>
              <w:ind w:left="1134" w:hanging="1134"/>
              <w:outlineLvl w:val="1"/>
              <w:rPr>
                <w:rFonts w:ascii="Arial" w:hAnsi="Arial"/>
                <w:sz w:val="32"/>
                <w:lang w:eastAsia="ja-JP"/>
              </w:rPr>
            </w:pPr>
            <w:bookmarkStart w:id="4" w:name="_Toc20403379"/>
            <w:bookmarkStart w:id="5" w:name="_Toc29372885"/>
            <w:bookmarkStart w:id="6" w:name="_Toc37760849"/>
            <w:bookmarkStart w:id="7" w:name="_Toc46499089"/>
            <w:bookmarkStart w:id="8" w:name="_Toc52491402"/>
            <w:r w:rsidRPr="00AD088D">
              <w:rPr>
                <w:rFonts w:ascii="Arial" w:hAnsi="Arial"/>
                <w:sz w:val="32"/>
                <w:lang w:eastAsia="ja-JP"/>
              </w:rPr>
              <w:t>23.16</w:t>
            </w:r>
            <w:r w:rsidRPr="00AD088D">
              <w:rPr>
                <w:rFonts w:ascii="Arial" w:hAnsi="Arial"/>
                <w:sz w:val="32"/>
                <w:lang w:eastAsia="ja-JP"/>
              </w:rPr>
              <w:tab/>
              <w:t>Application Layer Measurement Collection</w:t>
            </w:r>
            <w:bookmarkEnd w:id="4"/>
            <w:bookmarkEnd w:id="5"/>
            <w:bookmarkEnd w:id="6"/>
            <w:bookmarkEnd w:id="7"/>
            <w:bookmarkEnd w:id="8"/>
          </w:p>
          <w:p w14:paraId="56289AA1" w14:textId="794D071B" w:rsidR="00AD088D" w:rsidRPr="00AD088D" w:rsidRDefault="00AD088D" w:rsidP="00AD088D">
            <w:pPr>
              <w:jc w:val="both"/>
            </w:pPr>
            <w:r w:rsidRPr="00AD088D">
              <w:rPr>
                <w:lang w:eastAsia="ja-JP"/>
              </w:rPr>
              <w:t xml:space="preserve">This function enables collection of application layer measurements from the UE. The supported service types are QoE Measurement Collection for streaming services and QoE Measurement Collection for MTSI services. </w:t>
            </w:r>
            <w:r w:rsidRPr="00AD088D">
              <w:rPr>
                <w:shd w:val="clear" w:color="auto" w:fill="FFD966" w:themeFill="accent4" w:themeFillTint="99"/>
                <w:lang w:eastAsia="ja-JP"/>
              </w:rPr>
              <w:t>The feature is activated by Trace Function from the MDT framework (see clause 19.2.1.17 and TS 37.320 [43])</w:t>
            </w:r>
            <w:r w:rsidRPr="00AD088D">
              <w:rPr>
                <w:lang w:eastAsia="ja-JP"/>
              </w:rPr>
              <w:t>. Both signalling based and management based initiation cases are allowed. For the signalling based case, the Application Layer Measurement Collection is initiated towards a specific UE from CN nodes using the MDT mechanism as described in clause 5.1.3 of TS 37.320 [43]; for the management based case, the Application Layer Measurement Collection is initiated from OAM targeting an area (without targeting a specific UE).</w:t>
            </w:r>
          </w:p>
        </w:tc>
      </w:tr>
    </w:tbl>
    <w:p w14:paraId="7CB31E09" w14:textId="08D7486D" w:rsidR="001608B2" w:rsidRDefault="001608B2" w:rsidP="00C104C8">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FF722A">
        <w:rPr>
          <w:rFonts w:eastAsiaTheme="minorEastAsia"/>
          <w:lang w:eastAsia="zh-CN"/>
        </w:rPr>
        <w:t>section 5.1.2.3 of</w:t>
      </w:r>
      <w:r>
        <w:rPr>
          <w:rFonts w:eastAsiaTheme="minorEastAsia"/>
          <w:lang w:eastAsia="zh-CN"/>
        </w:rPr>
        <w:t xml:space="preserve"> 37.320, only the signalling</w:t>
      </w:r>
      <w:r w:rsidR="00FF722A">
        <w:rPr>
          <w:rFonts w:eastAsiaTheme="minorEastAsia"/>
          <w:lang w:eastAsia="zh-CN"/>
        </w:rPr>
        <w:t xml:space="preserve"> based MDT configuration will</w:t>
      </w:r>
      <w:r>
        <w:rPr>
          <w:rFonts w:eastAsiaTheme="minorEastAsia"/>
          <w:lang w:eastAsia="zh-CN"/>
        </w:rPr>
        <w:t xml:space="preserve"> propagate during handover.</w:t>
      </w:r>
    </w:p>
    <w:tbl>
      <w:tblPr>
        <w:tblStyle w:val="TableGrid"/>
        <w:tblW w:w="0" w:type="auto"/>
        <w:tblLook w:val="04A0" w:firstRow="1" w:lastRow="0" w:firstColumn="1" w:lastColumn="0" w:noHBand="0" w:noVBand="1"/>
      </w:tblPr>
      <w:tblGrid>
        <w:gridCol w:w="9628"/>
      </w:tblGrid>
      <w:tr w:rsidR="001608B2" w14:paraId="468B628C" w14:textId="77777777" w:rsidTr="001608B2">
        <w:tc>
          <w:tcPr>
            <w:tcW w:w="9628" w:type="dxa"/>
          </w:tcPr>
          <w:p w14:paraId="29B90F61" w14:textId="77777777" w:rsidR="001608B2" w:rsidRPr="001608B2" w:rsidRDefault="001608B2" w:rsidP="001608B2">
            <w:pPr>
              <w:rPr>
                <w:rFonts w:eastAsia="宋体"/>
                <w:lang w:eastAsia="ja-JP"/>
              </w:rPr>
            </w:pPr>
            <w:r w:rsidRPr="001608B2">
              <w:rPr>
                <w:rFonts w:eastAsia="宋体"/>
                <w:lang w:eastAsia="ja-JP"/>
              </w:rPr>
              <w:t>In addition, MDT configuration handling during handover depends on MDT initiation from OAM defined in clause 5.1.3:</w:t>
            </w:r>
          </w:p>
          <w:p w14:paraId="3B8FC3A5"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r>
            <w:r w:rsidRPr="001608B2">
              <w:rPr>
                <w:rFonts w:eastAsia="宋体"/>
                <w:shd w:val="clear" w:color="auto" w:fill="FFD966" w:themeFill="accent4" w:themeFillTint="99"/>
                <w:lang w:eastAsia="ja-JP"/>
              </w:rPr>
              <w:t>The MDT configuration configured by management based trace function will not propagate during handover</w:t>
            </w:r>
            <w:r w:rsidRPr="001608B2">
              <w:rPr>
                <w:rFonts w:eastAsia="宋体"/>
                <w:lang w:eastAsia="ja-JP"/>
              </w:rPr>
              <w:t>.</w:t>
            </w:r>
          </w:p>
          <w:p w14:paraId="15516EC1"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7012A579"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1662F81D" w14:textId="77777777" w:rsidR="001608B2" w:rsidRPr="001608B2" w:rsidRDefault="001608B2" w:rsidP="001608B2">
            <w:pPr>
              <w:ind w:left="568" w:hanging="284"/>
              <w:rPr>
                <w:rFonts w:eastAsia="宋体"/>
                <w:lang w:eastAsia="ja-JP"/>
              </w:rPr>
            </w:pPr>
            <w:r w:rsidRPr="001608B2">
              <w:rPr>
                <w:rFonts w:eastAsia="宋体"/>
                <w:lang w:eastAsia="ja-JP"/>
              </w:rPr>
              <w:t>-</w:t>
            </w:r>
            <w:r w:rsidRPr="001608B2">
              <w:rPr>
                <w:rFonts w:eastAsia="宋体"/>
                <w:lang w:eastAsia="ja-JP"/>
              </w:rPr>
              <w:tab/>
            </w:r>
            <w:r w:rsidRPr="001608B2">
              <w:rPr>
                <w:rFonts w:eastAsia="宋体"/>
                <w:shd w:val="clear" w:color="auto" w:fill="FFD966" w:themeFill="accent4" w:themeFillTint="99"/>
                <w:lang w:eastAsia="ja-JP"/>
              </w:rPr>
              <w:t>For NR, the MDT configuration received by signalling based trace messages for a specific UE will propagate during intra-PLMN handover,</w:t>
            </w:r>
            <w:r w:rsidRPr="001608B2">
              <w:rPr>
                <w:rFonts w:eastAsia="宋体"/>
                <w:lang w:eastAsia="ja-JP"/>
              </w:rPr>
              <w:t xml:space="preserve">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p>
          <w:p w14:paraId="3A9A2507" w14:textId="26154A47" w:rsidR="001608B2" w:rsidRPr="001608B2" w:rsidRDefault="001608B2" w:rsidP="001608B2">
            <w:pPr>
              <w:keepLines/>
              <w:ind w:left="1135" w:hanging="851"/>
              <w:rPr>
                <w:rFonts w:eastAsiaTheme="minorEastAsia"/>
                <w:lang w:eastAsia="zh-CN"/>
              </w:rPr>
            </w:pPr>
            <w:r w:rsidRPr="001608B2">
              <w:rPr>
                <w:rFonts w:eastAsia="宋体"/>
                <w:lang w:eastAsia="ja-JP"/>
              </w:rPr>
              <w:t>NOTE:</w:t>
            </w:r>
            <w:r w:rsidRPr="001608B2">
              <w:rPr>
                <w:rFonts w:eastAsia="宋体"/>
                <w:lang w:eastAsia="ja-JP"/>
              </w:rPr>
              <w:tab/>
              <w:t>In the case of SRNS relocation, MDT may be reactivated by the Core Network following a successful relocation.</w:t>
            </w:r>
          </w:p>
        </w:tc>
      </w:tr>
    </w:tbl>
    <w:p w14:paraId="1CB40FFF" w14:textId="3660F3C3" w:rsidR="00C104C8" w:rsidRDefault="001608B2" w:rsidP="00C42452">
      <w:pPr>
        <w:spacing w:before="240"/>
      </w:pPr>
      <w:r>
        <w:t xml:space="preserve">Therefore, in LTE, </w:t>
      </w:r>
      <w:r w:rsidR="00C104C8" w:rsidRPr="00126F41">
        <w:t xml:space="preserve">the source </w:t>
      </w:r>
      <w:r w:rsidR="00C104C8" w:rsidRPr="00FF083F">
        <w:t>eNB</w:t>
      </w:r>
      <w:r w:rsidR="00C104C8" w:rsidRPr="00126F41">
        <w:t xml:space="preserve"> only </w:t>
      </w:r>
      <w:r w:rsidR="00C104C8" w:rsidRPr="00A014FF">
        <w:t>explicit</w:t>
      </w:r>
      <w:r w:rsidR="00C104C8">
        <w:t xml:space="preserve">ly </w:t>
      </w:r>
      <w:r w:rsidR="00C104C8" w:rsidRPr="00126F41">
        <w:t xml:space="preserve">forwards the signalling based QoE configuration to the target </w:t>
      </w:r>
      <w:r w:rsidR="00C104C8" w:rsidRPr="00FF083F">
        <w:t>eNB</w:t>
      </w:r>
      <w:r w:rsidR="00C104C8">
        <w:t xml:space="preserve"> via the X2 interface</w:t>
      </w:r>
      <w:r w:rsidR="00C104C8" w:rsidRPr="00126F41">
        <w:t>.</w:t>
      </w:r>
      <w:r w:rsidR="00C104C8">
        <w:t xml:space="preserve"> </w:t>
      </w:r>
      <w:r w:rsidR="00FF722A">
        <w:t>On the other hand,</w:t>
      </w:r>
      <w:r>
        <w:t xml:space="preserve"> according to TS 36.331, t</w:t>
      </w:r>
      <w:r w:rsidR="00C104C8">
        <w:t xml:space="preserve">he source </w:t>
      </w:r>
      <w:r w:rsidR="00C104C8" w:rsidRPr="00FF083F">
        <w:t>eNB</w:t>
      </w:r>
      <w:r w:rsidR="00C104C8">
        <w:t xml:space="preserve"> also transfers the RRC configuration information</w:t>
      </w:r>
      <w:r w:rsidR="00C104C8" w:rsidRPr="00043928">
        <w:t xml:space="preserve"> </w:t>
      </w:r>
      <w:r w:rsidR="00C104C8">
        <w:t>as a container to the target</w:t>
      </w:r>
      <w:r w:rsidR="00C104C8" w:rsidRPr="00CD12AC">
        <w:t xml:space="preserve"> </w:t>
      </w:r>
      <w:r w:rsidR="00C104C8" w:rsidRPr="00FF083F">
        <w:t>eNB</w:t>
      </w:r>
      <w:r w:rsidR="00C104C8">
        <w:t xml:space="preserve"> for the </w:t>
      </w:r>
      <w:r w:rsidR="00C104C8" w:rsidRPr="00FF083F">
        <w:t>target eNB to determine the need to change the RRC configuration during the handover preparation phase</w:t>
      </w:r>
      <w:r w:rsidR="00C104C8">
        <w:t>. The RRC configuration information includes the QoE measurement configuration that has been sent to the UE</w:t>
      </w:r>
      <w:r w:rsidR="00D01288">
        <w:t xml:space="preserve"> in both </w:t>
      </w:r>
      <w:r>
        <w:t xml:space="preserve">signalling based QoE measurement </w:t>
      </w:r>
      <w:r w:rsidR="00D01288">
        <w:t xml:space="preserve">and </w:t>
      </w:r>
      <w:r>
        <w:t>management based QoE measurement</w:t>
      </w:r>
      <w:r w:rsidR="00C104C8">
        <w:t xml:space="preserve">. </w:t>
      </w:r>
    </w:p>
    <w:p w14:paraId="24CE71F0" w14:textId="2EE03F0A" w:rsidR="00D01288" w:rsidRPr="00D46E90" w:rsidRDefault="00C42452" w:rsidP="00D46E90">
      <w:pPr>
        <w:rPr>
          <w:b/>
        </w:rPr>
      </w:pPr>
      <w:r>
        <w:rPr>
          <w:b/>
        </w:rPr>
        <w:t xml:space="preserve">Observation </w:t>
      </w:r>
      <w:r w:rsidR="003E5CB7">
        <w:rPr>
          <w:b/>
        </w:rPr>
        <w:t>5</w:t>
      </w:r>
      <w:r w:rsidR="00D46E90" w:rsidRPr="00D46E90">
        <w:rPr>
          <w:b/>
        </w:rPr>
        <w:t xml:space="preserve">: </w:t>
      </w:r>
      <w:r w:rsidR="00D01288" w:rsidRPr="00D46E90">
        <w:rPr>
          <w:b/>
        </w:rPr>
        <w:t>In LTE, only the QoE configuration received by the signalling based QoE will propagate during handover</w:t>
      </w:r>
      <w:r w:rsidR="00B82EB1" w:rsidRPr="00D46E90">
        <w:rPr>
          <w:b/>
        </w:rPr>
        <w:t xml:space="preserve"> in the X</w:t>
      </w:r>
      <w:r w:rsidR="00B53655" w:rsidRPr="00D46E90">
        <w:rPr>
          <w:b/>
        </w:rPr>
        <w:t>2</w:t>
      </w:r>
      <w:r w:rsidR="00B82EB1" w:rsidRPr="00D46E90">
        <w:rPr>
          <w:b/>
        </w:rPr>
        <w:t>AP signalling</w:t>
      </w:r>
      <w:r w:rsidR="00D01288" w:rsidRPr="00D46E90">
        <w:rPr>
          <w:b/>
        </w:rPr>
        <w:t>. The RRC container in the handover request includes the QoE measurement configuration that has been sent to the UE in both signalling based QoE and management based QoE.</w:t>
      </w:r>
    </w:p>
    <w:p w14:paraId="42D65F96" w14:textId="17F5E8BE" w:rsidR="00C104C8" w:rsidRDefault="00C104C8" w:rsidP="00C104C8">
      <w:pPr>
        <w:rPr>
          <w:rFonts w:eastAsiaTheme="minorEastAsia"/>
          <w:lang w:eastAsia="zh-CN"/>
        </w:rPr>
      </w:pPr>
      <w:r>
        <w:t xml:space="preserve">For the </w:t>
      </w:r>
      <w:r w:rsidRPr="00126F41">
        <w:t>management based QoE measurement, considering a fact that the target</w:t>
      </w:r>
      <w:r w:rsidR="00FF722A">
        <w:t xml:space="preserve"> gNB</w:t>
      </w:r>
      <w:r w:rsidRPr="00126F41">
        <w:t xml:space="preserve"> may also have received </w:t>
      </w:r>
      <w:r w:rsidR="00FF722A">
        <w:t xml:space="preserve">a </w:t>
      </w:r>
      <w:r w:rsidRPr="00126F41">
        <w:t xml:space="preserve">management based QoE measurement </w:t>
      </w:r>
      <w:r w:rsidR="00FF722A">
        <w:t xml:space="preserve">request </w:t>
      </w:r>
      <w:r w:rsidRPr="00126F41">
        <w:t xml:space="preserve">from OAM, </w:t>
      </w:r>
      <w:r w:rsidR="00FF722A">
        <w:t xml:space="preserve">during UE handover </w:t>
      </w:r>
      <w:r w:rsidRPr="00126F41">
        <w:t xml:space="preserve">it is up to </w:t>
      </w:r>
      <w:r w:rsidR="00FF722A">
        <w:t xml:space="preserve">the </w:t>
      </w:r>
      <w:r w:rsidRPr="00126F41">
        <w:t xml:space="preserve">target </w:t>
      </w:r>
      <w:r w:rsidR="00FF722A">
        <w:t xml:space="preserve">node </w:t>
      </w:r>
      <w:r w:rsidRPr="00126F41">
        <w:t>to decide whether t</w:t>
      </w:r>
      <w:r w:rsidR="00FF722A">
        <w:t xml:space="preserve">o keep the UE’s current QOE configuration </w:t>
      </w:r>
      <w:r w:rsidRPr="00126F41">
        <w:t xml:space="preserve">or configure a new one based on </w:t>
      </w:r>
      <w:r w:rsidR="00FF722A">
        <w:t xml:space="preserve">target node’s </w:t>
      </w:r>
      <w:r w:rsidRPr="00126F41">
        <w:t>local configuration.</w:t>
      </w:r>
      <w:r w:rsidRPr="00126F41">
        <w:rPr>
          <w:rFonts w:eastAsiaTheme="minorEastAsia" w:hint="eastAsia"/>
          <w:lang w:eastAsia="zh-CN"/>
        </w:rPr>
        <w:t xml:space="preserve"> </w:t>
      </w:r>
      <w:r>
        <w:rPr>
          <w:rFonts w:eastAsiaTheme="minorEastAsia"/>
          <w:lang w:eastAsia="zh-CN"/>
        </w:rPr>
        <w:t xml:space="preserve">For example, the target </w:t>
      </w:r>
      <w:r w:rsidRPr="00FF083F">
        <w:t>eNB</w:t>
      </w:r>
      <w:r>
        <w:rPr>
          <w:rFonts w:eastAsiaTheme="minorEastAsia"/>
          <w:lang w:eastAsia="zh-CN"/>
        </w:rPr>
        <w:t xml:space="preserve"> can compare whether the QoE measurement configuration in the UE is</w:t>
      </w:r>
      <w:r w:rsidR="005071D2">
        <w:rPr>
          <w:rFonts w:eastAsiaTheme="minorEastAsia"/>
          <w:lang w:eastAsia="zh-CN"/>
        </w:rPr>
        <w:t xml:space="preserve"> the</w:t>
      </w:r>
      <w:r>
        <w:rPr>
          <w:rFonts w:eastAsiaTheme="minorEastAsia"/>
          <w:lang w:eastAsia="zh-CN"/>
        </w:rPr>
        <w:t xml:space="preserve"> same </w:t>
      </w:r>
      <w:r w:rsidR="005071D2">
        <w:rPr>
          <w:rFonts w:eastAsiaTheme="minorEastAsia"/>
          <w:lang w:eastAsia="zh-CN"/>
        </w:rPr>
        <w:t>as</w:t>
      </w:r>
      <w:r>
        <w:rPr>
          <w:rFonts w:eastAsiaTheme="minorEastAsia"/>
          <w:lang w:eastAsia="zh-CN"/>
        </w:rPr>
        <w:t xml:space="preserve"> the QoE measurement configuration received from the OAM. If they are different, the target </w:t>
      </w:r>
      <w:r w:rsidRPr="00FF083F">
        <w:t>eNB</w:t>
      </w:r>
      <w:r>
        <w:rPr>
          <w:rFonts w:eastAsiaTheme="minorEastAsia"/>
          <w:lang w:eastAsia="zh-CN"/>
        </w:rPr>
        <w:t xml:space="preserve"> can release the QoE measurement of the source </w:t>
      </w:r>
      <w:r w:rsidRPr="00FF083F">
        <w:t>eNB</w:t>
      </w:r>
      <w:r w:rsidR="00B43B81">
        <w:rPr>
          <w:rFonts w:eastAsiaTheme="minorEastAsia"/>
          <w:lang w:eastAsia="zh-CN"/>
        </w:rPr>
        <w:t xml:space="preserve"> and configure a</w:t>
      </w:r>
      <w:r>
        <w:rPr>
          <w:rFonts w:eastAsiaTheme="minorEastAsia"/>
          <w:lang w:eastAsia="zh-CN"/>
        </w:rPr>
        <w:t xml:space="preserve"> new </w:t>
      </w:r>
      <w:r w:rsidR="00B43B81">
        <w:rPr>
          <w:rFonts w:eastAsiaTheme="minorEastAsia"/>
          <w:lang w:eastAsia="zh-CN"/>
        </w:rPr>
        <w:t>one</w:t>
      </w:r>
      <w:r>
        <w:rPr>
          <w:rFonts w:eastAsiaTheme="minorEastAsia"/>
          <w:lang w:eastAsia="zh-CN"/>
        </w:rPr>
        <w:t xml:space="preserve">. If they are the same, the target </w:t>
      </w:r>
      <w:r w:rsidRPr="00FF083F">
        <w:t>eNB</w:t>
      </w:r>
      <w:r>
        <w:rPr>
          <w:rFonts w:eastAsiaTheme="minorEastAsia"/>
          <w:lang w:eastAsia="zh-CN"/>
        </w:rPr>
        <w:t xml:space="preserve"> can </w:t>
      </w:r>
      <w:r w:rsidR="00B43B81">
        <w:rPr>
          <w:rFonts w:eastAsiaTheme="minorEastAsia"/>
          <w:lang w:eastAsia="zh-CN"/>
        </w:rPr>
        <w:t xml:space="preserve">keep </w:t>
      </w:r>
      <w:r>
        <w:rPr>
          <w:rFonts w:eastAsiaTheme="minorEastAsia"/>
          <w:lang w:eastAsia="zh-CN"/>
        </w:rPr>
        <w:t xml:space="preserve">the original one. If the target </w:t>
      </w:r>
      <w:r w:rsidRPr="00FF083F">
        <w:t>eNB</w:t>
      </w:r>
      <w:r>
        <w:rPr>
          <w:rFonts w:eastAsiaTheme="minorEastAsia"/>
          <w:lang w:eastAsia="zh-CN"/>
        </w:rPr>
        <w:t xml:space="preserve"> does not receive the configuration from the OAM, it can release the QoE configuration. </w:t>
      </w:r>
    </w:p>
    <w:p w14:paraId="351DCEF1" w14:textId="12C55661" w:rsidR="00C104C8" w:rsidRDefault="003B59F1" w:rsidP="00C104C8">
      <w:pPr>
        <w:rPr>
          <w:rFonts w:eastAsiaTheme="minorEastAsia"/>
          <w:lang w:eastAsia="zh-CN"/>
        </w:rPr>
      </w:pPr>
      <w:r>
        <w:rPr>
          <w:rFonts w:eastAsiaTheme="minorEastAsia"/>
          <w:lang w:eastAsia="zh-CN"/>
        </w:rPr>
        <w:t>During SI phase of NR QoE work</w:t>
      </w:r>
      <w:r w:rsidR="00C104C8">
        <w:rPr>
          <w:rFonts w:eastAsiaTheme="minorEastAsia"/>
          <w:lang w:eastAsia="zh-CN"/>
        </w:rPr>
        <w:t xml:space="preserve">, RAN3 has agreed that </w:t>
      </w:r>
      <w:r w:rsidR="00C104C8" w:rsidRPr="00BB280A">
        <w:rPr>
          <w:rFonts w:eastAsiaTheme="minorEastAsia"/>
          <w:lang w:eastAsia="zh-CN"/>
        </w:rPr>
        <w:t xml:space="preserve">the </w:t>
      </w:r>
      <w:r w:rsidR="00C104C8">
        <w:rPr>
          <w:rFonts w:eastAsiaTheme="minorEastAsia"/>
          <w:lang w:eastAsia="zh-CN"/>
        </w:rPr>
        <w:t xml:space="preserve">signalling based </w:t>
      </w:r>
      <w:r w:rsidR="00C104C8" w:rsidRPr="00BB280A">
        <w:rPr>
          <w:rFonts w:eastAsiaTheme="minorEastAsia"/>
          <w:lang w:eastAsia="zh-CN"/>
        </w:rPr>
        <w:t>QoE measurement configuration transfer</w:t>
      </w:r>
      <w:r w:rsidR="00C104C8">
        <w:rPr>
          <w:rFonts w:eastAsiaTheme="minorEastAsia"/>
          <w:lang w:eastAsia="zh-CN"/>
        </w:rPr>
        <w:t xml:space="preserve"> </w:t>
      </w:r>
      <w:r w:rsidR="00C104C8" w:rsidRPr="00BB280A">
        <w:rPr>
          <w:rFonts w:eastAsiaTheme="minorEastAsia"/>
          <w:lang w:eastAsia="zh-CN"/>
        </w:rPr>
        <w:t>is supported on the Xn and NG interfaces</w:t>
      </w:r>
      <w:r w:rsidR="00C104C8">
        <w:rPr>
          <w:rFonts w:eastAsiaTheme="minorEastAsia"/>
          <w:lang w:eastAsia="zh-CN"/>
        </w:rPr>
        <w:t>. The transfer of management based QoE measurement configuration is still FFS.</w:t>
      </w:r>
    </w:p>
    <w:tbl>
      <w:tblPr>
        <w:tblStyle w:val="TableGrid"/>
        <w:tblW w:w="0" w:type="auto"/>
        <w:tblLook w:val="04A0" w:firstRow="1" w:lastRow="0" w:firstColumn="1" w:lastColumn="0" w:noHBand="0" w:noVBand="1"/>
      </w:tblPr>
      <w:tblGrid>
        <w:gridCol w:w="9628"/>
      </w:tblGrid>
      <w:tr w:rsidR="00C104C8" w14:paraId="3827752D" w14:textId="77777777" w:rsidTr="00D01288">
        <w:tc>
          <w:tcPr>
            <w:tcW w:w="9628" w:type="dxa"/>
          </w:tcPr>
          <w:p w14:paraId="5398B809" w14:textId="77777777" w:rsidR="00C104C8" w:rsidRPr="009721B1" w:rsidRDefault="00C104C8" w:rsidP="00D01288">
            <w:pPr>
              <w:pStyle w:val="Heading2"/>
              <w:ind w:left="0" w:firstLine="0"/>
            </w:pPr>
            <w:bookmarkStart w:id="9" w:name="_Toc63597213"/>
            <w:bookmarkStart w:id="10" w:name="_Toc63666547"/>
            <w:bookmarkStart w:id="11" w:name="_Toc63698358"/>
            <w:bookmarkStart w:id="12" w:name="_Toc63722793"/>
            <w:bookmarkStart w:id="13" w:name="_Toc63723238"/>
            <w:r w:rsidRPr="009721B1">
              <w:t>6.</w:t>
            </w:r>
            <w:r>
              <w:rPr>
                <w:rFonts w:hint="eastAsia"/>
                <w:lang w:eastAsia="zh-CN"/>
              </w:rPr>
              <w:t>6</w:t>
            </w:r>
            <w:r w:rsidRPr="009721B1">
              <w:t xml:space="preserve"> </w:t>
            </w:r>
            <w:r>
              <w:rPr>
                <w:rFonts w:hint="eastAsia"/>
                <w:lang w:eastAsia="zh-CN"/>
              </w:rPr>
              <w:tab/>
            </w:r>
            <w:r>
              <w:t>Support for Mobility</w:t>
            </w:r>
            <w:bookmarkEnd w:id="9"/>
            <w:bookmarkEnd w:id="10"/>
            <w:bookmarkEnd w:id="11"/>
            <w:bookmarkEnd w:id="12"/>
            <w:bookmarkEnd w:id="13"/>
            <w:r w:rsidRPr="009721B1">
              <w:t xml:space="preserve"> </w:t>
            </w:r>
          </w:p>
          <w:p w14:paraId="24D90BDC" w14:textId="77777777" w:rsidR="00C104C8" w:rsidRPr="001944CA" w:rsidRDefault="00C104C8" w:rsidP="00D01288">
            <w:pPr>
              <w:rPr>
                <w:lang w:eastAsia="zh-CN"/>
              </w:rPr>
            </w:pPr>
            <w:r w:rsidRPr="001944CA">
              <w:t>Seamless mobility is a key functionality in NR and its impacts should be measurable at the application layer. To enable measuring the impact of the mobility on the application and users’ QoE, it is required to support QoE measurement</w:t>
            </w:r>
            <w:r w:rsidRPr="001944CA">
              <w:rPr>
                <w:lang w:eastAsia="zh-CN"/>
              </w:rPr>
              <w:t xml:space="preserve"> </w:t>
            </w:r>
            <w:r w:rsidRPr="001944CA">
              <w:t>reporting continuity in intra-system intra-RAT intra-node and inter-node mobility scenarios</w:t>
            </w:r>
            <w:r w:rsidRPr="001944CA">
              <w:rPr>
                <w:lang w:eastAsia="zh-CN"/>
              </w:rPr>
              <w:t>:</w:t>
            </w:r>
            <w:r w:rsidRPr="001944CA">
              <w:t xml:space="preserve"> for intra-node mobility for both management-based and signalling-based QoE. </w:t>
            </w:r>
            <w:r w:rsidRPr="001944CA">
              <w:rPr>
                <w:shd w:val="clear" w:color="auto" w:fill="FFD966" w:themeFill="accent4" w:themeFillTint="99"/>
              </w:rPr>
              <w:t>At least signalling-based QoE supports this also in case of inter-node mobility</w:t>
            </w:r>
            <w:r w:rsidRPr="001944CA">
              <w:rPr>
                <w:shd w:val="clear" w:color="auto" w:fill="FFD966" w:themeFill="accent4" w:themeFillTint="99"/>
                <w:lang w:eastAsia="zh-CN"/>
              </w:rPr>
              <w:t>.</w:t>
            </w:r>
            <w:r w:rsidRPr="001944CA">
              <w:rPr>
                <w:lang w:eastAsia="zh-CN"/>
              </w:rPr>
              <w:t xml:space="preserve"> S</w:t>
            </w:r>
            <w:r w:rsidRPr="001944CA">
              <w:t>upport for management-based QoE</w:t>
            </w:r>
            <w:r w:rsidRPr="001944CA">
              <w:rPr>
                <w:lang w:eastAsia="zh-CN"/>
              </w:rPr>
              <w:t xml:space="preserve"> will </w:t>
            </w:r>
            <w:r>
              <w:rPr>
                <w:lang w:val="en-US" w:eastAsia="zh-CN"/>
              </w:rPr>
              <w:t>be discussed in normative phase</w:t>
            </w:r>
            <w:r w:rsidRPr="001944CA">
              <w:t>, with respect to the "Requirements from SA WGs" below.</w:t>
            </w:r>
          </w:p>
          <w:p w14:paraId="35A8C18D" w14:textId="77777777" w:rsidR="00C104C8" w:rsidRDefault="00C104C8" w:rsidP="00D01288">
            <w:pPr>
              <w:rPr>
                <w:szCs w:val="18"/>
              </w:rPr>
            </w:pPr>
            <w:r w:rsidRPr="001944CA">
              <w:t xml:space="preserve">In LTE, to support the QoE measurement in mobility scenarios, the QoE configuration is forwarded from the source eNB to the target eNB inside the </w:t>
            </w:r>
            <w:r w:rsidRPr="001944CA">
              <w:rPr>
                <w:i/>
              </w:rPr>
              <w:t>Trace Activation</w:t>
            </w:r>
            <w:r w:rsidRPr="001944CA">
              <w:t xml:space="preserve"> IE over the X2 interface. The same IE is sent over the S1 interfaces for mobility scenarios when the X2 interface is not established between the source and the target. </w:t>
            </w:r>
          </w:p>
          <w:p w14:paraId="261614C4" w14:textId="77777777" w:rsidR="00C104C8" w:rsidRPr="007069F1" w:rsidRDefault="00C104C8" w:rsidP="00D01288">
            <w:pPr>
              <w:rPr>
                <w:rFonts w:eastAsiaTheme="minorEastAsia"/>
                <w:lang w:eastAsia="zh-CN"/>
              </w:rPr>
            </w:pPr>
            <w:r w:rsidRPr="005702FC">
              <w:rPr>
                <w:shd w:val="clear" w:color="auto" w:fill="FFD966" w:themeFill="accent4" w:themeFillTint="99"/>
              </w:rPr>
              <w:t>In NR, to support mobility for QoE measurements in RRC</w:t>
            </w:r>
            <w:r w:rsidRPr="005702FC">
              <w:rPr>
                <w:shd w:val="clear" w:color="auto" w:fill="FFD966" w:themeFill="accent4" w:themeFillTint="99"/>
                <w:lang w:eastAsia="zh-CN"/>
              </w:rPr>
              <w:t>_</w:t>
            </w:r>
            <w:r w:rsidRPr="005702FC">
              <w:rPr>
                <w:shd w:val="clear" w:color="auto" w:fill="FFD966" w:themeFill="accent4" w:themeFillTint="99"/>
              </w:rPr>
              <w:t>CONNECTED state, the QoE measurement configuration transfer is supported on the Xn and NG interfa</w:t>
            </w:r>
            <w:r w:rsidRPr="000E052B">
              <w:rPr>
                <w:shd w:val="clear" w:color="auto" w:fill="FFD966" w:themeFill="accent4" w:themeFillTint="99"/>
              </w:rPr>
              <w:t xml:space="preserve">ces, inside the </w:t>
            </w:r>
            <w:r w:rsidRPr="000E052B">
              <w:rPr>
                <w:i/>
                <w:shd w:val="clear" w:color="auto" w:fill="FFD966" w:themeFill="accent4" w:themeFillTint="99"/>
              </w:rPr>
              <w:t>Trace Activation</w:t>
            </w:r>
            <w:r w:rsidRPr="000E052B">
              <w:rPr>
                <w:shd w:val="clear" w:color="auto" w:fill="FFD966" w:themeFill="accent4" w:themeFillTint="99"/>
              </w:rPr>
              <w:t xml:space="preserve"> IE</w:t>
            </w:r>
            <w:r w:rsidRPr="000E052B">
              <w:rPr>
                <w:shd w:val="clear" w:color="auto" w:fill="FFD966" w:themeFill="accent4" w:themeFillTint="99"/>
                <w:lang w:eastAsia="zh-CN"/>
              </w:rPr>
              <w:t xml:space="preserve"> </w:t>
            </w:r>
            <w:r w:rsidRPr="000E052B">
              <w:rPr>
                <w:shd w:val="clear" w:color="auto" w:fill="FFD966" w:themeFill="accent4" w:themeFillTint="99"/>
              </w:rPr>
              <w:t xml:space="preserve">as a part of </w:t>
            </w:r>
            <w:r w:rsidRPr="000E052B">
              <w:rPr>
                <w:i/>
                <w:shd w:val="clear" w:color="auto" w:fill="FFD966" w:themeFill="accent4" w:themeFillTint="99"/>
              </w:rPr>
              <w:t xml:space="preserve">UE Application Layer Measurement Configuration IE </w:t>
            </w:r>
            <w:r w:rsidRPr="000E052B">
              <w:rPr>
                <w:shd w:val="clear" w:color="auto" w:fill="FFD966" w:themeFill="accent4" w:themeFillTint="99"/>
              </w:rPr>
              <w:t>that may contain multiple QoE configurations for multiple service types</w:t>
            </w:r>
            <w:r w:rsidRPr="005071D2">
              <w:t>.</w:t>
            </w:r>
            <w:r w:rsidRPr="001944CA">
              <w:t xml:space="preserve"> QoE measurements in RRC</w:t>
            </w:r>
            <w:r w:rsidRPr="001944CA">
              <w:rPr>
                <w:lang w:eastAsia="zh-CN"/>
              </w:rPr>
              <w:t>_</w:t>
            </w:r>
            <w:r w:rsidRPr="001944CA">
              <w:t>IDLE and RRC</w:t>
            </w:r>
            <w:r w:rsidRPr="001944CA">
              <w:rPr>
                <w:lang w:eastAsia="zh-CN"/>
              </w:rPr>
              <w:t>_</w:t>
            </w:r>
            <w:r w:rsidRPr="001944CA">
              <w:t>INACTIVE state can be supported for MBS.</w:t>
            </w:r>
            <w:r w:rsidRPr="005702FC">
              <w:t xml:space="preserve"> </w:t>
            </w:r>
            <w:r w:rsidRPr="00C62667">
              <w:t>To support keeping QoE measurement configuration in RRC_INACTIVE state mobility, QoE measurement configuration for a UE can be fetched from the node hosting the UE Context.</w:t>
            </w:r>
            <w:r w:rsidRPr="001944CA">
              <w:t xml:space="preserve"> </w:t>
            </w:r>
            <w:r w:rsidRPr="00C62667">
              <w:t>Whether UE stores its QoE configuration when going to RRC_INACTIVE state for potential use when the UE moves back to RRC_CONNECTED state will be decided in technical specification of the procedures.</w:t>
            </w:r>
          </w:p>
        </w:tc>
      </w:tr>
    </w:tbl>
    <w:p w14:paraId="5CC70E3F" w14:textId="16BF8C04" w:rsidR="00C104C8" w:rsidRDefault="00C104C8" w:rsidP="00C104C8">
      <w:pPr>
        <w:rPr>
          <w:rFonts w:eastAsiaTheme="minorEastAsia"/>
          <w:lang w:eastAsia="zh-CN"/>
        </w:rPr>
      </w:pPr>
      <w:r>
        <w:rPr>
          <w:rFonts w:eastAsiaTheme="minorEastAsia"/>
          <w:lang w:eastAsia="zh-CN"/>
        </w:rPr>
        <w:t>In our understanding, the management based QoE measurement targets the UEs in a specified area</w:t>
      </w:r>
      <w:r w:rsidR="003B59F1">
        <w:rPr>
          <w:rFonts w:eastAsiaTheme="minorEastAsia"/>
          <w:lang w:eastAsia="zh-CN"/>
        </w:rPr>
        <w:t xml:space="preserve"> and</w:t>
      </w:r>
      <w:r>
        <w:rPr>
          <w:rFonts w:eastAsiaTheme="minorEastAsia"/>
          <w:lang w:eastAsia="zh-CN"/>
        </w:rPr>
        <w:t xml:space="preserve"> RAN should configure the management based QoE measurement according to the configuration received from the OAM. Therefore</w:t>
      </w:r>
      <w:r w:rsidR="003B59F1">
        <w:rPr>
          <w:rFonts w:eastAsiaTheme="minorEastAsia"/>
          <w:lang w:eastAsia="zh-CN"/>
        </w:rPr>
        <w:t>,</w:t>
      </w:r>
      <w:r>
        <w:rPr>
          <w:rFonts w:eastAsiaTheme="minorEastAsia"/>
          <w:lang w:eastAsia="zh-CN"/>
        </w:rPr>
        <w:t xml:space="preserve"> </w:t>
      </w:r>
      <w:r w:rsidR="003B59F1">
        <w:rPr>
          <w:rFonts w:eastAsiaTheme="minorEastAsia"/>
          <w:lang w:eastAsia="zh-CN"/>
        </w:rPr>
        <w:t>a</w:t>
      </w:r>
      <w:r>
        <w:rPr>
          <w:rFonts w:eastAsiaTheme="minorEastAsia"/>
          <w:lang w:eastAsia="zh-CN"/>
        </w:rPr>
        <w:t xml:space="preserve">like the principle in LTE, the source RAN does not need to forward the management based QoE measurement configuration to the target RAN </w:t>
      </w:r>
      <w:r w:rsidRPr="00D106DC">
        <w:rPr>
          <w:rFonts w:eastAsiaTheme="minorEastAsia"/>
          <w:lang w:eastAsia="zh-CN"/>
        </w:rPr>
        <w:t>in the Trace Activation IEs</w:t>
      </w:r>
      <w:r>
        <w:rPr>
          <w:rFonts w:eastAsiaTheme="minorEastAsia"/>
          <w:lang w:eastAsia="zh-CN"/>
        </w:rPr>
        <w:t xml:space="preserve">. </w:t>
      </w:r>
      <w:r w:rsidRPr="00043928">
        <w:rPr>
          <w:rFonts w:eastAsiaTheme="minorEastAsia"/>
          <w:lang w:eastAsia="zh-CN"/>
        </w:rPr>
        <w:t>The target node decides whether to continue/release the original one or configure a new one based on its local configuration</w:t>
      </w:r>
      <w:r>
        <w:rPr>
          <w:rFonts w:eastAsiaTheme="minorEastAsia"/>
          <w:lang w:eastAsia="zh-CN"/>
        </w:rPr>
        <w:t xml:space="preserve"> and the RRC configuration received from the source node.</w:t>
      </w:r>
    </w:p>
    <w:p w14:paraId="0F143E0C" w14:textId="1A2BEF88" w:rsidR="000E052B" w:rsidRPr="00D46E90" w:rsidRDefault="00C42452" w:rsidP="00D46E90">
      <w:pPr>
        <w:rPr>
          <w:rFonts w:eastAsiaTheme="minorEastAsia"/>
          <w:b/>
          <w:lang w:eastAsia="zh-CN"/>
        </w:rPr>
      </w:pPr>
      <w:r>
        <w:rPr>
          <w:b/>
        </w:rPr>
        <w:t xml:space="preserve">Observation </w:t>
      </w:r>
      <w:r w:rsidR="003E5CB7">
        <w:rPr>
          <w:b/>
        </w:rPr>
        <w:t>6</w:t>
      </w:r>
      <w:r w:rsidR="00D46E90" w:rsidRPr="00D46E90">
        <w:rPr>
          <w:b/>
        </w:rPr>
        <w:t xml:space="preserve">: </w:t>
      </w:r>
      <w:r w:rsidR="00C62667" w:rsidRPr="00D46E90">
        <w:rPr>
          <w:b/>
        </w:rPr>
        <w:t>Based on TR 38.890</w:t>
      </w:r>
      <w:r w:rsidR="005702FC" w:rsidRPr="00D46E90">
        <w:rPr>
          <w:b/>
        </w:rPr>
        <w:t xml:space="preserve">, </w:t>
      </w:r>
      <w:r w:rsidR="00E7551B" w:rsidRPr="00D46E90">
        <w:rPr>
          <w:b/>
        </w:rPr>
        <w:t xml:space="preserve">it is likely </w:t>
      </w:r>
      <w:r w:rsidR="005702FC" w:rsidRPr="00D46E90">
        <w:rPr>
          <w:b/>
        </w:rPr>
        <w:t xml:space="preserve">the </w:t>
      </w:r>
      <w:r w:rsidR="00C62667" w:rsidRPr="00D46E90">
        <w:rPr>
          <w:b/>
        </w:rPr>
        <w:t xml:space="preserve">NR </w:t>
      </w:r>
      <w:r w:rsidR="005702FC" w:rsidRPr="00D46E90">
        <w:rPr>
          <w:b/>
        </w:rPr>
        <w:t>QoE configuration hand</w:t>
      </w:r>
      <w:r w:rsidR="00E7551B" w:rsidRPr="00D46E90">
        <w:rPr>
          <w:b/>
        </w:rPr>
        <w:t>l</w:t>
      </w:r>
      <w:r w:rsidR="005702FC" w:rsidRPr="00D46E90">
        <w:rPr>
          <w:b/>
        </w:rPr>
        <w:t xml:space="preserve">ing during </w:t>
      </w:r>
      <w:r w:rsidR="003B59F1" w:rsidRPr="00D46E90">
        <w:rPr>
          <w:b/>
        </w:rPr>
        <w:t>UE mobility</w:t>
      </w:r>
      <w:r w:rsidR="005702FC" w:rsidRPr="00D46E90">
        <w:rPr>
          <w:b/>
        </w:rPr>
        <w:t xml:space="preserve"> </w:t>
      </w:r>
      <w:r w:rsidR="00E7551B" w:rsidRPr="00D46E90">
        <w:rPr>
          <w:b/>
        </w:rPr>
        <w:t xml:space="preserve">will </w:t>
      </w:r>
      <w:r w:rsidR="005702FC" w:rsidRPr="00D46E90">
        <w:rPr>
          <w:b/>
        </w:rPr>
        <w:t xml:space="preserve">be the same </w:t>
      </w:r>
      <w:r w:rsidR="00E7551B" w:rsidRPr="00D46E90">
        <w:rPr>
          <w:b/>
        </w:rPr>
        <w:t>as in</w:t>
      </w:r>
      <w:r w:rsidR="005702FC" w:rsidRPr="00D46E90">
        <w:rPr>
          <w:b/>
        </w:rPr>
        <w:t xml:space="preserve"> LTE</w:t>
      </w:r>
      <w:r w:rsidR="00E7551B" w:rsidRPr="00D46E90">
        <w:rPr>
          <w:b/>
        </w:rPr>
        <w:t xml:space="preserve"> (for signalling-based vs. management-based activation)</w:t>
      </w:r>
      <w:r w:rsidR="005702FC" w:rsidRPr="00D46E90">
        <w:rPr>
          <w:b/>
        </w:rPr>
        <w:t>.</w:t>
      </w:r>
    </w:p>
    <w:p w14:paraId="4A8493D0" w14:textId="31A9B8D0" w:rsidR="0014053D" w:rsidRDefault="00735FD9" w:rsidP="00745FAB">
      <w:pPr>
        <w:overflowPunct/>
        <w:autoSpaceDE/>
        <w:autoSpaceDN/>
        <w:adjustRightInd/>
        <w:textAlignment w:val="auto"/>
        <w:rPr>
          <w:rFonts w:eastAsia="宋体"/>
          <w:lang w:eastAsia="zh-CN"/>
        </w:rPr>
      </w:pPr>
      <w:r>
        <w:rPr>
          <w:rFonts w:eastAsia="宋体"/>
          <w:lang w:eastAsia="zh-CN"/>
        </w:rPr>
        <w:t>Based on the above, f</w:t>
      </w:r>
      <w:r w:rsidR="0014053D">
        <w:rPr>
          <w:rFonts w:eastAsia="宋体"/>
          <w:lang w:eastAsia="zh-CN"/>
        </w:rPr>
        <w:t>or signalling-based activation, we assume that the QoE configuration will be forwarded from the source/anchor gNB to the target gNB within Xn signalling, in the same way as for connected mode mobility. That way the target gNB can verify whether the configuration should be kept or released. For management based activation on the other hand, if the target gNB receive</w:t>
      </w:r>
      <w:r w:rsidR="00254EA9">
        <w:rPr>
          <w:rFonts w:eastAsia="宋体"/>
          <w:lang w:eastAsia="zh-CN"/>
        </w:rPr>
        <w:t>s</w:t>
      </w:r>
      <w:r w:rsidR="0014053D">
        <w:rPr>
          <w:rFonts w:eastAsia="宋体"/>
          <w:lang w:eastAsia="zh-CN"/>
        </w:rPr>
        <w:t xml:space="preserve"> the </w:t>
      </w:r>
      <w:r w:rsidR="00254EA9">
        <w:rPr>
          <w:rFonts w:eastAsia="宋体"/>
          <w:lang w:eastAsia="zh-CN"/>
        </w:rPr>
        <w:t xml:space="preserve">QoE measurement </w:t>
      </w:r>
      <w:r w:rsidR="0014053D">
        <w:rPr>
          <w:rFonts w:eastAsia="宋体"/>
          <w:lang w:eastAsia="zh-CN"/>
        </w:rPr>
        <w:t>con</w:t>
      </w:r>
      <w:r w:rsidR="00901D04">
        <w:rPr>
          <w:rFonts w:eastAsia="宋体"/>
          <w:lang w:eastAsia="zh-CN"/>
        </w:rPr>
        <w:t>figuration directly from OAM,</w:t>
      </w:r>
      <w:r w:rsidR="0014053D">
        <w:rPr>
          <w:rFonts w:eastAsia="宋体"/>
          <w:lang w:eastAsia="zh-CN"/>
        </w:rPr>
        <w:t xml:space="preserve"> it can verify whether </w:t>
      </w:r>
      <w:r w:rsidR="00901D04">
        <w:rPr>
          <w:rFonts w:eastAsia="宋体"/>
          <w:lang w:eastAsia="zh-CN"/>
        </w:rPr>
        <w:t xml:space="preserve">the </w:t>
      </w:r>
      <w:r w:rsidR="0014053D">
        <w:rPr>
          <w:rFonts w:eastAsia="宋体"/>
          <w:lang w:eastAsia="zh-CN"/>
        </w:rPr>
        <w:t xml:space="preserve">UE is configured with the needed QoE configuration already by comparing the transparent containers from OAM and within the UEs current RRC configuration. </w:t>
      </w:r>
    </w:p>
    <w:p w14:paraId="4C0ACBC2" w14:textId="11C8C14D" w:rsidR="00745FAB" w:rsidRPr="009729FC" w:rsidRDefault="009729FC" w:rsidP="009010AD">
      <w:pPr>
        <w:overflowPunct/>
        <w:autoSpaceDE/>
        <w:autoSpaceDN/>
        <w:adjustRightInd/>
        <w:textAlignment w:val="auto"/>
        <w:rPr>
          <w:rFonts w:eastAsia="宋体"/>
          <w:b/>
          <w:lang w:val="en-US" w:eastAsia="zh-CN"/>
        </w:rPr>
      </w:pPr>
      <w:r w:rsidRPr="009729FC">
        <w:rPr>
          <w:rFonts w:eastAsia="宋体"/>
          <w:b/>
          <w:lang w:eastAsia="zh-CN"/>
        </w:rPr>
        <w:t xml:space="preserve">Proposal </w:t>
      </w:r>
      <w:r w:rsidR="00D960C5">
        <w:rPr>
          <w:rFonts w:eastAsia="宋体"/>
          <w:b/>
          <w:lang w:eastAsia="zh-CN"/>
        </w:rPr>
        <w:t>5</w:t>
      </w:r>
      <w:r w:rsidRPr="009729FC">
        <w:rPr>
          <w:rFonts w:eastAsia="宋体"/>
          <w:b/>
          <w:lang w:eastAsia="zh-CN"/>
        </w:rPr>
        <w:t>:</w:t>
      </w:r>
      <w:r w:rsidR="00745FAB" w:rsidRPr="009729FC">
        <w:rPr>
          <w:rFonts w:eastAsia="宋体"/>
          <w:b/>
          <w:lang w:eastAsia="zh-CN"/>
        </w:rPr>
        <w:t xml:space="preserve"> Inform RAN3 that </w:t>
      </w:r>
      <w:r w:rsidR="0014053D" w:rsidRPr="009729FC">
        <w:rPr>
          <w:rFonts w:eastAsia="宋体"/>
          <w:b/>
          <w:lang w:eastAsia="zh-CN"/>
        </w:rPr>
        <w:t xml:space="preserve">for signalling-based QoE activation, </w:t>
      </w:r>
      <w:r w:rsidR="00901D04" w:rsidRPr="009729FC">
        <w:rPr>
          <w:rFonts w:eastAsia="宋体"/>
          <w:b/>
          <w:lang w:eastAsia="zh-CN"/>
        </w:rPr>
        <w:t>in order to support QoE configuration preservation when the UE transit</w:t>
      </w:r>
      <w:r w:rsidR="00A10DA7" w:rsidRPr="009729FC">
        <w:rPr>
          <w:rFonts w:eastAsia="宋体"/>
          <w:b/>
          <w:lang w:eastAsia="zh-CN"/>
        </w:rPr>
        <w:t>s</w:t>
      </w:r>
      <w:r w:rsidR="00901D04" w:rsidRPr="009729FC">
        <w:rPr>
          <w:rFonts w:eastAsia="宋体"/>
          <w:b/>
          <w:lang w:eastAsia="zh-CN"/>
        </w:rPr>
        <w:t xml:space="preserve"> to RRC_INACTIVE state, </w:t>
      </w:r>
      <w:r w:rsidR="0014053D" w:rsidRPr="009729FC">
        <w:rPr>
          <w:rFonts w:eastAsia="宋体"/>
          <w:b/>
          <w:lang w:eastAsia="zh-CN"/>
        </w:rPr>
        <w:t xml:space="preserve">the </w:t>
      </w:r>
      <w:r w:rsidR="00745FAB" w:rsidRPr="009729FC">
        <w:rPr>
          <w:rFonts w:eastAsia="宋体"/>
          <w:b/>
          <w:lang w:eastAsia="zh-CN"/>
        </w:rPr>
        <w:t>information about the applicable QoE measurement should be provided to the new gNB when fetching UE’s QoE configuration from the old gNB during UE’s RRC connection resumption procedure.</w:t>
      </w:r>
    </w:p>
    <w:p w14:paraId="75003374" w14:textId="44ED1055" w:rsidR="00E05C2E" w:rsidRDefault="00C104C8" w:rsidP="00E05C2E">
      <w:pPr>
        <w:pStyle w:val="Heading3"/>
      </w:pPr>
      <w:r>
        <w:t>4</w:t>
      </w:r>
      <w:r w:rsidR="00E05C2E" w:rsidRPr="00A304A0">
        <w:tab/>
      </w:r>
      <w:r w:rsidR="00E05C2E">
        <w:t>Conclusions</w:t>
      </w:r>
    </w:p>
    <w:p w14:paraId="23C2EDB1" w14:textId="7C1A9D80" w:rsidR="000569E1" w:rsidRDefault="000569E1" w:rsidP="000569E1">
      <w:r>
        <w:t>Based on the discussion in this contribution, the following is proposed</w:t>
      </w:r>
      <w:r w:rsidR="000B0A9B">
        <w:t xml:space="preserve"> for </w:t>
      </w:r>
      <w:r w:rsidR="005702FC">
        <w:t>pause and resume at the RAN overload</w:t>
      </w:r>
      <w:r>
        <w:t>:</w:t>
      </w:r>
    </w:p>
    <w:p w14:paraId="33FF141D" w14:textId="7C5E0708" w:rsidR="003E5CB7" w:rsidRDefault="003E5CB7" w:rsidP="00B542D4">
      <w:pPr>
        <w:rPr>
          <w:b/>
          <w:bCs/>
          <w:szCs w:val="18"/>
          <w:lang w:val="en-US"/>
        </w:rPr>
      </w:pPr>
      <w:r>
        <w:rPr>
          <w:b/>
          <w:bCs/>
          <w:szCs w:val="18"/>
          <w:lang w:val="en-US"/>
        </w:rPr>
        <w:t>Observation 1</w:t>
      </w:r>
      <w:r w:rsidRPr="00A1337B">
        <w:rPr>
          <w:b/>
          <w:bCs/>
          <w:szCs w:val="18"/>
          <w:lang w:val="en-US"/>
        </w:rPr>
        <w:t>: SA5 approach is in line with option 1, and SA4 approach is in line with option 2.</w:t>
      </w:r>
    </w:p>
    <w:p w14:paraId="5F2EBB0C" w14:textId="70D5CE01" w:rsidR="00B542D4" w:rsidRPr="00A47E48" w:rsidRDefault="00B542D4" w:rsidP="00B542D4">
      <w:pPr>
        <w:rPr>
          <w:b/>
          <w:bCs/>
          <w:szCs w:val="18"/>
          <w:lang w:val="en-US"/>
        </w:rPr>
      </w:pPr>
      <w:r w:rsidRPr="00A47E48">
        <w:rPr>
          <w:b/>
          <w:bCs/>
          <w:szCs w:val="18"/>
          <w:lang w:val="en-US"/>
        </w:rPr>
        <w:t xml:space="preserve">Observation </w:t>
      </w:r>
      <w:r w:rsidR="003E5CB7">
        <w:rPr>
          <w:b/>
          <w:bCs/>
          <w:szCs w:val="18"/>
          <w:lang w:val="en-US"/>
        </w:rPr>
        <w:t>2</w:t>
      </w:r>
      <w:r w:rsidRPr="00A47E48">
        <w:rPr>
          <w:b/>
          <w:bCs/>
          <w:szCs w:val="18"/>
          <w:lang w:val="en-US"/>
        </w:rPr>
        <w:t>: Option 1 offers much more storage capacity for the QoE reports. For option 2, the number of stored QoE reports is very limited, especially when both MDT and QoE are enabled at the UE simultaneously.</w:t>
      </w:r>
      <w:r>
        <w:rPr>
          <w:b/>
          <w:bCs/>
          <w:szCs w:val="18"/>
          <w:lang w:val="en-US"/>
        </w:rPr>
        <w:t xml:space="preserve"> If option 2 was to be chosen by RAN2, SA4 should verify whether the storage capacity limitations for QoE during QoE pause are acceptable from their perspective.</w:t>
      </w:r>
    </w:p>
    <w:p w14:paraId="1ECA9DF8" w14:textId="321661BC" w:rsidR="00B542D4" w:rsidRPr="00A47E48" w:rsidRDefault="00B542D4" w:rsidP="00B542D4">
      <w:pPr>
        <w:rPr>
          <w:b/>
          <w:bCs/>
          <w:szCs w:val="18"/>
          <w:lang w:val="en-US"/>
        </w:rPr>
      </w:pPr>
      <w:r w:rsidRPr="00A47E48">
        <w:rPr>
          <w:b/>
          <w:bCs/>
          <w:szCs w:val="18"/>
          <w:lang w:val="en-US"/>
        </w:rPr>
        <w:t xml:space="preserve">Observation </w:t>
      </w:r>
      <w:r w:rsidR="003E5CB7">
        <w:rPr>
          <w:b/>
          <w:bCs/>
          <w:szCs w:val="18"/>
          <w:lang w:val="en-US"/>
        </w:rPr>
        <w:t>3</w:t>
      </w:r>
      <w:r w:rsidRPr="00A47E48">
        <w:rPr>
          <w:b/>
          <w:bCs/>
          <w:szCs w:val="18"/>
          <w:lang w:val="en-US"/>
        </w:rPr>
        <w:t>: Option 2 requires discussions about handling of QoE reports when the maximum storage capacity is reached. At least SA4 would have to be included in these discussions to ensure that SA4 requirements are met.</w:t>
      </w:r>
    </w:p>
    <w:p w14:paraId="5E1AE811" w14:textId="6DB7CF8F" w:rsidR="00B542D4" w:rsidRPr="000E1D83" w:rsidRDefault="00B542D4" w:rsidP="00B542D4">
      <w:pPr>
        <w:rPr>
          <w:b/>
          <w:bCs/>
          <w:szCs w:val="18"/>
          <w:lang w:val="en-US"/>
        </w:rPr>
      </w:pPr>
      <w:r>
        <w:rPr>
          <w:b/>
          <w:bCs/>
          <w:szCs w:val="18"/>
          <w:lang w:val="en-US"/>
        </w:rPr>
        <w:t xml:space="preserve">Observation </w:t>
      </w:r>
      <w:r w:rsidR="003E5CB7">
        <w:rPr>
          <w:b/>
          <w:bCs/>
          <w:szCs w:val="18"/>
          <w:lang w:val="en-US"/>
        </w:rPr>
        <w:t>4</w:t>
      </w:r>
      <w:r>
        <w:rPr>
          <w:b/>
          <w:bCs/>
          <w:szCs w:val="18"/>
          <w:lang w:val="en-US"/>
        </w:rPr>
        <w:t>: There seems to be no technical advantage of option 2 over option 1 and option 2 requires RAN2 to coordinate with SA4 on the aspects such as storage capacity and QoE report handling upon reaching maximum storage capacity.</w:t>
      </w:r>
    </w:p>
    <w:p w14:paraId="3D1EEF12" w14:textId="77777777" w:rsidR="00D960C5" w:rsidRPr="00B708E4" w:rsidRDefault="00D960C5" w:rsidP="00D960C5">
      <w:pPr>
        <w:rPr>
          <w:rFonts w:eastAsia="宋体"/>
          <w:b/>
          <w:lang w:val="en-US" w:eastAsia="zh-CN"/>
        </w:rPr>
      </w:pPr>
      <w:r>
        <w:rPr>
          <w:rFonts w:eastAsia="宋体"/>
          <w:b/>
          <w:lang w:val="en-US" w:eastAsia="zh-CN"/>
        </w:rPr>
        <w:t>Proposal 1: When RAN orders the UE to release a QoE configuration, a UE releases the QoE configuration, stops reporting for this QoE configuration and discards any unsent QoE reports for this QoE configuration.</w:t>
      </w:r>
    </w:p>
    <w:p w14:paraId="66C64FDE" w14:textId="77777777" w:rsidR="00D960C5" w:rsidRPr="00481EF8" w:rsidRDefault="00D960C5" w:rsidP="00D960C5">
      <w:pPr>
        <w:spacing w:after="100" w:afterAutospacing="1"/>
        <w:rPr>
          <w:rFonts w:eastAsia="宋体"/>
          <w:b/>
          <w:lang w:val="en-US" w:eastAsia="zh-CN"/>
        </w:rPr>
      </w:pPr>
      <w:r>
        <w:rPr>
          <w:b/>
        </w:rPr>
        <w:t>Proposal 2: In order to temporarily pause QoE reporting from a UE, e.g. during RAN overload, RAN can send</w:t>
      </w:r>
      <w:r>
        <w:t xml:space="preserve"> </w:t>
      </w:r>
      <w:r w:rsidRPr="008041D4">
        <w:rPr>
          <w:b/>
        </w:rPr>
        <w:t xml:space="preserve">the QoE reporting pause command </w:t>
      </w:r>
      <w:r>
        <w:rPr>
          <w:b/>
        </w:rPr>
        <w:t xml:space="preserve">to the UE </w:t>
      </w:r>
      <w:r w:rsidRPr="008041D4">
        <w:rPr>
          <w:b/>
        </w:rPr>
        <w:t>in the DL RRC message</w:t>
      </w:r>
      <w:r>
        <w:rPr>
          <w:b/>
        </w:rPr>
        <w:t>, which indicates QoE configurations (one or more) for which the reporting should be paused.</w:t>
      </w:r>
    </w:p>
    <w:p w14:paraId="60F2D8AE" w14:textId="3BEB22D5" w:rsidR="00D960C5" w:rsidRPr="009010AD" w:rsidRDefault="00D960C5" w:rsidP="00D960C5">
      <w:pPr>
        <w:spacing w:after="100" w:afterAutospacing="1"/>
        <w:rPr>
          <w:rFonts w:eastAsia="宋体"/>
          <w:b/>
          <w:lang w:val="en-US" w:eastAsia="zh-CN"/>
        </w:rPr>
      </w:pPr>
      <w:r>
        <w:rPr>
          <w:b/>
        </w:rPr>
        <w:t xml:space="preserve">Proposal 3: </w:t>
      </w:r>
      <w:r w:rsidR="00D344FC">
        <w:rPr>
          <w:b/>
        </w:rPr>
        <w:t xml:space="preserve">It is proposed RAN2 to adopt option 1,  i.e. </w:t>
      </w:r>
      <w:r>
        <w:rPr>
          <w:b/>
        </w:rPr>
        <w:t>RAN2 assumes that “pause” and “resume” commands for a QoE configuration are forwarded by the UE to application layer. After receiving a “pause” indication from the UE, application layer will stop sending reports to RRC layer and only continue to do so after receiving “resume” indication from the UE. An LS to SA</w:t>
      </w:r>
      <w:r w:rsidR="00D344FC">
        <w:rPr>
          <w:b/>
        </w:rPr>
        <w:t>4</w:t>
      </w:r>
      <w:r>
        <w:rPr>
          <w:b/>
        </w:rPr>
        <w:t xml:space="preserve"> should be sent to confirm this understanding.</w:t>
      </w:r>
    </w:p>
    <w:p w14:paraId="43F4E44A" w14:textId="076874B3" w:rsidR="005702FC" w:rsidRDefault="005702FC" w:rsidP="000569E1">
      <w:r>
        <w:t>The following is observed and proposed for the resume upon transition from RRC_INATIVE to RRC_CONNECTED:</w:t>
      </w:r>
    </w:p>
    <w:p w14:paraId="4634791C" w14:textId="43747CDD" w:rsidR="00D960C5" w:rsidRPr="00D46E90" w:rsidRDefault="00D960C5" w:rsidP="00D960C5">
      <w:pPr>
        <w:rPr>
          <w:b/>
        </w:rPr>
      </w:pPr>
      <w:r>
        <w:rPr>
          <w:b/>
        </w:rPr>
        <w:t xml:space="preserve">Observation </w:t>
      </w:r>
      <w:r w:rsidR="003E5CB7">
        <w:rPr>
          <w:b/>
        </w:rPr>
        <w:t>5</w:t>
      </w:r>
      <w:r w:rsidRPr="00D46E90">
        <w:rPr>
          <w:b/>
        </w:rPr>
        <w:t>: In LTE, only the QoE configuration received by the signalling based QoE will propagate during handover in the X2AP signalling. The RRC container in the handover request includes the QoE measurement configuration that has been sent to the UE in both signalling based QoE and management based QoE.</w:t>
      </w:r>
    </w:p>
    <w:p w14:paraId="661704D5" w14:textId="51A70E1A" w:rsidR="00D960C5" w:rsidRPr="00D46E90" w:rsidRDefault="00D960C5" w:rsidP="00D960C5">
      <w:pPr>
        <w:rPr>
          <w:rFonts w:eastAsiaTheme="minorEastAsia"/>
          <w:b/>
          <w:lang w:eastAsia="zh-CN"/>
        </w:rPr>
      </w:pPr>
      <w:r>
        <w:rPr>
          <w:b/>
        </w:rPr>
        <w:t xml:space="preserve">Observation </w:t>
      </w:r>
      <w:r w:rsidR="003E5CB7">
        <w:rPr>
          <w:b/>
        </w:rPr>
        <w:t>6</w:t>
      </w:r>
      <w:r w:rsidRPr="00D46E90">
        <w:rPr>
          <w:b/>
        </w:rPr>
        <w:t>: Based on TR 38.890, it is likely the NR QoE configuration handling during UE mobility will be the same as in LTE (for signalling-based vs. management-based activation).</w:t>
      </w:r>
    </w:p>
    <w:p w14:paraId="0C6C115D" w14:textId="3778A690" w:rsidR="00D960C5" w:rsidRPr="005E3B0A" w:rsidRDefault="00D960C5" w:rsidP="00D960C5">
      <w:pPr>
        <w:spacing w:after="100" w:afterAutospacing="1"/>
        <w:rPr>
          <w:rFonts w:eastAsia="宋体"/>
          <w:b/>
          <w:lang w:val="en-US" w:eastAsia="zh-CN"/>
        </w:rPr>
      </w:pPr>
      <w:r>
        <w:rPr>
          <w:b/>
        </w:rPr>
        <w:t xml:space="preserve">Proposal 4: </w:t>
      </w:r>
      <w:r w:rsidRPr="6655CCBB">
        <w:rPr>
          <w:b/>
        </w:rPr>
        <w:t>The target node can indicate whether the UE should restore or release its QoE configuration during RRC resume procedure</w:t>
      </w:r>
      <w:r w:rsidRPr="6655CCBB">
        <w:rPr>
          <w:rFonts w:eastAsia="宋体"/>
          <w:b/>
          <w:lang w:val="en-US" w:eastAsia="zh-CN"/>
        </w:rPr>
        <w:t>.</w:t>
      </w:r>
    </w:p>
    <w:p w14:paraId="1C05DE86" w14:textId="0C989CB3" w:rsidR="00D960C5" w:rsidRPr="009729FC" w:rsidRDefault="00D960C5" w:rsidP="00D960C5">
      <w:pPr>
        <w:overflowPunct/>
        <w:autoSpaceDE/>
        <w:autoSpaceDN/>
        <w:adjustRightInd/>
        <w:textAlignment w:val="auto"/>
        <w:rPr>
          <w:rFonts w:eastAsia="宋体"/>
          <w:b/>
          <w:lang w:val="en-US" w:eastAsia="zh-CN"/>
        </w:rPr>
      </w:pPr>
      <w:r w:rsidRPr="009729FC">
        <w:rPr>
          <w:rFonts w:eastAsia="宋体"/>
          <w:b/>
          <w:lang w:eastAsia="zh-CN"/>
        </w:rPr>
        <w:t xml:space="preserve">Proposal </w:t>
      </w:r>
      <w:r>
        <w:rPr>
          <w:rFonts w:eastAsia="宋体"/>
          <w:b/>
          <w:lang w:eastAsia="zh-CN"/>
        </w:rPr>
        <w:t>5</w:t>
      </w:r>
      <w:r w:rsidRPr="009729FC">
        <w:rPr>
          <w:rFonts w:eastAsia="宋体"/>
          <w:b/>
          <w:lang w:eastAsia="zh-CN"/>
        </w:rPr>
        <w:t>: Inform RAN3 that for signalling-based QoE activation, in order to support QoE configuration preservation when the UE transits to RRC_INACTIVE state, the information about the applicable QoE measurement should be provided to the new gNB when fetching UE’s QoE configuration from the old gNB during UE’s RRC connection resumption procedure.</w:t>
      </w:r>
    </w:p>
    <w:p w14:paraId="2CCAAD0D" w14:textId="588C08F2" w:rsidR="00B334B5" w:rsidRDefault="00C104C8" w:rsidP="00B334B5">
      <w:pPr>
        <w:pStyle w:val="Heading3"/>
      </w:pPr>
      <w:r>
        <w:t>5</w:t>
      </w:r>
      <w:r w:rsidR="00B334B5" w:rsidRPr="00A304A0">
        <w:tab/>
      </w:r>
      <w:r w:rsidR="004350B4">
        <w:t>Reference</w:t>
      </w:r>
      <w:r w:rsidR="00B334B5">
        <w:t>s</w:t>
      </w:r>
    </w:p>
    <w:p w14:paraId="793ACF61" w14:textId="0A2C649F" w:rsidR="000F021C" w:rsidRDefault="00806A7E" w:rsidP="00806A7E">
      <w:r>
        <w:t xml:space="preserve">[1] </w:t>
      </w:r>
      <w:r w:rsidR="000F021C" w:rsidRPr="000F021C">
        <w:t>RP-210913</w:t>
      </w:r>
      <w:r w:rsidR="000F021C">
        <w:t>,</w:t>
      </w:r>
      <w:r w:rsidR="000F021C" w:rsidRPr="000F021C">
        <w:t xml:space="preserve"> NR QoE management and optimizations for diverse services</w:t>
      </w:r>
    </w:p>
    <w:p w14:paraId="765D95E6" w14:textId="7E41DBE3" w:rsidR="00806A7E" w:rsidRDefault="000F021C" w:rsidP="00806A7E">
      <w:r>
        <w:t xml:space="preserve">[2] </w:t>
      </w:r>
      <w:r w:rsidR="00806A7E" w:rsidRPr="00806A7E">
        <w:t>3GPP TR 38.890 V0.</w:t>
      </w:r>
      <w:r>
        <w:t>3</w:t>
      </w:r>
      <w:r w:rsidR="00806A7E" w:rsidRPr="00806A7E">
        <w:t>.0</w:t>
      </w:r>
      <w:r w:rsidR="00806A7E">
        <w:t xml:space="preserve">, </w:t>
      </w:r>
      <w:r w:rsidR="00806A7E" w:rsidRPr="00806A7E">
        <w:t>Study on NR QoE management and optimizations for diverse services</w:t>
      </w:r>
    </w:p>
    <w:p w14:paraId="2B969D92" w14:textId="7678C3EC" w:rsidR="00DC6007" w:rsidRDefault="00DC6007" w:rsidP="00806A7E">
      <w:r>
        <w:t xml:space="preserve">[3] </w:t>
      </w:r>
      <w:r w:rsidRPr="00DC6007">
        <w:t>R2-1704113</w:t>
      </w:r>
      <w:r>
        <w:t xml:space="preserve">, </w:t>
      </w:r>
      <w:r w:rsidRPr="00DC6007">
        <w:t>LS on QMC session measurements</w:t>
      </w:r>
      <w:r>
        <w:t>, Source: SA4</w:t>
      </w:r>
    </w:p>
    <w:p w14:paraId="23497AAD" w14:textId="77777777" w:rsidR="00F43768" w:rsidRPr="00EB27D9" w:rsidRDefault="00F43768" w:rsidP="004350B4"/>
    <w:sectPr w:rsidR="00F43768" w:rsidRPr="00EB27D9" w:rsidSect="001944CA">
      <w:headerReference w:type="default" r:id="rId11"/>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8FEF99" w14:textId="77777777" w:rsidR="002B068D" w:rsidRDefault="002B068D">
      <w:r>
        <w:separator/>
      </w:r>
    </w:p>
  </w:endnote>
  <w:endnote w:type="continuationSeparator" w:id="0">
    <w:p w14:paraId="408B5FF9" w14:textId="77777777" w:rsidR="002B068D" w:rsidRDefault="002B068D">
      <w:r>
        <w:continuationSeparator/>
      </w:r>
    </w:p>
  </w:endnote>
  <w:endnote w:type="continuationNotice" w:id="1">
    <w:p w14:paraId="61A83395" w14:textId="77777777" w:rsidR="002B068D" w:rsidRDefault="002B0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F605E" w14:textId="77777777" w:rsidR="00D30C8A" w:rsidRDefault="00D30C8A">
    <w:pPr>
      <w:pStyle w:val="Footer"/>
    </w:pPr>
    <w:r>
      <w:rPr>
        <w:rStyle w:val="PageNumber"/>
      </w:rPr>
      <w:fldChar w:fldCharType="begin"/>
    </w:r>
    <w:r>
      <w:rPr>
        <w:rStyle w:val="PageNumber"/>
      </w:rPr>
      <w:instrText xml:space="preserve"> PAGE </w:instrText>
    </w:r>
    <w:r>
      <w:rPr>
        <w:rStyle w:val="PageNumber"/>
      </w:rPr>
      <w:fldChar w:fldCharType="separate"/>
    </w:r>
    <w:r w:rsidR="00A53553">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53553">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CE71C" w14:textId="77777777" w:rsidR="002B068D" w:rsidRDefault="002B068D">
      <w:r>
        <w:separator/>
      </w:r>
    </w:p>
  </w:footnote>
  <w:footnote w:type="continuationSeparator" w:id="0">
    <w:p w14:paraId="552A53FF" w14:textId="77777777" w:rsidR="002B068D" w:rsidRDefault="002B068D">
      <w:r>
        <w:continuationSeparator/>
      </w:r>
    </w:p>
  </w:footnote>
  <w:footnote w:type="continuationNotice" w:id="1">
    <w:p w14:paraId="1D402177" w14:textId="77777777" w:rsidR="002B068D" w:rsidRDefault="002B06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4A0" w:firstRow="1" w:lastRow="0" w:firstColumn="1" w:lastColumn="0" w:noHBand="0" w:noVBand="1"/>
    </w:tblPr>
    <w:tblGrid>
      <w:gridCol w:w="3213"/>
      <w:gridCol w:w="3213"/>
      <w:gridCol w:w="3213"/>
    </w:tblGrid>
    <w:tr w:rsidR="00D30C8A" w14:paraId="7CB4A1D3" w14:textId="77777777" w:rsidTr="6655CCBB">
      <w:tc>
        <w:tcPr>
          <w:tcW w:w="3213" w:type="dxa"/>
        </w:tcPr>
        <w:p w14:paraId="0873E0C8" w14:textId="61E5FF6B" w:rsidR="00D30C8A" w:rsidRDefault="00D30C8A" w:rsidP="00541A3F">
          <w:pPr>
            <w:tabs>
              <w:tab w:val="left" w:pos="645"/>
            </w:tabs>
            <w:ind w:left="-115"/>
          </w:pPr>
        </w:p>
      </w:tc>
      <w:tc>
        <w:tcPr>
          <w:tcW w:w="3213" w:type="dxa"/>
        </w:tcPr>
        <w:p w14:paraId="199C18B9" w14:textId="120C702B" w:rsidR="00D30C8A" w:rsidRDefault="00D30C8A" w:rsidP="00541A3F">
          <w:pPr>
            <w:jc w:val="center"/>
          </w:pPr>
        </w:p>
      </w:tc>
      <w:tc>
        <w:tcPr>
          <w:tcW w:w="3213" w:type="dxa"/>
        </w:tcPr>
        <w:p w14:paraId="67A87C6A" w14:textId="206F5664" w:rsidR="00D30C8A" w:rsidRDefault="00D30C8A" w:rsidP="00541A3F">
          <w:pPr>
            <w:ind w:right="-115"/>
            <w:jc w:val="right"/>
          </w:pPr>
        </w:p>
      </w:tc>
    </w:tr>
  </w:tbl>
  <w:p w14:paraId="237467D3" w14:textId="1353D56E" w:rsidR="00D30C8A" w:rsidRDefault="00D30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6D25"/>
    <w:multiLevelType w:val="hybridMultilevel"/>
    <w:tmpl w:val="A18AC300"/>
    <w:lvl w:ilvl="0" w:tplc="47A4C010">
      <w:start w:val="1"/>
      <w:numFmt w:val="decimal"/>
      <w:lvlText w:val="Proposal %1:"/>
      <w:lvlJc w:val="left"/>
      <w:pPr>
        <w:ind w:left="1270" w:hanging="420"/>
      </w:pPr>
      <w:rPr>
        <w:rFonts w:hint="eastAsia"/>
        <w:b/>
        <w:lang w:val="en-GB"/>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15:restartNumberingAfterBreak="0">
    <w:nsid w:val="02D9673A"/>
    <w:multiLevelType w:val="hybridMultilevel"/>
    <w:tmpl w:val="BAF26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A6602"/>
    <w:multiLevelType w:val="hybridMultilevel"/>
    <w:tmpl w:val="306E752C"/>
    <w:lvl w:ilvl="0" w:tplc="74F2E0FA">
      <w:start w:val="1"/>
      <w:numFmt w:val="bullet"/>
      <w:lvlText w:val=""/>
      <w:lvlJc w:val="left"/>
      <w:pPr>
        <w:tabs>
          <w:tab w:val="num" w:pos="720"/>
        </w:tabs>
        <w:ind w:left="720" w:hanging="360"/>
      </w:pPr>
      <w:rPr>
        <w:rFonts w:ascii="Symbol" w:hAnsi="Symbol" w:hint="default"/>
      </w:rPr>
    </w:lvl>
    <w:lvl w:ilvl="1" w:tplc="97A2A3A2" w:tentative="1">
      <w:start w:val="1"/>
      <w:numFmt w:val="bullet"/>
      <w:lvlText w:val=""/>
      <w:lvlJc w:val="left"/>
      <w:pPr>
        <w:tabs>
          <w:tab w:val="num" w:pos="1440"/>
        </w:tabs>
        <w:ind w:left="1440" w:hanging="360"/>
      </w:pPr>
      <w:rPr>
        <w:rFonts w:ascii="Symbol" w:hAnsi="Symbol" w:hint="default"/>
      </w:rPr>
    </w:lvl>
    <w:lvl w:ilvl="2" w:tplc="263074F0" w:tentative="1">
      <w:start w:val="1"/>
      <w:numFmt w:val="bullet"/>
      <w:lvlText w:val=""/>
      <w:lvlJc w:val="left"/>
      <w:pPr>
        <w:tabs>
          <w:tab w:val="num" w:pos="2160"/>
        </w:tabs>
        <w:ind w:left="2160" w:hanging="360"/>
      </w:pPr>
      <w:rPr>
        <w:rFonts w:ascii="Symbol" w:hAnsi="Symbol" w:hint="default"/>
      </w:rPr>
    </w:lvl>
    <w:lvl w:ilvl="3" w:tplc="8F484138" w:tentative="1">
      <w:start w:val="1"/>
      <w:numFmt w:val="bullet"/>
      <w:lvlText w:val=""/>
      <w:lvlJc w:val="left"/>
      <w:pPr>
        <w:tabs>
          <w:tab w:val="num" w:pos="2880"/>
        </w:tabs>
        <w:ind w:left="2880" w:hanging="360"/>
      </w:pPr>
      <w:rPr>
        <w:rFonts w:ascii="Symbol" w:hAnsi="Symbol" w:hint="default"/>
      </w:rPr>
    </w:lvl>
    <w:lvl w:ilvl="4" w:tplc="812E5776" w:tentative="1">
      <w:start w:val="1"/>
      <w:numFmt w:val="bullet"/>
      <w:lvlText w:val=""/>
      <w:lvlJc w:val="left"/>
      <w:pPr>
        <w:tabs>
          <w:tab w:val="num" w:pos="3600"/>
        </w:tabs>
        <w:ind w:left="3600" w:hanging="360"/>
      </w:pPr>
      <w:rPr>
        <w:rFonts w:ascii="Symbol" w:hAnsi="Symbol" w:hint="default"/>
      </w:rPr>
    </w:lvl>
    <w:lvl w:ilvl="5" w:tplc="D79AB420" w:tentative="1">
      <w:start w:val="1"/>
      <w:numFmt w:val="bullet"/>
      <w:lvlText w:val=""/>
      <w:lvlJc w:val="left"/>
      <w:pPr>
        <w:tabs>
          <w:tab w:val="num" w:pos="4320"/>
        </w:tabs>
        <w:ind w:left="4320" w:hanging="360"/>
      </w:pPr>
      <w:rPr>
        <w:rFonts w:ascii="Symbol" w:hAnsi="Symbol" w:hint="default"/>
      </w:rPr>
    </w:lvl>
    <w:lvl w:ilvl="6" w:tplc="9CEA5A72" w:tentative="1">
      <w:start w:val="1"/>
      <w:numFmt w:val="bullet"/>
      <w:lvlText w:val=""/>
      <w:lvlJc w:val="left"/>
      <w:pPr>
        <w:tabs>
          <w:tab w:val="num" w:pos="5040"/>
        </w:tabs>
        <w:ind w:left="5040" w:hanging="360"/>
      </w:pPr>
      <w:rPr>
        <w:rFonts w:ascii="Symbol" w:hAnsi="Symbol" w:hint="default"/>
      </w:rPr>
    </w:lvl>
    <w:lvl w:ilvl="7" w:tplc="3F483160" w:tentative="1">
      <w:start w:val="1"/>
      <w:numFmt w:val="bullet"/>
      <w:lvlText w:val=""/>
      <w:lvlJc w:val="left"/>
      <w:pPr>
        <w:tabs>
          <w:tab w:val="num" w:pos="5760"/>
        </w:tabs>
        <w:ind w:left="5760" w:hanging="360"/>
      </w:pPr>
      <w:rPr>
        <w:rFonts w:ascii="Symbol" w:hAnsi="Symbol" w:hint="default"/>
      </w:rPr>
    </w:lvl>
    <w:lvl w:ilvl="8" w:tplc="C0425EC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470247"/>
    <w:multiLevelType w:val="hybridMultilevel"/>
    <w:tmpl w:val="9856B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7739A2"/>
    <w:multiLevelType w:val="hybridMultilevel"/>
    <w:tmpl w:val="D87A5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35BF8"/>
    <w:multiLevelType w:val="hybridMultilevel"/>
    <w:tmpl w:val="D30E5072"/>
    <w:lvl w:ilvl="0" w:tplc="1A0A5A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0143E"/>
    <w:multiLevelType w:val="multilevel"/>
    <w:tmpl w:val="6D108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1B1EA6"/>
    <w:multiLevelType w:val="hybridMultilevel"/>
    <w:tmpl w:val="B0BA74A4"/>
    <w:lvl w:ilvl="0" w:tplc="187CBBB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ED69D6"/>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CB240C"/>
    <w:multiLevelType w:val="hybridMultilevel"/>
    <w:tmpl w:val="1A160806"/>
    <w:lvl w:ilvl="0" w:tplc="35E4B3C8">
      <w:start w:val="1"/>
      <w:numFmt w:val="bullet"/>
      <w:lvlText w:val=""/>
      <w:lvlJc w:val="left"/>
      <w:pPr>
        <w:tabs>
          <w:tab w:val="num" w:pos="720"/>
        </w:tabs>
        <w:ind w:left="720" w:hanging="360"/>
      </w:pPr>
      <w:rPr>
        <w:rFonts w:ascii="Symbol" w:hAnsi="Symbol" w:hint="default"/>
      </w:rPr>
    </w:lvl>
    <w:lvl w:ilvl="1" w:tplc="AA0C3F04" w:tentative="1">
      <w:start w:val="1"/>
      <w:numFmt w:val="bullet"/>
      <w:lvlText w:val=""/>
      <w:lvlJc w:val="left"/>
      <w:pPr>
        <w:tabs>
          <w:tab w:val="num" w:pos="1440"/>
        </w:tabs>
        <w:ind w:left="1440" w:hanging="360"/>
      </w:pPr>
      <w:rPr>
        <w:rFonts w:ascii="Symbol" w:hAnsi="Symbol" w:hint="default"/>
      </w:rPr>
    </w:lvl>
    <w:lvl w:ilvl="2" w:tplc="DC066784" w:tentative="1">
      <w:start w:val="1"/>
      <w:numFmt w:val="bullet"/>
      <w:lvlText w:val=""/>
      <w:lvlJc w:val="left"/>
      <w:pPr>
        <w:tabs>
          <w:tab w:val="num" w:pos="2160"/>
        </w:tabs>
        <w:ind w:left="2160" w:hanging="360"/>
      </w:pPr>
      <w:rPr>
        <w:rFonts w:ascii="Symbol" w:hAnsi="Symbol" w:hint="default"/>
      </w:rPr>
    </w:lvl>
    <w:lvl w:ilvl="3" w:tplc="A3883B0A" w:tentative="1">
      <w:start w:val="1"/>
      <w:numFmt w:val="bullet"/>
      <w:lvlText w:val=""/>
      <w:lvlJc w:val="left"/>
      <w:pPr>
        <w:tabs>
          <w:tab w:val="num" w:pos="2880"/>
        </w:tabs>
        <w:ind w:left="2880" w:hanging="360"/>
      </w:pPr>
      <w:rPr>
        <w:rFonts w:ascii="Symbol" w:hAnsi="Symbol" w:hint="default"/>
      </w:rPr>
    </w:lvl>
    <w:lvl w:ilvl="4" w:tplc="527CEFCC" w:tentative="1">
      <w:start w:val="1"/>
      <w:numFmt w:val="bullet"/>
      <w:lvlText w:val=""/>
      <w:lvlJc w:val="left"/>
      <w:pPr>
        <w:tabs>
          <w:tab w:val="num" w:pos="3600"/>
        </w:tabs>
        <w:ind w:left="3600" w:hanging="360"/>
      </w:pPr>
      <w:rPr>
        <w:rFonts w:ascii="Symbol" w:hAnsi="Symbol" w:hint="default"/>
      </w:rPr>
    </w:lvl>
    <w:lvl w:ilvl="5" w:tplc="063C7D42" w:tentative="1">
      <w:start w:val="1"/>
      <w:numFmt w:val="bullet"/>
      <w:lvlText w:val=""/>
      <w:lvlJc w:val="left"/>
      <w:pPr>
        <w:tabs>
          <w:tab w:val="num" w:pos="4320"/>
        </w:tabs>
        <w:ind w:left="4320" w:hanging="360"/>
      </w:pPr>
      <w:rPr>
        <w:rFonts w:ascii="Symbol" w:hAnsi="Symbol" w:hint="default"/>
      </w:rPr>
    </w:lvl>
    <w:lvl w:ilvl="6" w:tplc="B02AF0EE" w:tentative="1">
      <w:start w:val="1"/>
      <w:numFmt w:val="bullet"/>
      <w:lvlText w:val=""/>
      <w:lvlJc w:val="left"/>
      <w:pPr>
        <w:tabs>
          <w:tab w:val="num" w:pos="5040"/>
        </w:tabs>
        <w:ind w:left="5040" w:hanging="360"/>
      </w:pPr>
      <w:rPr>
        <w:rFonts w:ascii="Symbol" w:hAnsi="Symbol" w:hint="default"/>
      </w:rPr>
    </w:lvl>
    <w:lvl w:ilvl="7" w:tplc="6F9C15AC" w:tentative="1">
      <w:start w:val="1"/>
      <w:numFmt w:val="bullet"/>
      <w:lvlText w:val=""/>
      <w:lvlJc w:val="left"/>
      <w:pPr>
        <w:tabs>
          <w:tab w:val="num" w:pos="5760"/>
        </w:tabs>
        <w:ind w:left="5760" w:hanging="360"/>
      </w:pPr>
      <w:rPr>
        <w:rFonts w:ascii="Symbol" w:hAnsi="Symbol" w:hint="default"/>
      </w:rPr>
    </w:lvl>
    <w:lvl w:ilvl="8" w:tplc="AA5C315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C92AAE"/>
    <w:multiLevelType w:val="hybridMultilevel"/>
    <w:tmpl w:val="C8922078"/>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61E0114"/>
    <w:multiLevelType w:val="hybridMultilevel"/>
    <w:tmpl w:val="D452F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9344B"/>
    <w:multiLevelType w:val="hybridMultilevel"/>
    <w:tmpl w:val="DB8410B8"/>
    <w:lvl w:ilvl="0" w:tplc="E63889B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046E61"/>
    <w:multiLevelType w:val="hybridMultilevel"/>
    <w:tmpl w:val="BD608C1E"/>
    <w:lvl w:ilvl="0" w:tplc="CA4AF15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78938A5"/>
    <w:multiLevelType w:val="hybridMultilevel"/>
    <w:tmpl w:val="F482DED4"/>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441D0B"/>
    <w:multiLevelType w:val="hybridMultilevel"/>
    <w:tmpl w:val="9EE09B22"/>
    <w:lvl w:ilvl="0" w:tplc="8624A08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A5041D"/>
    <w:multiLevelType w:val="hybridMultilevel"/>
    <w:tmpl w:val="4A3A15B0"/>
    <w:lvl w:ilvl="0" w:tplc="07802D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B7477"/>
    <w:multiLevelType w:val="hybridMultilevel"/>
    <w:tmpl w:val="F96899D4"/>
    <w:lvl w:ilvl="0" w:tplc="92D0D42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B41CFF"/>
    <w:multiLevelType w:val="hybridMultilevel"/>
    <w:tmpl w:val="B0BA74A4"/>
    <w:lvl w:ilvl="0" w:tplc="187CBBB8">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650DD3"/>
    <w:multiLevelType w:val="hybridMultilevel"/>
    <w:tmpl w:val="38F0B0B4"/>
    <w:lvl w:ilvl="0" w:tplc="07802DD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883BED"/>
    <w:multiLevelType w:val="hybridMultilevel"/>
    <w:tmpl w:val="87D43970"/>
    <w:lvl w:ilvl="0" w:tplc="E27C74EC">
      <w:start w:val="1"/>
      <w:numFmt w:val="bullet"/>
      <w:lvlText w:val=""/>
      <w:lvlJc w:val="left"/>
      <w:pPr>
        <w:tabs>
          <w:tab w:val="num" w:pos="720"/>
        </w:tabs>
        <w:ind w:left="720" w:hanging="360"/>
      </w:pPr>
      <w:rPr>
        <w:rFonts w:ascii="Symbol" w:hAnsi="Symbol" w:hint="default"/>
      </w:rPr>
    </w:lvl>
    <w:lvl w:ilvl="1" w:tplc="E6363808" w:tentative="1">
      <w:start w:val="1"/>
      <w:numFmt w:val="bullet"/>
      <w:lvlText w:val=""/>
      <w:lvlJc w:val="left"/>
      <w:pPr>
        <w:tabs>
          <w:tab w:val="num" w:pos="1440"/>
        </w:tabs>
        <w:ind w:left="1440" w:hanging="360"/>
      </w:pPr>
      <w:rPr>
        <w:rFonts w:ascii="Symbol" w:hAnsi="Symbol" w:hint="default"/>
      </w:rPr>
    </w:lvl>
    <w:lvl w:ilvl="2" w:tplc="0FE0426C" w:tentative="1">
      <w:start w:val="1"/>
      <w:numFmt w:val="bullet"/>
      <w:lvlText w:val=""/>
      <w:lvlJc w:val="left"/>
      <w:pPr>
        <w:tabs>
          <w:tab w:val="num" w:pos="2160"/>
        </w:tabs>
        <w:ind w:left="2160" w:hanging="360"/>
      </w:pPr>
      <w:rPr>
        <w:rFonts w:ascii="Symbol" w:hAnsi="Symbol" w:hint="default"/>
      </w:rPr>
    </w:lvl>
    <w:lvl w:ilvl="3" w:tplc="ACEA421A" w:tentative="1">
      <w:start w:val="1"/>
      <w:numFmt w:val="bullet"/>
      <w:lvlText w:val=""/>
      <w:lvlJc w:val="left"/>
      <w:pPr>
        <w:tabs>
          <w:tab w:val="num" w:pos="2880"/>
        </w:tabs>
        <w:ind w:left="2880" w:hanging="360"/>
      </w:pPr>
      <w:rPr>
        <w:rFonts w:ascii="Symbol" w:hAnsi="Symbol" w:hint="default"/>
      </w:rPr>
    </w:lvl>
    <w:lvl w:ilvl="4" w:tplc="587C0A5A" w:tentative="1">
      <w:start w:val="1"/>
      <w:numFmt w:val="bullet"/>
      <w:lvlText w:val=""/>
      <w:lvlJc w:val="left"/>
      <w:pPr>
        <w:tabs>
          <w:tab w:val="num" w:pos="3600"/>
        </w:tabs>
        <w:ind w:left="3600" w:hanging="360"/>
      </w:pPr>
      <w:rPr>
        <w:rFonts w:ascii="Symbol" w:hAnsi="Symbol" w:hint="default"/>
      </w:rPr>
    </w:lvl>
    <w:lvl w:ilvl="5" w:tplc="89342C9A" w:tentative="1">
      <w:start w:val="1"/>
      <w:numFmt w:val="bullet"/>
      <w:lvlText w:val=""/>
      <w:lvlJc w:val="left"/>
      <w:pPr>
        <w:tabs>
          <w:tab w:val="num" w:pos="4320"/>
        </w:tabs>
        <w:ind w:left="4320" w:hanging="360"/>
      </w:pPr>
      <w:rPr>
        <w:rFonts w:ascii="Symbol" w:hAnsi="Symbol" w:hint="default"/>
      </w:rPr>
    </w:lvl>
    <w:lvl w:ilvl="6" w:tplc="98BE2C8E" w:tentative="1">
      <w:start w:val="1"/>
      <w:numFmt w:val="bullet"/>
      <w:lvlText w:val=""/>
      <w:lvlJc w:val="left"/>
      <w:pPr>
        <w:tabs>
          <w:tab w:val="num" w:pos="5040"/>
        </w:tabs>
        <w:ind w:left="5040" w:hanging="360"/>
      </w:pPr>
      <w:rPr>
        <w:rFonts w:ascii="Symbol" w:hAnsi="Symbol" w:hint="default"/>
      </w:rPr>
    </w:lvl>
    <w:lvl w:ilvl="7" w:tplc="BE009E58" w:tentative="1">
      <w:start w:val="1"/>
      <w:numFmt w:val="bullet"/>
      <w:lvlText w:val=""/>
      <w:lvlJc w:val="left"/>
      <w:pPr>
        <w:tabs>
          <w:tab w:val="num" w:pos="5760"/>
        </w:tabs>
        <w:ind w:left="5760" w:hanging="360"/>
      </w:pPr>
      <w:rPr>
        <w:rFonts w:ascii="Symbol" w:hAnsi="Symbol" w:hint="default"/>
      </w:rPr>
    </w:lvl>
    <w:lvl w:ilvl="8" w:tplc="42F62DD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CDA5C8A"/>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C23794"/>
    <w:multiLevelType w:val="multilevel"/>
    <w:tmpl w:val="C45A2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7C6ADF"/>
    <w:multiLevelType w:val="hybridMultilevel"/>
    <w:tmpl w:val="8294F73A"/>
    <w:lvl w:ilvl="0" w:tplc="03B80514">
      <w:start w:val="1"/>
      <w:numFmt w:val="bullet"/>
      <w:lvlText w:val=""/>
      <w:lvlJc w:val="left"/>
      <w:pPr>
        <w:tabs>
          <w:tab w:val="num" w:pos="720"/>
        </w:tabs>
        <w:ind w:left="720" w:hanging="360"/>
      </w:pPr>
      <w:rPr>
        <w:rFonts w:ascii="Symbol" w:hAnsi="Symbol" w:hint="default"/>
      </w:rPr>
    </w:lvl>
    <w:lvl w:ilvl="1" w:tplc="365CBA7A" w:tentative="1">
      <w:start w:val="1"/>
      <w:numFmt w:val="bullet"/>
      <w:lvlText w:val=""/>
      <w:lvlJc w:val="left"/>
      <w:pPr>
        <w:tabs>
          <w:tab w:val="num" w:pos="1440"/>
        </w:tabs>
        <w:ind w:left="1440" w:hanging="360"/>
      </w:pPr>
      <w:rPr>
        <w:rFonts w:ascii="Symbol" w:hAnsi="Symbol" w:hint="default"/>
      </w:rPr>
    </w:lvl>
    <w:lvl w:ilvl="2" w:tplc="7AD4B6A8" w:tentative="1">
      <w:start w:val="1"/>
      <w:numFmt w:val="bullet"/>
      <w:lvlText w:val=""/>
      <w:lvlJc w:val="left"/>
      <w:pPr>
        <w:tabs>
          <w:tab w:val="num" w:pos="2160"/>
        </w:tabs>
        <w:ind w:left="2160" w:hanging="360"/>
      </w:pPr>
      <w:rPr>
        <w:rFonts w:ascii="Symbol" w:hAnsi="Symbol" w:hint="default"/>
      </w:rPr>
    </w:lvl>
    <w:lvl w:ilvl="3" w:tplc="C8AA9D82" w:tentative="1">
      <w:start w:val="1"/>
      <w:numFmt w:val="bullet"/>
      <w:lvlText w:val=""/>
      <w:lvlJc w:val="left"/>
      <w:pPr>
        <w:tabs>
          <w:tab w:val="num" w:pos="2880"/>
        </w:tabs>
        <w:ind w:left="2880" w:hanging="360"/>
      </w:pPr>
      <w:rPr>
        <w:rFonts w:ascii="Symbol" w:hAnsi="Symbol" w:hint="default"/>
      </w:rPr>
    </w:lvl>
    <w:lvl w:ilvl="4" w:tplc="20965F1C" w:tentative="1">
      <w:start w:val="1"/>
      <w:numFmt w:val="bullet"/>
      <w:lvlText w:val=""/>
      <w:lvlJc w:val="left"/>
      <w:pPr>
        <w:tabs>
          <w:tab w:val="num" w:pos="3600"/>
        </w:tabs>
        <w:ind w:left="3600" w:hanging="360"/>
      </w:pPr>
      <w:rPr>
        <w:rFonts w:ascii="Symbol" w:hAnsi="Symbol" w:hint="default"/>
      </w:rPr>
    </w:lvl>
    <w:lvl w:ilvl="5" w:tplc="36BAF808" w:tentative="1">
      <w:start w:val="1"/>
      <w:numFmt w:val="bullet"/>
      <w:lvlText w:val=""/>
      <w:lvlJc w:val="left"/>
      <w:pPr>
        <w:tabs>
          <w:tab w:val="num" w:pos="4320"/>
        </w:tabs>
        <w:ind w:left="4320" w:hanging="360"/>
      </w:pPr>
      <w:rPr>
        <w:rFonts w:ascii="Symbol" w:hAnsi="Symbol" w:hint="default"/>
      </w:rPr>
    </w:lvl>
    <w:lvl w:ilvl="6" w:tplc="ED58E5FE" w:tentative="1">
      <w:start w:val="1"/>
      <w:numFmt w:val="bullet"/>
      <w:lvlText w:val=""/>
      <w:lvlJc w:val="left"/>
      <w:pPr>
        <w:tabs>
          <w:tab w:val="num" w:pos="5040"/>
        </w:tabs>
        <w:ind w:left="5040" w:hanging="360"/>
      </w:pPr>
      <w:rPr>
        <w:rFonts w:ascii="Symbol" w:hAnsi="Symbol" w:hint="default"/>
      </w:rPr>
    </w:lvl>
    <w:lvl w:ilvl="7" w:tplc="F78A2302" w:tentative="1">
      <w:start w:val="1"/>
      <w:numFmt w:val="bullet"/>
      <w:lvlText w:val=""/>
      <w:lvlJc w:val="left"/>
      <w:pPr>
        <w:tabs>
          <w:tab w:val="num" w:pos="5760"/>
        </w:tabs>
        <w:ind w:left="5760" w:hanging="360"/>
      </w:pPr>
      <w:rPr>
        <w:rFonts w:ascii="Symbol" w:hAnsi="Symbol" w:hint="default"/>
      </w:rPr>
    </w:lvl>
    <w:lvl w:ilvl="8" w:tplc="5C0473A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767074"/>
    <w:multiLevelType w:val="hybridMultilevel"/>
    <w:tmpl w:val="AE92C23C"/>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0"/>
  </w:num>
  <w:num w:numId="3">
    <w:abstractNumId w:val="27"/>
  </w:num>
  <w:num w:numId="4">
    <w:abstractNumId w:val="3"/>
  </w:num>
  <w:num w:numId="5">
    <w:abstractNumId w:val="1"/>
  </w:num>
  <w:num w:numId="6">
    <w:abstractNumId w:val="12"/>
  </w:num>
  <w:num w:numId="7">
    <w:abstractNumId w:val="28"/>
  </w:num>
  <w:num w:numId="8">
    <w:abstractNumId w:val="5"/>
  </w:num>
  <w:num w:numId="9">
    <w:abstractNumId w:val="19"/>
  </w:num>
  <w:num w:numId="10">
    <w:abstractNumId w:val="4"/>
  </w:num>
  <w:num w:numId="11">
    <w:abstractNumId w:val="8"/>
  </w:num>
  <w:num w:numId="12">
    <w:abstractNumId w:val="13"/>
  </w:num>
  <w:num w:numId="13">
    <w:abstractNumId w:val="17"/>
  </w:num>
  <w:num w:numId="14">
    <w:abstractNumId w:val="22"/>
  </w:num>
  <w:num w:numId="15">
    <w:abstractNumId w:val="29"/>
  </w:num>
  <w:num w:numId="16">
    <w:abstractNumId w:val="14"/>
  </w:num>
  <w:num w:numId="17">
    <w:abstractNumId w:val="7"/>
  </w:num>
  <w:num w:numId="18">
    <w:abstractNumId w:val="20"/>
  </w:num>
  <w:num w:numId="19">
    <w:abstractNumId w:val="24"/>
  </w:num>
  <w:num w:numId="20">
    <w:abstractNumId w:val="16"/>
  </w:num>
  <w:num w:numId="21">
    <w:abstractNumId w:val="11"/>
  </w:num>
  <w:num w:numId="22">
    <w:abstractNumId w:val="10"/>
  </w:num>
  <w:num w:numId="23">
    <w:abstractNumId w:val="25"/>
  </w:num>
  <w:num w:numId="24">
    <w:abstractNumId w:val="18"/>
  </w:num>
  <w:num w:numId="25">
    <w:abstractNumId w:val="2"/>
  </w:num>
  <w:num w:numId="26">
    <w:abstractNumId w:val="23"/>
  </w:num>
  <w:num w:numId="27">
    <w:abstractNumId w:val="9"/>
  </w:num>
  <w:num w:numId="28">
    <w:abstractNumId w:val="26"/>
  </w:num>
  <w:num w:numId="29">
    <w:abstractNumId w:val="21"/>
  </w:num>
  <w:num w:numId="3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48F6"/>
    <w:rsid w:val="000070C4"/>
    <w:rsid w:val="000103EC"/>
    <w:rsid w:val="00010D3D"/>
    <w:rsid w:val="0001181D"/>
    <w:rsid w:val="00011DFC"/>
    <w:rsid w:val="00012A65"/>
    <w:rsid w:val="00014FE9"/>
    <w:rsid w:val="000153B1"/>
    <w:rsid w:val="00015E67"/>
    <w:rsid w:val="0001660E"/>
    <w:rsid w:val="00016C9C"/>
    <w:rsid w:val="00017416"/>
    <w:rsid w:val="0002010B"/>
    <w:rsid w:val="000204FF"/>
    <w:rsid w:val="00020708"/>
    <w:rsid w:val="00020C1B"/>
    <w:rsid w:val="0002209B"/>
    <w:rsid w:val="000244DF"/>
    <w:rsid w:val="00025356"/>
    <w:rsid w:val="000259AC"/>
    <w:rsid w:val="00025CD5"/>
    <w:rsid w:val="00025FDA"/>
    <w:rsid w:val="00026AE7"/>
    <w:rsid w:val="00027038"/>
    <w:rsid w:val="000278B2"/>
    <w:rsid w:val="0003005C"/>
    <w:rsid w:val="00030923"/>
    <w:rsid w:val="00030FFB"/>
    <w:rsid w:val="00032BBA"/>
    <w:rsid w:val="00032D86"/>
    <w:rsid w:val="00033583"/>
    <w:rsid w:val="0003456D"/>
    <w:rsid w:val="0003510F"/>
    <w:rsid w:val="00035241"/>
    <w:rsid w:val="00035433"/>
    <w:rsid w:val="0003560E"/>
    <w:rsid w:val="00036046"/>
    <w:rsid w:val="0003609B"/>
    <w:rsid w:val="00037653"/>
    <w:rsid w:val="0003777E"/>
    <w:rsid w:val="000400EA"/>
    <w:rsid w:val="00040D62"/>
    <w:rsid w:val="00042163"/>
    <w:rsid w:val="000434A1"/>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9E1"/>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6DD0"/>
    <w:rsid w:val="0009738D"/>
    <w:rsid w:val="0009758A"/>
    <w:rsid w:val="00097833"/>
    <w:rsid w:val="000A00AD"/>
    <w:rsid w:val="000A0820"/>
    <w:rsid w:val="000A2D67"/>
    <w:rsid w:val="000A4353"/>
    <w:rsid w:val="000A56D6"/>
    <w:rsid w:val="000A5961"/>
    <w:rsid w:val="000A61B4"/>
    <w:rsid w:val="000A76F5"/>
    <w:rsid w:val="000B005A"/>
    <w:rsid w:val="000B0A9B"/>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2C46"/>
    <w:rsid w:val="000C4476"/>
    <w:rsid w:val="000C4502"/>
    <w:rsid w:val="000C4D0A"/>
    <w:rsid w:val="000C5491"/>
    <w:rsid w:val="000C5773"/>
    <w:rsid w:val="000C5872"/>
    <w:rsid w:val="000C5F28"/>
    <w:rsid w:val="000C6566"/>
    <w:rsid w:val="000D05D9"/>
    <w:rsid w:val="000D0BF9"/>
    <w:rsid w:val="000D0DFA"/>
    <w:rsid w:val="000D0FDA"/>
    <w:rsid w:val="000D1105"/>
    <w:rsid w:val="000D2A04"/>
    <w:rsid w:val="000D3380"/>
    <w:rsid w:val="000D4762"/>
    <w:rsid w:val="000D492E"/>
    <w:rsid w:val="000D49E7"/>
    <w:rsid w:val="000D5B70"/>
    <w:rsid w:val="000D6684"/>
    <w:rsid w:val="000D6723"/>
    <w:rsid w:val="000D6ADA"/>
    <w:rsid w:val="000D6E46"/>
    <w:rsid w:val="000D7288"/>
    <w:rsid w:val="000E052B"/>
    <w:rsid w:val="000E06E8"/>
    <w:rsid w:val="000E0D95"/>
    <w:rsid w:val="000E0E1C"/>
    <w:rsid w:val="000E1673"/>
    <w:rsid w:val="000E1BBF"/>
    <w:rsid w:val="000E1D83"/>
    <w:rsid w:val="000E2200"/>
    <w:rsid w:val="000E2CCA"/>
    <w:rsid w:val="000E5068"/>
    <w:rsid w:val="000E59B2"/>
    <w:rsid w:val="000E5E31"/>
    <w:rsid w:val="000E678C"/>
    <w:rsid w:val="000E67E3"/>
    <w:rsid w:val="000E745D"/>
    <w:rsid w:val="000F021C"/>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CE1"/>
    <w:rsid w:val="00111FB8"/>
    <w:rsid w:val="00112D06"/>
    <w:rsid w:val="00112DFE"/>
    <w:rsid w:val="00113047"/>
    <w:rsid w:val="00113C9A"/>
    <w:rsid w:val="00113D7B"/>
    <w:rsid w:val="0011464B"/>
    <w:rsid w:val="0011568F"/>
    <w:rsid w:val="001173E1"/>
    <w:rsid w:val="00117653"/>
    <w:rsid w:val="00121208"/>
    <w:rsid w:val="00121DF3"/>
    <w:rsid w:val="0012239D"/>
    <w:rsid w:val="001227EC"/>
    <w:rsid w:val="00122CE3"/>
    <w:rsid w:val="00123085"/>
    <w:rsid w:val="00123CD1"/>
    <w:rsid w:val="00124665"/>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3D"/>
    <w:rsid w:val="001405E2"/>
    <w:rsid w:val="001406F0"/>
    <w:rsid w:val="0014084F"/>
    <w:rsid w:val="00141273"/>
    <w:rsid w:val="001420EC"/>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8B2"/>
    <w:rsid w:val="00160D86"/>
    <w:rsid w:val="001613C8"/>
    <w:rsid w:val="00161427"/>
    <w:rsid w:val="001620B8"/>
    <w:rsid w:val="00162BF0"/>
    <w:rsid w:val="001637F5"/>
    <w:rsid w:val="00164191"/>
    <w:rsid w:val="001651BC"/>
    <w:rsid w:val="00166A30"/>
    <w:rsid w:val="00167122"/>
    <w:rsid w:val="001672F4"/>
    <w:rsid w:val="00167453"/>
    <w:rsid w:val="001676A5"/>
    <w:rsid w:val="00167856"/>
    <w:rsid w:val="00167872"/>
    <w:rsid w:val="00167954"/>
    <w:rsid w:val="0017010E"/>
    <w:rsid w:val="001704DF"/>
    <w:rsid w:val="00170B86"/>
    <w:rsid w:val="00170F14"/>
    <w:rsid w:val="0017176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10C2"/>
    <w:rsid w:val="00182214"/>
    <w:rsid w:val="00183653"/>
    <w:rsid w:val="0018410C"/>
    <w:rsid w:val="001849CC"/>
    <w:rsid w:val="0018538D"/>
    <w:rsid w:val="00187BD8"/>
    <w:rsid w:val="00187C3A"/>
    <w:rsid w:val="001913EE"/>
    <w:rsid w:val="0019371F"/>
    <w:rsid w:val="001944CA"/>
    <w:rsid w:val="0019460F"/>
    <w:rsid w:val="00194A58"/>
    <w:rsid w:val="00197CF2"/>
    <w:rsid w:val="001A046B"/>
    <w:rsid w:val="001A0A48"/>
    <w:rsid w:val="001A0E54"/>
    <w:rsid w:val="001A1A85"/>
    <w:rsid w:val="001A21F0"/>
    <w:rsid w:val="001A2841"/>
    <w:rsid w:val="001A42BA"/>
    <w:rsid w:val="001A4B5D"/>
    <w:rsid w:val="001A5051"/>
    <w:rsid w:val="001A5651"/>
    <w:rsid w:val="001A6598"/>
    <w:rsid w:val="001A6DD8"/>
    <w:rsid w:val="001A6EFA"/>
    <w:rsid w:val="001B08ED"/>
    <w:rsid w:val="001B140D"/>
    <w:rsid w:val="001B2679"/>
    <w:rsid w:val="001B36B4"/>
    <w:rsid w:val="001B5520"/>
    <w:rsid w:val="001B59B6"/>
    <w:rsid w:val="001B59BA"/>
    <w:rsid w:val="001C0241"/>
    <w:rsid w:val="001C057C"/>
    <w:rsid w:val="001C0A2D"/>
    <w:rsid w:val="001C0BD4"/>
    <w:rsid w:val="001C18EB"/>
    <w:rsid w:val="001C194E"/>
    <w:rsid w:val="001C213E"/>
    <w:rsid w:val="001C2666"/>
    <w:rsid w:val="001C2995"/>
    <w:rsid w:val="001C2A37"/>
    <w:rsid w:val="001C5A71"/>
    <w:rsid w:val="001C5C1A"/>
    <w:rsid w:val="001C600D"/>
    <w:rsid w:val="001C692F"/>
    <w:rsid w:val="001C6A56"/>
    <w:rsid w:val="001C6E8B"/>
    <w:rsid w:val="001C6F5D"/>
    <w:rsid w:val="001C6FC4"/>
    <w:rsid w:val="001C77CF"/>
    <w:rsid w:val="001D0164"/>
    <w:rsid w:val="001D16B2"/>
    <w:rsid w:val="001D2F35"/>
    <w:rsid w:val="001D354E"/>
    <w:rsid w:val="001D3B4A"/>
    <w:rsid w:val="001D4075"/>
    <w:rsid w:val="001D4421"/>
    <w:rsid w:val="001D48AA"/>
    <w:rsid w:val="001D48BB"/>
    <w:rsid w:val="001D57AC"/>
    <w:rsid w:val="001D5F9B"/>
    <w:rsid w:val="001D641D"/>
    <w:rsid w:val="001D72DC"/>
    <w:rsid w:val="001D797D"/>
    <w:rsid w:val="001E02AA"/>
    <w:rsid w:val="001E10F6"/>
    <w:rsid w:val="001E11D7"/>
    <w:rsid w:val="001E1A58"/>
    <w:rsid w:val="001E2232"/>
    <w:rsid w:val="001E235C"/>
    <w:rsid w:val="001E25FC"/>
    <w:rsid w:val="001E2A9E"/>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08E"/>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396"/>
    <w:rsid w:val="00215A1D"/>
    <w:rsid w:val="00216143"/>
    <w:rsid w:val="00216A2E"/>
    <w:rsid w:val="00216F68"/>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6"/>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0A7"/>
    <w:rsid w:val="00240369"/>
    <w:rsid w:val="002408A7"/>
    <w:rsid w:val="00241078"/>
    <w:rsid w:val="002420DE"/>
    <w:rsid w:val="002423C0"/>
    <w:rsid w:val="0024293D"/>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54EA9"/>
    <w:rsid w:val="002574C2"/>
    <w:rsid w:val="00260410"/>
    <w:rsid w:val="00260B99"/>
    <w:rsid w:val="00261545"/>
    <w:rsid w:val="00261B54"/>
    <w:rsid w:val="0026220A"/>
    <w:rsid w:val="002624CB"/>
    <w:rsid w:val="00263726"/>
    <w:rsid w:val="00263F24"/>
    <w:rsid w:val="00264EA7"/>
    <w:rsid w:val="00264F49"/>
    <w:rsid w:val="002654E3"/>
    <w:rsid w:val="00265EAF"/>
    <w:rsid w:val="002667CE"/>
    <w:rsid w:val="00266F43"/>
    <w:rsid w:val="002672F5"/>
    <w:rsid w:val="0026765F"/>
    <w:rsid w:val="0027031F"/>
    <w:rsid w:val="002703DA"/>
    <w:rsid w:val="00270451"/>
    <w:rsid w:val="00270E15"/>
    <w:rsid w:val="00271844"/>
    <w:rsid w:val="00272BCC"/>
    <w:rsid w:val="002733EF"/>
    <w:rsid w:val="0027383F"/>
    <w:rsid w:val="00273CEA"/>
    <w:rsid w:val="00274892"/>
    <w:rsid w:val="00275560"/>
    <w:rsid w:val="00276196"/>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038"/>
    <w:rsid w:val="002932DC"/>
    <w:rsid w:val="002936D6"/>
    <w:rsid w:val="00293760"/>
    <w:rsid w:val="00294B1A"/>
    <w:rsid w:val="00295F37"/>
    <w:rsid w:val="00296D15"/>
    <w:rsid w:val="0029704A"/>
    <w:rsid w:val="00297575"/>
    <w:rsid w:val="00297A29"/>
    <w:rsid w:val="00297E1A"/>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068D"/>
    <w:rsid w:val="002B1156"/>
    <w:rsid w:val="002B117B"/>
    <w:rsid w:val="002B2B25"/>
    <w:rsid w:val="002B3414"/>
    <w:rsid w:val="002B384E"/>
    <w:rsid w:val="002B3BD3"/>
    <w:rsid w:val="002B3CD6"/>
    <w:rsid w:val="002B3D5A"/>
    <w:rsid w:val="002B43FC"/>
    <w:rsid w:val="002B4EA9"/>
    <w:rsid w:val="002B739C"/>
    <w:rsid w:val="002B7918"/>
    <w:rsid w:val="002C0167"/>
    <w:rsid w:val="002C0256"/>
    <w:rsid w:val="002C18C0"/>
    <w:rsid w:val="002C1B6C"/>
    <w:rsid w:val="002C266A"/>
    <w:rsid w:val="002C2A26"/>
    <w:rsid w:val="002C2FA3"/>
    <w:rsid w:val="002C5170"/>
    <w:rsid w:val="002C5DA9"/>
    <w:rsid w:val="002C607A"/>
    <w:rsid w:val="002C6593"/>
    <w:rsid w:val="002C66CC"/>
    <w:rsid w:val="002C6B06"/>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A53"/>
    <w:rsid w:val="002D7E4B"/>
    <w:rsid w:val="002E0206"/>
    <w:rsid w:val="002E06B4"/>
    <w:rsid w:val="002E0A74"/>
    <w:rsid w:val="002E0EB6"/>
    <w:rsid w:val="002E13FF"/>
    <w:rsid w:val="002E1CF5"/>
    <w:rsid w:val="002E20BB"/>
    <w:rsid w:val="002E22F5"/>
    <w:rsid w:val="002E4DE3"/>
    <w:rsid w:val="002E51CE"/>
    <w:rsid w:val="002E650E"/>
    <w:rsid w:val="002E6A2B"/>
    <w:rsid w:val="002E6AE0"/>
    <w:rsid w:val="002E7779"/>
    <w:rsid w:val="002F0053"/>
    <w:rsid w:val="002F09A8"/>
    <w:rsid w:val="002F1D70"/>
    <w:rsid w:val="002F260A"/>
    <w:rsid w:val="002F2613"/>
    <w:rsid w:val="002F4599"/>
    <w:rsid w:val="002F653F"/>
    <w:rsid w:val="002F6DFB"/>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17F38"/>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297F"/>
    <w:rsid w:val="0033333F"/>
    <w:rsid w:val="003334AC"/>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16F"/>
    <w:rsid w:val="00346886"/>
    <w:rsid w:val="003506AE"/>
    <w:rsid w:val="00350825"/>
    <w:rsid w:val="00351B40"/>
    <w:rsid w:val="00351F1E"/>
    <w:rsid w:val="00353003"/>
    <w:rsid w:val="00353CF6"/>
    <w:rsid w:val="00354CB2"/>
    <w:rsid w:val="00356767"/>
    <w:rsid w:val="003567C1"/>
    <w:rsid w:val="00356DA7"/>
    <w:rsid w:val="0035758D"/>
    <w:rsid w:val="00360C01"/>
    <w:rsid w:val="0036117C"/>
    <w:rsid w:val="003612A1"/>
    <w:rsid w:val="00362324"/>
    <w:rsid w:val="00362A99"/>
    <w:rsid w:val="00362F74"/>
    <w:rsid w:val="003631DD"/>
    <w:rsid w:val="003632F2"/>
    <w:rsid w:val="00364401"/>
    <w:rsid w:val="00365545"/>
    <w:rsid w:val="00366364"/>
    <w:rsid w:val="003663ED"/>
    <w:rsid w:val="0036726C"/>
    <w:rsid w:val="003679C3"/>
    <w:rsid w:val="00367EEA"/>
    <w:rsid w:val="00370A8E"/>
    <w:rsid w:val="003712E9"/>
    <w:rsid w:val="003717C0"/>
    <w:rsid w:val="003719BB"/>
    <w:rsid w:val="00372589"/>
    <w:rsid w:val="00372BFC"/>
    <w:rsid w:val="003738D6"/>
    <w:rsid w:val="00374701"/>
    <w:rsid w:val="00375526"/>
    <w:rsid w:val="00375700"/>
    <w:rsid w:val="00375BDC"/>
    <w:rsid w:val="00376398"/>
    <w:rsid w:val="003765A1"/>
    <w:rsid w:val="00377CF1"/>
    <w:rsid w:val="00380114"/>
    <w:rsid w:val="00380555"/>
    <w:rsid w:val="00380BBE"/>
    <w:rsid w:val="00380CB0"/>
    <w:rsid w:val="00382A46"/>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1E4D"/>
    <w:rsid w:val="003B2363"/>
    <w:rsid w:val="003B287C"/>
    <w:rsid w:val="003B29F0"/>
    <w:rsid w:val="003B3225"/>
    <w:rsid w:val="003B3AD9"/>
    <w:rsid w:val="003B3E4C"/>
    <w:rsid w:val="003B45E4"/>
    <w:rsid w:val="003B45F5"/>
    <w:rsid w:val="003B47E8"/>
    <w:rsid w:val="003B4A57"/>
    <w:rsid w:val="003B4D3E"/>
    <w:rsid w:val="003B54AD"/>
    <w:rsid w:val="003B5654"/>
    <w:rsid w:val="003B59F1"/>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3A9"/>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5221"/>
    <w:rsid w:val="003E5CB7"/>
    <w:rsid w:val="003E6144"/>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5E4"/>
    <w:rsid w:val="00425A95"/>
    <w:rsid w:val="00425E55"/>
    <w:rsid w:val="004278C2"/>
    <w:rsid w:val="004300E5"/>
    <w:rsid w:val="00430C09"/>
    <w:rsid w:val="00431042"/>
    <w:rsid w:val="004310A3"/>
    <w:rsid w:val="00431AC9"/>
    <w:rsid w:val="00432E24"/>
    <w:rsid w:val="00432EBF"/>
    <w:rsid w:val="00432EF9"/>
    <w:rsid w:val="0043352A"/>
    <w:rsid w:val="00433E49"/>
    <w:rsid w:val="004345A1"/>
    <w:rsid w:val="00434621"/>
    <w:rsid w:val="00434E00"/>
    <w:rsid w:val="00435018"/>
    <w:rsid w:val="004350B4"/>
    <w:rsid w:val="004358B5"/>
    <w:rsid w:val="00435A46"/>
    <w:rsid w:val="00436633"/>
    <w:rsid w:val="00437A1D"/>
    <w:rsid w:val="00437E0D"/>
    <w:rsid w:val="00440CF3"/>
    <w:rsid w:val="00441B4B"/>
    <w:rsid w:val="00441E5E"/>
    <w:rsid w:val="00442507"/>
    <w:rsid w:val="00442B1D"/>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BE"/>
    <w:rsid w:val="0045496D"/>
    <w:rsid w:val="004565D7"/>
    <w:rsid w:val="00456714"/>
    <w:rsid w:val="00456E84"/>
    <w:rsid w:val="004602D7"/>
    <w:rsid w:val="004603C5"/>
    <w:rsid w:val="00460839"/>
    <w:rsid w:val="00460AE5"/>
    <w:rsid w:val="00461891"/>
    <w:rsid w:val="004629B8"/>
    <w:rsid w:val="00462EB2"/>
    <w:rsid w:val="00463329"/>
    <w:rsid w:val="004639A8"/>
    <w:rsid w:val="004652AA"/>
    <w:rsid w:val="00465ED0"/>
    <w:rsid w:val="00467258"/>
    <w:rsid w:val="00467EC2"/>
    <w:rsid w:val="004701EC"/>
    <w:rsid w:val="004708E8"/>
    <w:rsid w:val="00471DD1"/>
    <w:rsid w:val="00471F1F"/>
    <w:rsid w:val="00472CD4"/>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38CB"/>
    <w:rsid w:val="00483BD4"/>
    <w:rsid w:val="00485A1A"/>
    <w:rsid w:val="00485A7A"/>
    <w:rsid w:val="0048659D"/>
    <w:rsid w:val="00486786"/>
    <w:rsid w:val="0048738F"/>
    <w:rsid w:val="004901C6"/>
    <w:rsid w:val="004916F9"/>
    <w:rsid w:val="0049229A"/>
    <w:rsid w:val="0049345E"/>
    <w:rsid w:val="00494E5C"/>
    <w:rsid w:val="00494E9F"/>
    <w:rsid w:val="00495083"/>
    <w:rsid w:val="0049537C"/>
    <w:rsid w:val="004954CB"/>
    <w:rsid w:val="00495804"/>
    <w:rsid w:val="00495E4D"/>
    <w:rsid w:val="00496270"/>
    <w:rsid w:val="0049643F"/>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33B"/>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1BBA"/>
    <w:rsid w:val="004C20AA"/>
    <w:rsid w:val="004C2D72"/>
    <w:rsid w:val="004C36CF"/>
    <w:rsid w:val="004C574C"/>
    <w:rsid w:val="004C625B"/>
    <w:rsid w:val="004C6C7F"/>
    <w:rsid w:val="004D098A"/>
    <w:rsid w:val="004D0CF8"/>
    <w:rsid w:val="004D0E01"/>
    <w:rsid w:val="004D0E71"/>
    <w:rsid w:val="004D1063"/>
    <w:rsid w:val="004D1085"/>
    <w:rsid w:val="004D16F3"/>
    <w:rsid w:val="004D22E0"/>
    <w:rsid w:val="004D24E5"/>
    <w:rsid w:val="004D33CD"/>
    <w:rsid w:val="004D351B"/>
    <w:rsid w:val="004D405F"/>
    <w:rsid w:val="004D4557"/>
    <w:rsid w:val="004D4931"/>
    <w:rsid w:val="004D4B57"/>
    <w:rsid w:val="004D5366"/>
    <w:rsid w:val="004D5EF2"/>
    <w:rsid w:val="004D6344"/>
    <w:rsid w:val="004D7AA7"/>
    <w:rsid w:val="004D7D1A"/>
    <w:rsid w:val="004E0336"/>
    <w:rsid w:val="004E07E9"/>
    <w:rsid w:val="004E0EA4"/>
    <w:rsid w:val="004E105E"/>
    <w:rsid w:val="004E1D71"/>
    <w:rsid w:val="004E235D"/>
    <w:rsid w:val="004E258F"/>
    <w:rsid w:val="004E2F6C"/>
    <w:rsid w:val="004E3817"/>
    <w:rsid w:val="004E4065"/>
    <w:rsid w:val="004E4435"/>
    <w:rsid w:val="004E447B"/>
    <w:rsid w:val="004E4F9E"/>
    <w:rsid w:val="004E74C6"/>
    <w:rsid w:val="004E7CDD"/>
    <w:rsid w:val="004E7D22"/>
    <w:rsid w:val="004F0C38"/>
    <w:rsid w:val="004F0EDE"/>
    <w:rsid w:val="004F1043"/>
    <w:rsid w:val="004F1345"/>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361D"/>
    <w:rsid w:val="00505AC0"/>
    <w:rsid w:val="005069FF"/>
    <w:rsid w:val="005071D2"/>
    <w:rsid w:val="00507AE5"/>
    <w:rsid w:val="00507CAD"/>
    <w:rsid w:val="00510068"/>
    <w:rsid w:val="005107B6"/>
    <w:rsid w:val="0051081E"/>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2CEE"/>
    <w:rsid w:val="00533717"/>
    <w:rsid w:val="00534281"/>
    <w:rsid w:val="00535005"/>
    <w:rsid w:val="0053506F"/>
    <w:rsid w:val="0053588C"/>
    <w:rsid w:val="005362A6"/>
    <w:rsid w:val="0053658B"/>
    <w:rsid w:val="00536595"/>
    <w:rsid w:val="00537C22"/>
    <w:rsid w:val="005406DE"/>
    <w:rsid w:val="005409FB"/>
    <w:rsid w:val="00541942"/>
    <w:rsid w:val="00541A3F"/>
    <w:rsid w:val="00541B7F"/>
    <w:rsid w:val="0054279B"/>
    <w:rsid w:val="005427BD"/>
    <w:rsid w:val="00542BAA"/>
    <w:rsid w:val="00542BC8"/>
    <w:rsid w:val="00542C79"/>
    <w:rsid w:val="005432C3"/>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EDA"/>
    <w:rsid w:val="00560DB8"/>
    <w:rsid w:val="0056261C"/>
    <w:rsid w:val="0056287E"/>
    <w:rsid w:val="00566658"/>
    <w:rsid w:val="00567784"/>
    <w:rsid w:val="005702FC"/>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8794D"/>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3F3E"/>
    <w:rsid w:val="005A47D4"/>
    <w:rsid w:val="005A48C1"/>
    <w:rsid w:val="005A4D57"/>
    <w:rsid w:val="005A53DC"/>
    <w:rsid w:val="005A5C74"/>
    <w:rsid w:val="005A5CDD"/>
    <w:rsid w:val="005A6676"/>
    <w:rsid w:val="005A675C"/>
    <w:rsid w:val="005A6E31"/>
    <w:rsid w:val="005A7D32"/>
    <w:rsid w:val="005B05A6"/>
    <w:rsid w:val="005B0EC4"/>
    <w:rsid w:val="005B13E4"/>
    <w:rsid w:val="005B200F"/>
    <w:rsid w:val="005B2698"/>
    <w:rsid w:val="005B2EEA"/>
    <w:rsid w:val="005B4E55"/>
    <w:rsid w:val="005B5CDA"/>
    <w:rsid w:val="005B6497"/>
    <w:rsid w:val="005B69C8"/>
    <w:rsid w:val="005B725C"/>
    <w:rsid w:val="005B76F7"/>
    <w:rsid w:val="005B7CC5"/>
    <w:rsid w:val="005C1747"/>
    <w:rsid w:val="005C2318"/>
    <w:rsid w:val="005C267F"/>
    <w:rsid w:val="005C28D7"/>
    <w:rsid w:val="005C2CE2"/>
    <w:rsid w:val="005C3679"/>
    <w:rsid w:val="005C3978"/>
    <w:rsid w:val="005C3A39"/>
    <w:rsid w:val="005C512C"/>
    <w:rsid w:val="005C5255"/>
    <w:rsid w:val="005C547E"/>
    <w:rsid w:val="005C5E75"/>
    <w:rsid w:val="005C6982"/>
    <w:rsid w:val="005C74AD"/>
    <w:rsid w:val="005D006D"/>
    <w:rsid w:val="005D00A3"/>
    <w:rsid w:val="005D05CF"/>
    <w:rsid w:val="005D0A7C"/>
    <w:rsid w:val="005D1AAD"/>
    <w:rsid w:val="005D1CF8"/>
    <w:rsid w:val="005D1F0F"/>
    <w:rsid w:val="005D226D"/>
    <w:rsid w:val="005D2EAB"/>
    <w:rsid w:val="005D3920"/>
    <w:rsid w:val="005D3C3D"/>
    <w:rsid w:val="005D453F"/>
    <w:rsid w:val="005D48ED"/>
    <w:rsid w:val="005D5196"/>
    <w:rsid w:val="005D54E1"/>
    <w:rsid w:val="005D6BB2"/>
    <w:rsid w:val="005D7C73"/>
    <w:rsid w:val="005E07A2"/>
    <w:rsid w:val="005E164C"/>
    <w:rsid w:val="005E1724"/>
    <w:rsid w:val="005E1897"/>
    <w:rsid w:val="005E35DD"/>
    <w:rsid w:val="005E3B0A"/>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121"/>
    <w:rsid w:val="005F344B"/>
    <w:rsid w:val="005F3FA4"/>
    <w:rsid w:val="005F4F32"/>
    <w:rsid w:val="005F5593"/>
    <w:rsid w:val="005F61DC"/>
    <w:rsid w:val="005F65D2"/>
    <w:rsid w:val="005F6918"/>
    <w:rsid w:val="005F6C4F"/>
    <w:rsid w:val="005F6D93"/>
    <w:rsid w:val="005F7E22"/>
    <w:rsid w:val="005F7FE9"/>
    <w:rsid w:val="0060138E"/>
    <w:rsid w:val="0060248C"/>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4E7A"/>
    <w:rsid w:val="006263EC"/>
    <w:rsid w:val="006269E9"/>
    <w:rsid w:val="0062748A"/>
    <w:rsid w:val="00627D06"/>
    <w:rsid w:val="00630DD6"/>
    <w:rsid w:val="0063109A"/>
    <w:rsid w:val="00631D48"/>
    <w:rsid w:val="00631DDC"/>
    <w:rsid w:val="00632313"/>
    <w:rsid w:val="00632A4C"/>
    <w:rsid w:val="00632D06"/>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1BC"/>
    <w:rsid w:val="00651721"/>
    <w:rsid w:val="0065191A"/>
    <w:rsid w:val="0065265C"/>
    <w:rsid w:val="00653488"/>
    <w:rsid w:val="00653629"/>
    <w:rsid w:val="00653A4C"/>
    <w:rsid w:val="006546AC"/>
    <w:rsid w:val="00654A7F"/>
    <w:rsid w:val="00654CE2"/>
    <w:rsid w:val="00654EBF"/>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6D3"/>
    <w:rsid w:val="0067398C"/>
    <w:rsid w:val="00673A9B"/>
    <w:rsid w:val="00673C84"/>
    <w:rsid w:val="00674372"/>
    <w:rsid w:val="00677004"/>
    <w:rsid w:val="00680BB4"/>
    <w:rsid w:val="0068271A"/>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2A"/>
    <w:rsid w:val="006B2CDC"/>
    <w:rsid w:val="006B2E5B"/>
    <w:rsid w:val="006B3137"/>
    <w:rsid w:val="006B47B3"/>
    <w:rsid w:val="006B51FA"/>
    <w:rsid w:val="006B58BA"/>
    <w:rsid w:val="006B76F0"/>
    <w:rsid w:val="006C0C71"/>
    <w:rsid w:val="006C1F2C"/>
    <w:rsid w:val="006C2AB5"/>
    <w:rsid w:val="006C41B0"/>
    <w:rsid w:val="006C440F"/>
    <w:rsid w:val="006C5DAC"/>
    <w:rsid w:val="006C6539"/>
    <w:rsid w:val="006C67DF"/>
    <w:rsid w:val="006C700F"/>
    <w:rsid w:val="006C7F0D"/>
    <w:rsid w:val="006D002C"/>
    <w:rsid w:val="006D05B4"/>
    <w:rsid w:val="006D0630"/>
    <w:rsid w:val="006D0E78"/>
    <w:rsid w:val="006D1C74"/>
    <w:rsid w:val="006D1E31"/>
    <w:rsid w:val="006D207B"/>
    <w:rsid w:val="006D302D"/>
    <w:rsid w:val="006D38E0"/>
    <w:rsid w:val="006D3AB1"/>
    <w:rsid w:val="006D3C29"/>
    <w:rsid w:val="006D3F40"/>
    <w:rsid w:val="006D47A3"/>
    <w:rsid w:val="006D49A0"/>
    <w:rsid w:val="006D4F8C"/>
    <w:rsid w:val="006D53DF"/>
    <w:rsid w:val="006D5935"/>
    <w:rsid w:val="006D5B80"/>
    <w:rsid w:val="006D63E8"/>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CBC"/>
    <w:rsid w:val="006E6E27"/>
    <w:rsid w:val="006E7435"/>
    <w:rsid w:val="006E765B"/>
    <w:rsid w:val="006E7C2E"/>
    <w:rsid w:val="006F10EC"/>
    <w:rsid w:val="006F1749"/>
    <w:rsid w:val="006F21D3"/>
    <w:rsid w:val="006F2BED"/>
    <w:rsid w:val="006F3E3F"/>
    <w:rsid w:val="006F44DE"/>
    <w:rsid w:val="006F5D98"/>
    <w:rsid w:val="006F6578"/>
    <w:rsid w:val="006F76AD"/>
    <w:rsid w:val="006F7BF8"/>
    <w:rsid w:val="0070026A"/>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34FF"/>
    <w:rsid w:val="00724982"/>
    <w:rsid w:val="007255AD"/>
    <w:rsid w:val="007258CD"/>
    <w:rsid w:val="007258E6"/>
    <w:rsid w:val="0072628A"/>
    <w:rsid w:val="007263D9"/>
    <w:rsid w:val="00726CD2"/>
    <w:rsid w:val="007275E5"/>
    <w:rsid w:val="007275F7"/>
    <w:rsid w:val="00727B4C"/>
    <w:rsid w:val="007304F6"/>
    <w:rsid w:val="007306C2"/>
    <w:rsid w:val="00731121"/>
    <w:rsid w:val="0073163B"/>
    <w:rsid w:val="00731EA4"/>
    <w:rsid w:val="007327FF"/>
    <w:rsid w:val="007334F8"/>
    <w:rsid w:val="00734609"/>
    <w:rsid w:val="00734EEF"/>
    <w:rsid w:val="00735892"/>
    <w:rsid w:val="00735A33"/>
    <w:rsid w:val="00735FD9"/>
    <w:rsid w:val="007374F6"/>
    <w:rsid w:val="007425DA"/>
    <w:rsid w:val="00742C7A"/>
    <w:rsid w:val="00742C7C"/>
    <w:rsid w:val="00743218"/>
    <w:rsid w:val="00743451"/>
    <w:rsid w:val="00743739"/>
    <w:rsid w:val="007448B4"/>
    <w:rsid w:val="00744EB8"/>
    <w:rsid w:val="007453E8"/>
    <w:rsid w:val="00745FAB"/>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C4E"/>
    <w:rsid w:val="00775389"/>
    <w:rsid w:val="00776B47"/>
    <w:rsid w:val="007819BE"/>
    <w:rsid w:val="00781AF8"/>
    <w:rsid w:val="007823AB"/>
    <w:rsid w:val="00782BD4"/>
    <w:rsid w:val="00782C77"/>
    <w:rsid w:val="007832F7"/>
    <w:rsid w:val="00783A40"/>
    <w:rsid w:val="007846F0"/>
    <w:rsid w:val="007848B9"/>
    <w:rsid w:val="00785CFD"/>
    <w:rsid w:val="00785E9C"/>
    <w:rsid w:val="007872A5"/>
    <w:rsid w:val="007874CF"/>
    <w:rsid w:val="00787C00"/>
    <w:rsid w:val="00791310"/>
    <w:rsid w:val="00791973"/>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79E"/>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28D"/>
    <w:rsid w:val="007C3C3A"/>
    <w:rsid w:val="007C5058"/>
    <w:rsid w:val="007C6086"/>
    <w:rsid w:val="007C626A"/>
    <w:rsid w:val="007C657A"/>
    <w:rsid w:val="007C748D"/>
    <w:rsid w:val="007D0164"/>
    <w:rsid w:val="007D037A"/>
    <w:rsid w:val="007D15E3"/>
    <w:rsid w:val="007D1B3B"/>
    <w:rsid w:val="007D2FDA"/>
    <w:rsid w:val="007D3C32"/>
    <w:rsid w:val="007D3E14"/>
    <w:rsid w:val="007D6637"/>
    <w:rsid w:val="007D6B86"/>
    <w:rsid w:val="007D6D8E"/>
    <w:rsid w:val="007D73E8"/>
    <w:rsid w:val="007D7F86"/>
    <w:rsid w:val="007E004C"/>
    <w:rsid w:val="007E0548"/>
    <w:rsid w:val="007E0A6F"/>
    <w:rsid w:val="007E0B10"/>
    <w:rsid w:val="007E154F"/>
    <w:rsid w:val="007E1708"/>
    <w:rsid w:val="007E2B30"/>
    <w:rsid w:val="007E2BEB"/>
    <w:rsid w:val="007E407D"/>
    <w:rsid w:val="007E4854"/>
    <w:rsid w:val="007E65D1"/>
    <w:rsid w:val="007E6884"/>
    <w:rsid w:val="007E7107"/>
    <w:rsid w:val="007E7316"/>
    <w:rsid w:val="007E7DE6"/>
    <w:rsid w:val="007F0A63"/>
    <w:rsid w:val="007F22B6"/>
    <w:rsid w:val="007F2B19"/>
    <w:rsid w:val="007F2B89"/>
    <w:rsid w:val="007F2D8F"/>
    <w:rsid w:val="007F2ED0"/>
    <w:rsid w:val="007F38E1"/>
    <w:rsid w:val="007F405B"/>
    <w:rsid w:val="007F4469"/>
    <w:rsid w:val="007F454B"/>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A7E"/>
    <w:rsid w:val="00806F68"/>
    <w:rsid w:val="008077E3"/>
    <w:rsid w:val="00810A97"/>
    <w:rsid w:val="00810C41"/>
    <w:rsid w:val="00810DCD"/>
    <w:rsid w:val="00811CDA"/>
    <w:rsid w:val="00811E03"/>
    <w:rsid w:val="0081317C"/>
    <w:rsid w:val="00813DF3"/>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19F0"/>
    <w:rsid w:val="00832098"/>
    <w:rsid w:val="00832230"/>
    <w:rsid w:val="00833010"/>
    <w:rsid w:val="00834B8A"/>
    <w:rsid w:val="00836601"/>
    <w:rsid w:val="008376C0"/>
    <w:rsid w:val="008377A9"/>
    <w:rsid w:val="00837844"/>
    <w:rsid w:val="008378F3"/>
    <w:rsid w:val="00837C2C"/>
    <w:rsid w:val="008402AF"/>
    <w:rsid w:val="00840653"/>
    <w:rsid w:val="00842EAC"/>
    <w:rsid w:val="008437F0"/>
    <w:rsid w:val="00844FDA"/>
    <w:rsid w:val="00846125"/>
    <w:rsid w:val="0084653C"/>
    <w:rsid w:val="00846A71"/>
    <w:rsid w:val="00846D42"/>
    <w:rsid w:val="0085115C"/>
    <w:rsid w:val="00851CC6"/>
    <w:rsid w:val="00851FF5"/>
    <w:rsid w:val="00853245"/>
    <w:rsid w:val="0085387C"/>
    <w:rsid w:val="00855778"/>
    <w:rsid w:val="008579B3"/>
    <w:rsid w:val="0086034A"/>
    <w:rsid w:val="00862C5C"/>
    <w:rsid w:val="0086319F"/>
    <w:rsid w:val="008631E1"/>
    <w:rsid w:val="0086388F"/>
    <w:rsid w:val="00863BF2"/>
    <w:rsid w:val="008653B6"/>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4F8"/>
    <w:rsid w:val="0088482A"/>
    <w:rsid w:val="008849DA"/>
    <w:rsid w:val="00884CAF"/>
    <w:rsid w:val="0088500A"/>
    <w:rsid w:val="008858D5"/>
    <w:rsid w:val="00885B75"/>
    <w:rsid w:val="00886C4C"/>
    <w:rsid w:val="008876AE"/>
    <w:rsid w:val="00887C14"/>
    <w:rsid w:val="008905B8"/>
    <w:rsid w:val="0089150D"/>
    <w:rsid w:val="00891798"/>
    <w:rsid w:val="00891CCD"/>
    <w:rsid w:val="00891EAB"/>
    <w:rsid w:val="008928F7"/>
    <w:rsid w:val="00892955"/>
    <w:rsid w:val="00892F89"/>
    <w:rsid w:val="00893BFA"/>
    <w:rsid w:val="00895A0F"/>
    <w:rsid w:val="00895F70"/>
    <w:rsid w:val="008963DD"/>
    <w:rsid w:val="00897267"/>
    <w:rsid w:val="0089728D"/>
    <w:rsid w:val="00897586"/>
    <w:rsid w:val="00897818"/>
    <w:rsid w:val="008A13A1"/>
    <w:rsid w:val="008A17BF"/>
    <w:rsid w:val="008A1C3F"/>
    <w:rsid w:val="008A2D5B"/>
    <w:rsid w:val="008A30A0"/>
    <w:rsid w:val="008A34B3"/>
    <w:rsid w:val="008A3800"/>
    <w:rsid w:val="008A39A1"/>
    <w:rsid w:val="008A3C63"/>
    <w:rsid w:val="008A530A"/>
    <w:rsid w:val="008A5AB1"/>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7435"/>
    <w:rsid w:val="008E7869"/>
    <w:rsid w:val="008F0058"/>
    <w:rsid w:val="008F04B8"/>
    <w:rsid w:val="008F0761"/>
    <w:rsid w:val="008F07AF"/>
    <w:rsid w:val="008F07D7"/>
    <w:rsid w:val="008F1257"/>
    <w:rsid w:val="008F179A"/>
    <w:rsid w:val="008F1841"/>
    <w:rsid w:val="008F1B1D"/>
    <w:rsid w:val="008F267F"/>
    <w:rsid w:val="008F3005"/>
    <w:rsid w:val="008F40C7"/>
    <w:rsid w:val="008F4A55"/>
    <w:rsid w:val="008F52EC"/>
    <w:rsid w:val="008F663E"/>
    <w:rsid w:val="008F6F40"/>
    <w:rsid w:val="008F720E"/>
    <w:rsid w:val="008F76FD"/>
    <w:rsid w:val="008F7E49"/>
    <w:rsid w:val="008F7F38"/>
    <w:rsid w:val="00900089"/>
    <w:rsid w:val="00900807"/>
    <w:rsid w:val="009010AD"/>
    <w:rsid w:val="00901656"/>
    <w:rsid w:val="00901C5C"/>
    <w:rsid w:val="00901D04"/>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88F"/>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27530"/>
    <w:rsid w:val="00930A68"/>
    <w:rsid w:val="00932664"/>
    <w:rsid w:val="00932DDF"/>
    <w:rsid w:val="00933542"/>
    <w:rsid w:val="009336DE"/>
    <w:rsid w:val="0093391A"/>
    <w:rsid w:val="00933ED6"/>
    <w:rsid w:val="0093447A"/>
    <w:rsid w:val="0093476B"/>
    <w:rsid w:val="00934E37"/>
    <w:rsid w:val="00934E7D"/>
    <w:rsid w:val="00934E9E"/>
    <w:rsid w:val="009351FB"/>
    <w:rsid w:val="0093536C"/>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20"/>
    <w:rsid w:val="009646E8"/>
    <w:rsid w:val="00964FCB"/>
    <w:rsid w:val="009660BC"/>
    <w:rsid w:val="00967550"/>
    <w:rsid w:val="009701E0"/>
    <w:rsid w:val="0097158A"/>
    <w:rsid w:val="009716FA"/>
    <w:rsid w:val="00971A1F"/>
    <w:rsid w:val="00971B5E"/>
    <w:rsid w:val="009729FC"/>
    <w:rsid w:val="00973464"/>
    <w:rsid w:val="00974058"/>
    <w:rsid w:val="0097466B"/>
    <w:rsid w:val="009752A8"/>
    <w:rsid w:val="0097573A"/>
    <w:rsid w:val="00976231"/>
    <w:rsid w:val="009800DB"/>
    <w:rsid w:val="00981498"/>
    <w:rsid w:val="00981528"/>
    <w:rsid w:val="009815C6"/>
    <w:rsid w:val="00982045"/>
    <w:rsid w:val="009828ED"/>
    <w:rsid w:val="0098466A"/>
    <w:rsid w:val="009857B5"/>
    <w:rsid w:val="00985B83"/>
    <w:rsid w:val="00985CA0"/>
    <w:rsid w:val="00986B97"/>
    <w:rsid w:val="00987153"/>
    <w:rsid w:val="00987513"/>
    <w:rsid w:val="00990372"/>
    <w:rsid w:val="009912BD"/>
    <w:rsid w:val="00992BF9"/>
    <w:rsid w:val="00992CEF"/>
    <w:rsid w:val="00993823"/>
    <w:rsid w:val="00993B16"/>
    <w:rsid w:val="00994118"/>
    <w:rsid w:val="00994AF2"/>
    <w:rsid w:val="00995F22"/>
    <w:rsid w:val="009960C6"/>
    <w:rsid w:val="0099666B"/>
    <w:rsid w:val="009A03EF"/>
    <w:rsid w:val="009A0C13"/>
    <w:rsid w:val="009A1D4D"/>
    <w:rsid w:val="009A1E91"/>
    <w:rsid w:val="009A1F7C"/>
    <w:rsid w:val="009A21CA"/>
    <w:rsid w:val="009A3487"/>
    <w:rsid w:val="009A3780"/>
    <w:rsid w:val="009A4584"/>
    <w:rsid w:val="009A5002"/>
    <w:rsid w:val="009A5AD1"/>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3BD"/>
    <w:rsid w:val="009B7872"/>
    <w:rsid w:val="009C0C65"/>
    <w:rsid w:val="009C1041"/>
    <w:rsid w:val="009C1184"/>
    <w:rsid w:val="009C184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354"/>
    <w:rsid w:val="009D65D9"/>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07E"/>
    <w:rsid w:val="009F3AB4"/>
    <w:rsid w:val="009F3EA0"/>
    <w:rsid w:val="009F4A7B"/>
    <w:rsid w:val="009F5346"/>
    <w:rsid w:val="009F5418"/>
    <w:rsid w:val="009F5631"/>
    <w:rsid w:val="009F575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C64"/>
    <w:rsid w:val="00A10268"/>
    <w:rsid w:val="00A10362"/>
    <w:rsid w:val="00A104F4"/>
    <w:rsid w:val="00A10DA7"/>
    <w:rsid w:val="00A10F60"/>
    <w:rsid w:val="00A11FD0"/>
    <w:rsid w:val="00A120AD"/>
    <w:rsid w:val="00A12BEC"/>
    <w:rsid w:val="00A12EFF"/>
    <w:rsid w:val="00A13080"/>
    <w:rsid w:val="00A1337B"/>
    <w:rsid w:val="00A134DE"/>
    <w:rsid w:val="00A13D6B"/>
    <w:rsid w:val="00A159B6"/>
    <w:rsid w:val="00A15D64"/>
    <w:rsid w:val="00A16287"/>
    <w:rsid w:val="00A20DB2"/>
    <w:rsid w:val="00A22500"/>
    <w:rsid w:val="00A23A07"/>
    <w:rsid w:val="00A2420D"/>
    <w:rsid w:val="00A24956"/>
    <w:rsid w:val="00A25084"/>
    <w:rsid w:val="00A2654C"/>
    <w:rsid w:val="00A26864"/>
    <w:rsid w:val="00A304A0"/>
    <w:rsid w:val="00A30AB2"/>
    <w:rsid w:val="00A30CEF"/>
    <w:rsid w:val="00A31090"/>
    <w:rsid w:val="00A311C0"/>
    <w:rsid w:val="00A31492"/>
    <w:rsid w:val="00A31F09"/>
    <w:rsid w:val="00A3224A"/>
    <w:rsid w:val="00A3238B"/>
    <w:rsid w:val="00A33799"/>
    <w:rsid w:val="00A33EAA"/>
    <w:rsid w:val="00A34B42"/>
    <w:rsid w:val="00A36437"/>
    <w:rsid w:val="00A36479"/>
    <w:rsid w:val="00A36943"/>
    <w:rsid w:val="00A36975"/>
    <w:rsid w:val="00A36C0C"/>
    <w:rsid w:val="00A3756C"/>
    <w:rsid w:val="00A40F1B"/>
    <w:rsid w:val="00A419FF"/>
    <w:rsid w:val="00A42C96"/>
    <w:rsid w:val="00A43CD0"/>
    <w:rsid w:val="00A43E39"/>
    <w:rsid w:val="00A44AE0"/>
    <w:rsid w:val="00A44AF0"/>
    <w:rsid w:val="00A44E73"/>
    <w:rsid w:val="00A455D6"/>
    <w:rsid w:val="00A45A6F"/>
    <w:rsid w:val="00A45F43"/>
    <w:rsid w:val="00A46339"/>
    <w:rsid w:val="00A463AD"/>
    <w:rsid w:val="00A463CD"/>
    <w:rsid w:val="00A46C0E"/>
    <w:rsid w:val="00A46C1F"/>
    <w:rsid w:val="00A4745F"/>
    <w:rsid w:val="00A47477"/>
    <w:rsid w:val="00A47560"/>
    <w:rsid w:val="00A478DD"/>
    <w:rsid w:val="00A47E48"/>
    <w:rsid w:val="00A47EB7"/>
    <w:rsid w:val="00A50104"/>
    <w:rsid w:val="00A5163E"/>
    <w:rsid w:val="00A5188F"/>
    <w:rsid w:val="00A51A45"/>
    <w:rsid w:val="00A52CB7"/>
    <w:rsid w:val="00A52FFE"/>
    <w:rsid w:val="00A533C8"/>
    <w:rsid w:val="00A53553"/>
    <w:rsid w:val="00A55B7E"/>
    <w:rsid w:val="00A55DAD"/>
    <w:rsid w:val="00A56BC1"/>
    <w:rsid w:val="00A5720F"/>
    <w:rsid w:val="00A5777E"/>
    <w:rsid w:val="00A57C55"/>
    <w:rsid w:val="00A6052C"/>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49F6"/>
    <w:rsid w:val="00A74F8B"/>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36C"/>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A7E98"/>
    <w:rsid w:val="00AB0151"/>
    <w:rsid w:val="00AB09DD"/>
    <w:rsid w:val="00AB1331"/>
    <w:rsid w:val="00AB136F"/>
    <w:rsid w:val="00AB1A5B"/>
    <w:rsid w:val="00AB2475"/>
    <w:rsid w:val="00AB2835"/>
    <w:rsid w:val="00AB34A3"/>
    <w:rsid w:val="00AB360D"/>
    <w:rsid w:val="00AB3C1A"/>
    <w:rsid w:val="00AB451C"/>
    <w:rsid w:val="00AB58F3"/>
    <w:rsid w:val="00AB5E52"/>
    <w:rsid w:val="00AB6260"/>
    <w:rsid w:val="00AB733B"/>
    <w:rsid w:val="00AB7B1A"/>
    <w:rsid w:val="00AC0AF4"/>
    <w:rsid w:val="00AC0FAB"/>
    <w:rsid w:val="00AC1454"/>
    <w:rsid w:val="00AC1FBE"/>
    <w:rsid w:val="00AC200C"/>
    <w:rsid w:val="00AC2833"/>
    <w:rsid w:val="00AC3B34"/>
    <w:rsid w:val="00AC3BDA"/>
    <w:rsid w:val="00AC4E0D"/>
    <w:rsid w:val="00AC56E0"/>
    <w:rsid w:val="00AC7F6D"/>
    <w:rsid w:val="00AD02DA"/>
    <w:rsid w:val="00AD0793"/>
    <w:rsid w:val="00AD088D"/>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98F"/>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70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27D99"/>
    <w:rsid w:val="00B30012"/>
    <w:rsid w:val="00B30A31"/>
    <w:rsid w:val="00B30BA0"/>
    <w:rsid w:val="00B31A5C"/>
    <w:rsid w:val="00B31A64"/>
    <w:rsid w:val="00B334B5"/>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B81"/>
    <w:rsid w:val="00B44569"/>
    <w:rsid w:val="00B44AF0"/>
    <w:rsid w:val="00B4514D"/>
    <w:rsid w:val="00B45A51"/>
    <w:rsid w:val="00B45F96"/>
    <w:rsid w:val="00B46C58"/>
    <w:rsid w:val="00B4708F"/>
    <w:rsid w:val="00B473AA"/>
    <w:rsid w:val="00B52203"/>
    <w:rsid w:val="00B5241E"/>
    <w:rsid w:val="00B525D5"/>
    <w:rsid w:val="00B52A2F"/>
    <w:rsid w:val="00B52AF3"/>
    <w:rsid w:val="00B531B7"/>
    <w:rsid w:val="00B53655"/>
    <w:rsid w:val="00B540C7"/>
    <w:rsid w:val="00B542D4"/>
    <w:rsid w:val="00B546ED"/>
    <w:rsid w:val="00B54BD5"/>
    <w:rsid w:val="00B565AE"/>
    <w:rsid w:val="00B57504"/>
    <w:rsid w:val="00B57B25"/>
    <w:rsid w:val="00B57FCD"/>
    <w:rsid w:val="00B60BD7"/>
    <w:rsid w:val="00B60D9E"/>
    <w:rsid w:val="00B61447"/>
    <w:rsid w:val="00B615F0"/>
    <w:rsid w:val="00B61928"/>
    <w:rsid w:val="00B6243A"/>
    <w:rsid w:val="00B62752"/>
    <w:rsid w:val="00B63793"/>
    <w:rsid w:val="00B647FB"/>
    <w:rsid w:val="00B64C8E"/>
    <w:rsid w:val="00B650AD"/>
    <w:rsid w:val="00B658C6"/>
    <w:rsid w:val="00B65C28"/>
    <w:rsid w:val="00B666DA"/>
    <w:rsid w:val="00B701A2"/>
    <w:rsid w:val="00B70E9E"/>
    <w:rsid w:val="00B713DF"/>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BE9"/>
    <w:rsid w:val="00B827B7"/>
    <w:rsid w:val="00B82A00"/>
    <w:rsid w:val="00B82CFC"/>
    <w:rsid w:val="00B82EB1"/>
    <w:rsid w:val="00B83208"/>
    <w:rsid w:val="00B838C9"/>
    <w:rsid w:val="00B846E9"/>
    <w:rsid w:val="00B84FAB"/>
    <w:rsid w:val="00B85ED2"/>
    <w:rsid w:val="00B860DB"/>
    <w:rsid w:val="00B87418"/>
    <w:rsid w:val="00B87D05"/>
    <w:rsid w:val="00B91F48"/>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3131"/>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5D66"/>
    <w:rsid w:val="00BC6A2F"/>
    <w:rsid w:val="00BC6F63"/>
    <w:rsid w:val="00BC723B"/>
    <w:rsid w:val="00BD0D11"/>
    <w:rsid w:val="00BD188E"/>
    <w:rsid w:val="00BD25EB"/>
    <w:rsid w:val="00BD3F8F"/>
    <w:rsid w:val="00BD4219"/>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37B5"/>
    <w:rsid w:val="00C04FA3"/>
    <w:rsid w:val="00C0507E"/>
    <w:rsid w:val="00C06345"/>
    <w:rsid w:val="00C104C8"/>
    <w:rsid w:val="00C109E4"/>
    <w:rsid w:val="00C10CAD"/>
    <w:rsid w:val="00C1167E"/>
    <w:rsid w:val="00C11CAF"/>
    <w:rsid w:val="00C12D7B"/>
    <w:rsid w:val="00C13CFD"/>
    <w:rsid w:val="00C1414A"/>
    <w:rsid w:val="00C143CC"/>
    <w:rsid w:val="00C15E88"/>
    <w:rsid w:val="00C1642D"/>
    <w:rsid w:val="00C16780"/>
    <w:rsid w:val="00C1688B"/>
    <w:rsid w:val="00C16FF3"/>
    <w:rsid w:val="00C1720B"/>
    <w:rsid w:val="00C17D01"/>
    <w:rsid w:val="00C20339"/>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EF2"/>
    <w:rsid w:val="00C42217"/>
    <w:rsid w:val="00C42452"/>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6F11"/>
    <w:rsid w:val="00C57965"/>
    <w:rsid w:val="00C57DBB"/>
    <w:rsid w:val="00C6056E"/>
    <w:rsid w:val="00C613DE"/>
    <w:rsid w:val="00C62667"/>
    <w:rsid w:val="00C6416E"/>
    <w:rsid w:val="00C64235"/>
    <w:rsid w:val="00C6437E"/>
    <w:rsid w:val="00C65820"/>
    <w:rsid w:val="00C6709F"/>
    <w:rsid w:val="00C67761"/>
    <w:rsid w:val="00C67A74"/>
    <w:rsid w:val="00C70DCD"/>
    <w:rsid w:val="00C70E3F"/>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2AF"/>
    <w:rsid w:val="00C83374"/>
    <w:rsid w:val="00C833A9"/>
    <w:rsid w:val="00C85CD7"/>
    <w:rsid w:val="00C86E80"/>
    <w:rsid w:val="00C903C1"/>
    <w:rsid w:val="00C90432"/>
    <w:rsid w:val="00C904D0"/>
    <w:rsid w:val="00C91B00"/>
    <w:rsid w:val="00C91D63"/>
    <w:rsid w:val="00C91DB3"/>
    <w:rsid w:val="00C9277A"/>
    <w:rsid w:val="00C940E9"/>
    <w:rsid w:val="00C945AE"/>
    <w:rsid w:val="00C95493"/>
    <w:rsid w:val="00C956ED"/>
    <w:rsid w:val="00C967CC"/>
    <w:rsid w:val="00C973B8"/>
    <w:rsid w:val="00CA0FA7"/>
    <w:rsid w:val="00CA1416"/>
    <w:rsid w:val="00CA2BE7"/>
    <w:rsid w:val="00CA51A6"/>
    <w:rsid w:val="00CA5694"/>
    <w:rsid w:val="00CA5A12"/>
    <w:rsid w:val="00CA6D7D"/>
    <w:rsid w:val="00CA7B52"/>
    <w:rsid w:val="00CB0A5D"/>
    <w:rsid w:val="00CB1B03"/>
    <w:rsid w:val="00CB2AA3"/>
    <w:rsid w:val="00CB3245"/>
    <w:rsid w:val="00CB386C"/>
    <w:rsid w:val="00CB3D90"/>
    <w:rsid w:val="00CB40E6"/>
    <w:rsid w:val="00CB5C80"/>
    <w:rsid w:val="00CB5EAE"/>
    <w:rsid w:val="00CB706B"/>
    <w:rsid w:val="00CC0196"/>
    <w:rsid w:val="00CC0AC5"/>
    <w:rsid w:val="00CC0B16"/>
    <w:rsid w:val="00CC15DC"/>
    <w:rsid w:val="00CC1985"/>
    <w:rsid w:val="00CC2BBD"/>
    <w:rsid w:val="00CC2D0B"/>
    <w:rsid w:val="00CC2FF9"/>
    <w:rsid w:val="00CC47EC"/>
    <w:rsid w:val="00CC4991"/>
    <w:rsid w:val="00CC49E5"/>
    <w:rsid w:val="00CC4B36"/>
    <w:rsid w:val="00CC6A84"/>
    <w:rsid w:val="00CC73DF"/>
    <w:rsid w:val="00CC7A7A"/>
    <w:rsid w:val="00CC7F1B"/>
    <w:rsid w:val="00CD034B"/>
    <w:rsid w:val="00CD0979"/>
    <w:rsid w:val="00CD09FF"/>
    <w:rsid w:val="00CD0BE6"/>
    <w:rsid w:val="00CD0CD1"/>
    <w:rsid w:val="00CD1688"/>
    <w:rsid w:val="00CD186A"/>
    <w:rsid w:val="00CD195E"/>
    <w:rsid w:val="00CD25B5"/>
    <w:rsid w:val="00CD2727"/>
    <w:rsid w:val="00CD2A43"/>
    <w:rsid w:val="00CD373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0F7"/>
    <w:rsid w:val="00CF21C3"/>
    <w:rsid w:val="00CF3FB1"/>
    <w:rsid w:val="00CF44AB"/>
    <w:rsid w:val="00CF4861"/>
    <w:rsid w:val="00CF4D9C"/>
    <w:rsid w:val="00CF5B39"/>
    <w:rsid w:val="00CF6CD0"/>
    <w:rsid w:val="00CF713C"/>
    <w:rsid w:val="00D01288"/>
    <w:rsid w:val="00D01D3D"/>
    <w:rsid w:val="00D03A01"/>
    <w:rsid w:val="00D03AE5"/>
    <w:rsid w:val="00D03BA5"/>
    <w:rsid w:val="00D0406C"/>
    <w:rsid w:val="00D0446D"/>
    <w:rsid w:val="00D06EE4"/>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187"/>
    <w:rsid w:val="00D27F24"/>
    <w:rsid w:val="00D3027A"/>
    <w:rsid w:val="00D30A31"/>
    <w:rsid w:val="00D30BAD"/>
    <w:rsid w:val="00D30C8A"/>
    <w:rsid w:val="00D3122A"/>
    <w:rsid w:val="00D3172D"/>
    <w:rsid w:val="00D321EF"/>
    <w:rsid w:val="00D3241B"/>
    <w:rsid w:val="00D32510"/>
    <w:rsid w:val="00D327D9"/>
    <w:rsid w:val="00D332DF"/>
    <w:rsid w:val="00D344FC"/>
    <w:rsid w:val="00D366F5"/>
    <w:rsid w:val="00D37241"/>
    <w:rsid w:val="00D37873"/>
    <w:rsid w:val="00D40639"/>
    <w:rsid w:val="00D40A37"/>
    <w:rsid w:val="00D41607"/>
    <w:rsid w:val="00D41B1C"/>
    <w:rsid w:val="00D4364A"/>
    <w:rsid w:val="00D44A5D"/>
    <w:rsid w:val="00D46E90"/>
    <w:rsid w:val="00D50F9F"/>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D47"/>
    <w:rsid w:val="00D75FBB"/>
    <w:rsid w:val="00D76CA5"/>
    <w:rsid w:val="00D76D02"/>
    <w:rsid w:val="00D77612"/>
    <w:rsid w:val="00D80EF7"/>
    <w:rsid w:val="00D81FFB"/>
    <w:rsid w:val="00D8342D"/>
    <w:rsid w:val="00D83F23"/>
    <w:rsid w:val="00D844CB"/>
    <w:rsid w:val="00D8479A"/>
    <w:rsid w:val="00D85434"/>
    <w:rsid w:val="00D85DE4"/>
    <w:rsid w:val="00D8614D"/>
    <w:rsid w:val="00D867C8"/>
    <w:rsid w:val="00D86902"/>
    <w:rsid w:val="00D87483"/>
    <w:rsid w:val="00D8767B"/>
    <w:rsid w:val="00D90106"/>
    <w:rsid w:val="00D90F06"/>
    <w:rsid w:val="00D91475"/>
    <w:rsid w:val="00D91B26"/>
    <w:rsid w:val="00D91C45"/>
    <w:rsid w:val="00D92744"/>
    <w:rsid w:val="00D9277D"/>
    <w:rsid w:val="00D92B9F"/>
    <w:rsid w:val="00D92CEC"/>
    <w:rsid w:val="00D9338B"/>
    <w:rsid w:val="00D94159"/>
    <w:rsid w:val="00D94BF7"/>
    <w:rsid w:val="00D960C5"/>
    <w:rsid w:val="00D96360"/>
    <w:rsid w:val="00D96373"/>
    <w:rsid w:val="00D9692B"/>
    <w:rsid w:val="00D96963"/>
    <w:rsid w:val="00D972A9"/>
    <w:rsid w:val="00D9761D"/>
    <w:rsid w:val="00D977A3"/>
    <w:rsid w:val="00D978EA"/>
    <w:rsid w:val="00DA18E9"/>
    <w:rsid w:val="00DA1DCB"/>
    <w:rsid w:val="00DA1E33"/>
    <w:rsid w:val="00DA1FA2"/>
    <w:rsid w:val="00DA1FB2"/>
    <w:rsid w:val="00DA4159"/>
    <w:rsid w:val="00DA4A0D"/>
    <w:rsid w:val="00DA651B"/>
    <w:rsid w:val="00DA664E"/>
    <w:rsid w:val="00DA6FE8"/>
    <w:rsid w:val="00DA7136"/>
    <w:rsid w:val="00DA75A2"/>
    <w:rsid w:val="00DB07FB"/>
    <w:rsid w:val="00DB1161"/>
    <w:rsid w:val="00DB1E18"/>
    <w:rsid w:val="00DB29D2"/>
    <w:rsid w:val="00DB2D2C"/>
    <w:rsid w:val="00DB2DB8"/>
    <w:rsid w:val="00DB403E"/>
    <w:rsid w:val="00DB44AC"/>
    <w:rsid w:val="00DB4DA0"/>
    <w:rsid w:val="00DB585E"/>
    <w:rsid w:val="00DB67BA"/>
    <w:rsid w:val="00DB6E93"/>
    <w:rsid w:val="00DC0970"/>
    <w:rsid w:val="00DC20D4"/>
    <w:rsid w:val="00DC25CF"/>
    <w:rsid w:val="00DC2A63"/>
    <w:rsid w:val="00DC30B6"/>
    <w:rsid w:val="00DC43B9"/>
    <w:rsid w:val="00DC4B03"/>
    <w:rsid w:val="00DC50F6"/>
    <w:rsid w:val="00DC5A9A"/>
    <w:rsid w:val="00DC6007"/>
    <w:rsid w:val="00DC63BA"/>
    <w:rsid w:val="00DC6F55"/>
    <w:rsid w:val="00DC762C"/>
    <w:rsid w:val="00DC7782"/>
    <w:rsid w:val="00DC7C02"/>
    <w:rsid w:val="00DC7C64"/>
    <w:rsid w:val="00DC7DF0"/>
    <w:rsid w:val="00DD002C"/>
    <w:rsid w:val="00DD003E"/>
    <w:rsid w:val="00DD04CC"/>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5EBF"/>
    <w:rsid w:val="00DE6F37"/>
    <w:rsid w:val="00DF06FD"/>
    <w:rsid w:val="00DF0A93"/>
    <w:rsid w:val="00DF1FA1"/>
    <w:rsid w:val="00DF276A"/>
    <w:rsid w:val="00DF2918"/>
    <w:rsid w:val="00DF2E20"/>
    <w:rsid w:val="00DF370E"/>
    <w:rsid w:val="00DF4E5C"/>
    <w:rsid w:val="00DF4F7B"/>
    <w:rsid w:val="00DF5ABE"/>
    <w:rsid w:val="00DF5DB4"/>
    <w:rsid w:val="00DF5F11"/>
    <w:rsid w:val="00DF627B"/>
    <w:rsid w:val="00DF671E"/>
    <w:rsid w:val="00DF674C"/>
    <w:rsid w:val="00DF6DE6"/>
    <w:rsid w:val="00DF78EF"/>
    <w:rsid w:val="00DF7B52"/>
    <w:rsid w:val="00DF7CD8"/>
    <w:rsid w:val="00E0020C"/>
    <w:rsid w:val="00E003A0"/>
    <w:rsid w:val="00E018B7"/>
    <w:rsid w:val="00E0194E"/>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B7"/>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69B"/>
    <w:rsid w:val="00E67CC6"/>
    <w:rsid w:val="00E67F9B"/>
    <w:rsid w:val="00E70A85"/>
    <w:rsid w:val="00E70CA8"/>
    <w:rsid w:val="00E716FC"/>
    <w:rsid w:val="00E72674"/>
    <w:rsid w:val="00E726E3"/>
    <w:rsid w:val="00E72BFB"/>
    <w:rsid w:val="00E72E01"/>
    <w:rsid w:val="00E73C1D"/>
    <w:rsid w:val="00E73E0B"/>
    <w:rsid w:val="00E7426F"/>
    <w:rsid w:val="00E74535"/>
    <w:rsid w:val="00E7498B"/>
    <w:rsid w:val="00E74BA2"/>
    <w:rsid w:val="00E74BEA"/>
    <w:rsid w:val="00E74C43"/>
    <w:rsid w:val="00E75223"/>
    <w:rsid w:val="00E7551B"/>
    <w:rsid w:val="00E75992"/>
    <w:rsid w:val="00E76187"/>
    <w:rsid w:val="00E7669F"/>
    <w:rsid w:val="00E766A5"/>
    <w:rsid w:val="00E766F4"/>
    <w:rsid w:val="00E76EBD"/>
    <w:rsid w:val="00E77AFF"/>
    <w:rsid w:val="00E80E56"/>
    <w:rsid w:val="00E80F1B"/>
    <w:rsid w:val="00E81987"/>
    <w:rsid w:val="00E81ABC"/>
    <w:rsid w:val="00E81B60"/>
    <w:rsid w:val="00E81CA9"/>
    <w:rsid w:val="00E82759"/>
    <w:rsid w:val="00E82911"/>
    <w:rsid w:val="00E8318C"/>
    <w:rsid w:val="00E83797"/>
    <w:rsid w:val="00E83D4F"/>
    <w:rsid w:val="00E84378"/>
    <w:rsid w:val="00E84DA2"/>
    <w:rsid w:val="00E84EAB"/>
    <w:rsid w:val="00E85757"/>
    <w:rsid w:val="00E85F9C"/>
    <w:rsid w:val="00E869E5"/>
    <w:rsid w:val="00E86C25"/>
    <w:rsid w:val="00E876C2"/>
    <w:rsid w:val="00E8793D"/>
    <w:rsid w:val="00E87FE9"/>
    <w:rsid w:val="00E91395"/>
    <w:rsid w:val="00E91464"/>
    <w:rsid w:val="00E923B6"/>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7D9"/>
    <w:rsid w:val="00EB2E8C"/>
    <w:rsid w:val="00EB3416"/>
    <w:rsid w:val="00EB36E3"/>
    <w:rsid w:val="00EB515D"/>
    <w:rsid w:val="00EB5539"/>
    <w:rsid w:val="00EB5E54"/>
    <w:rsid w:val="00EB7621"/>
    <w:rsid w:val="00EB79A7"/>
    <w:rsid w:val="00EC099D"/>
    <w:rsid w:val="00EC1A50"/>
    <w:rsid w:val="00EC2289"/>
    <w:rsid w:val="00EC2651"/>
    <w:rsid w:val="00EC2D84"/>
    <w:rsid w:val="00EC4CD4"/>
    <w:rsid w:val="00EC5065"/>
    <w:rsid w:val="00EC517F"/>
    <w:rsid w:val="00EC5545"/>
    <w:rsid w:val="00EC5BD4"/>
    <w:rsid w:val="00EC665E"/>
    <w:rsid w:val="00EC66ED"/>
    <w:rsid w:val="00EC73A9"/>
    <w:rsid w:val="00EC73B0"/>
    <w:rsid w:val="00ED026B"/>
    <w:rsid w:val="00ED028A"/>
    <w:rsid w:val="00ED03E5"/>
    <w:rsid w:val="00ED0BA9"/>
    <w:rsid w:val="00ED135A"/>
    <w:rsid w:val="00ED1C45"/>
    <w:rsid w:val="00ED23C1"/>
    <w:rsid w:val="00ED297B"/>
    <w:rsid w:val="00ED3169"/>
    <w:rsid w:val="00ED3D63"/>
    <w:rsid w:val="00ED3EB2"/>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3CD"/>
    <w:rsid w:val="00F02CDD"/>
    <w:rsid w:val="00F03544"/>
    <w:rsid w:val="00F0366C"/>
    <w:rsid w:val="00F04061"/>
    <w:rsid w:val="00F042B9"/>
    <w:rsid w:val="00F046D3"/>
    <w:rsid w:val="00F047ED"/>
    <w:rsid w:val="00F06431"/>
    <w:rsid w:val="00F06919"/>
    <w:rsid w:val="00F07190"/>
    <w:rsid w:val="00F10B13"/>
    <w:rsid w:val="00F10E0B"/>
    <w:rsid w:val="00F110ED"/>
    <w:rsid w:val="00F11816"/>
    <w:rsid w:val="00F12859"/>
    <w:rsid w:val="00F14189"/>
    <w:rsid w:val="00F14C89"/>
    <w:rsid w:val="00F15357"/>
    <w:rsid w:val="00F156C5"/>
    <w:rsid w:val="00F165FC"/>
    <w:rsid w:val="00F16CE5"/>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4E7"/>
    <w:rsid w:val="00F43768"/>
    <w:rsid w:val="00F43E01"/>
    <w:rsid w:val="00F44A5C"/>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3E80"/>
    <w:rsid w:val="00F6443A"/>
    <w:rsid w:val="00F64FAA"/>
    <w:rsid w:val="00F653E6"/>
    <w:rsid w:val="00F656DB"/>
    <w:rsid w:val="00F65E06"/>
    <w:rsid w:val="00F67F5F"/>
    <w:rsid w:val="00F70AB0"/>
    <w:rsid w:val="00F71BF2"/>
    <w:rsid w:val="00F71FD0"/>
    <w:rsid w:val="00F7275C"/>
    <w:rsid w:val="00F7279A"/>
    <w:rsid w:val="00F73330"/>
    <w:rsid w:val="00F733F9"/>
    <w:rsid w:val="00F73748"/>
    <w:rsid w:val="00F73D16"/>
    <w:rsid w:val="00F73D39"/>
    <w:rsid w:val="00F75FEB"/>
    <w:rsid w:val="00F7625A"/>
    <w:rsid w:val="00F764FF"/>
    <w:rsid w:val="00F805B3"/>
    <w:rsid w:val="00F8201B"/>
    <w:rsid w:val="00F837B2"/>
    <w:rsid w:val="00F861EF"/>
    <w:rsid w:val="00F86626"/>
    <w:rsid w:val="00F86721"/>
    <w:rsid w:val="00F8751C"/>
    <w:rsid w:val="00F87D25"/>
    <w:rsid w:val="00F902F7"/>
    <w:rsid w:val="00F90DC5"/>
    <w:rsid w:val="00F91752"/>
    <w:rsid w:val="00F91E39"/>
    <w:rsid w:val="00F92356"/>
    <w:rsid w:val="00F92650"/>
    <w:rsid w:val="00F92E78"/>
    <w:rsid w:val="00F9306D"/>
    <w:rsid w:val="00F94AB8"/>
    <w:rsid w:val="00F95978"/>
    <w:rsid w:val="00F95C0A"/>
    <w:rsid w:val="00F96F81"/>
    <w:rsid w:val="00F9741D"/>
    <w:rsid w:val="00F97515"/>
    <w:rsid w:val="00F979EB"/>
    <w:rsid w:val="00F97A1F"/>
    <w:rsid w:val="00F97EE4"/>
    <w:rsid w:val="00FA11A0"/>
    <w:rsid w:val="00FA1ED7"/>
    <w:rsid w:val="00FA290E"/>
    <w:rsid w:val="00FA459A"/>
    <w:rsid w:val="00FA69B8"/>
    <w:rsid w:val="00FA70EB"/>
    <w:rsid w:val="00FA7761"/>
    <w:rsid w:val="00FA7AE4"/>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6CCE"/>
    <w:rsid w:val="00FE744E"/>
    <w:rsid w:val="00FE761D"/>
    <w:rsid w:val="00FE7EEA"/>
    <w:rsid w:val="00FE7FE6"/>
    <w:rsid w:val="00FF0AAC"/>
    <w:rsid w:val="00FF0E06"/>
    <w:rsid w:val="00FF1116"/>
    <w:rsid w:val="00FF189F"/>
    <w:rsid w:val="00FF1A27"/>
    <w:rsid w:val="00FF3D8D"/>
    <w:rsid w:val="00FF42E4"/>
    <w:rsid w:val="00FF49F5"/>
    <w:rsid w:val="00FF5046"/>
    <w:rsid w:val="00FF65F5"/>
    <w:rsid w:val="00FF722A"/>
    <w:rsid w:val="00FF73F9"/>
    <w:rsid w:val="00FF75F1"/>
    <w:rsid w:val="00FF7B77"/>
    <w:rsid w:val="00FF7E3F"/>
    <w:rsid w:val="6655C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ECCBE0C"/>
  <w15:chartTrackingRefBased/>
  <w15:docId w15:val="{C6C33951-3C17-4F51-90DA-3C7034DDD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qFormat/>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har2"/>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1"/>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 w:type="paragraph" w:customStyle="1" w:styleId="Agreement">
    <w:name w:val="Agreement"/>
    <w:basedOn w:val="Normal"/>
    <w:next w:val="Normal"/>
    <w:uiPriority w:val="99"/>
    <w:qFormat/>
    <w:rsid w:val="00463329"/>
    <w:pPr>
      <w:numPr>
        <w:numId w:val="3"/>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CommentTextChar">
    <w:name w:val="Comment Text Char"/>
    <w:link w:val="CommentText"/>
    <w:rsid w:val="005F3121"/>
    <w:rPr>
      <w:rFonts w:eastAsia="Times New Roman"/>
      <w:lang w:val="en-GB" w:eastAsia="en-US"/>
    </w:rPr>
  </w:style>
  <w:style w:type="character" w:customStyle="1" w:styleId="B2Char">
    <w:name w:val="B2 Char"/>
    <w:link w:val="B2"/>
    <w:qFormat/>
    <w:rsid w:val="00932DDF"/>
    <w:rPr>
      <w:rFonts w:eastAsia="Times New Roman"/>
      <w:lang w:val="en-GB" w:eastAsia="en-US"/>
    </w:rPr>
  </w:style>
  <w:style w:type="character" w:customStyle="1" w:styleId="B3Char2">
    <w:name w:val="B3 Char2"/>
    <w:link w:val="B3"/>
    <w:qFormat/>
    <w:rsid w:val="00932DDF"/>
    <w:rPr>
      <w:rFonts w:eastAsia="Times New Roman"/>
      <w:lang w:val="en-GB" w:eastAsia="en-US"/>
    </w:rPr>
  </w:style>
  <w:style w:type="paragraph" w:styleId="NormalWeb">
    <w:name w:val="Normal (Web)"/>
    <w:basedOn w:val="Normal"/>
    <w:uiPriority w:val="99"/>
    <w:unhideWhenUsed/>
    <w:rsid w:val="001C6E8B"/>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44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91959154">
      <w:bodyDiv w:val="1"/>
      <w:marLeft w:val="0"/>
      <w:marRight w:val="0"/>
      <w:marTop w:val="0"/>
      <w:marBottom w:val="0"/>
      <w:divBdr>
        <w:top w:val="none" w:sz="0" w:space="0" w:color="auto"/>
        <w:left w:val="none" w:sz="0" w:space="0" w:color="auto"/>
        <w:bottom w:val="none" w:sz="0" w:space="0" w:color="auto"/>
        <w:right w:val="none" w:sz="0" w:space="0" w:color="auto"/>
      </w:divBdr>
    </w:div>
    <w:div w:id="506750378">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91090235">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07307430">
      <w:bodyDiv w:val="1"/>
      <w:marLeft w:val="0"/>
      <w:marRight w:val="0"/>
      <w:marTop w:val="0"/>
      <w:marBottom w:val="0"/>
      <w:divBdr>
        <w:top w:val="none" w:sz="0" w:space="0" w:color="auto"/>
        <w:left w:val="none" w:sz="0" w:space="0" w:color="auto"/>
        <w:bottom w:val="none" w:sz="0" w:space="0" w:color="auto"/>
        <w:right w:val="none" w:sz="0" w:space="0" w:color="auto"/>
      </w:divBdr>
    </w:div>
    <w:div w:id="1139031661">
      <w:bodyDiv w:val="1"/>
      <w:marLeft w:val="0"/>
      <w:marRight w:val="0"/>
      <w:marTop w:val="0"/>
      <w:marBottom w:val="0"/>
      <w:divBdr>
        <w:top w:val="none" w:sz="0" w:space="0" w:color="auto"/>
        <w:left w:val="none" w:sz="0" w:space="0" w:color="auto"/>
        <w:bottom w:val="none" w:sz="0" w:space="0" w:color="auto"/>
        <w:right w:val="none" w:sz="0" w:space="0" w:color="auto"/>
      </w:divBdr>
      <w:divsChild>
        <w:div w:id="1119690145">
          <w:marLeft w:val="547"/>
          <w:marRight w:val="0"/>
          <w:marTop w:val="0"/>
          <w:marBottom w:val="0"/>
          <w:divBdr>
            <w:top w:val="none" w:sz="0" w:space="0" w:color="auto"/>
            <w:left w:val="none" w:sz="0" w:space="0" w:color="auto"/>
            <w:bottom w:val="none" w:sz="0" w:space="0" w:color="auto"/>
            <w:right w:val="none" w:sz="0" w:space="0" w:color="auto"/>
          </w:divBdr>
        </w:div>
        <w:div w:id="607855541">
          <w:marLeft w:val="547"/>
          <w:marRight w:val="0"/>
          <w:marTop w:val="0"/>
          <w:marBottom w:val="0"/>
          <w:divBdr>
            <w:top w:val="none" w:sz="0" w:space="0" w:color="auto"/>
            <w:left w:val="none" w:sz="0" w:space="0" w:color="auto"/>
            <w:bottom w:val="none" w:sz="0" w:space="0" w:color="auto"/>
            <w:right w:val="none" w:sz="0" w:space="0" w:color="auto"/>
          </w:divBdr>
        </w:div>
        <w:div w:id="2036539710">
          <w:marLeft w:val="547"/>
          <w:marRight w:val="0"/>
          <w:marTop w:val="0"/>
          <w:marBottom w:val="0"/>
          <w:divBdr>
            <w:top w:val="none" w:sz="0" w:space="0" w:color="auto"/>
            <w:left w:val="none" w:sz="0" w:space="0" w:color="auto"/>
            <w:bottom w:val="none" w:sz="0" w:space="0" w:color="auto"/>
            <w:right w:val="none" w:sz="0" w:space="0" w:color="auto"/>
          </w:divBdr>
        </w:div>
        <w:div w:id="1622881358">
          <w:marLeft w:val="547"/>
          <w:marRight w:val="0"/>
          <w:marTop w:val="0"/>
          <w:marBottom w:val="0"/>
          <w:divBdr>
            <w:top w:val="none" w:sz="0" w:space="0" w:color="auto"/>
            <w:left w:val="none" w:sz="0" w:space="0" w:color="auto"/>
            <w:bottom w:val="none" w:sz="0" w:space="0" w:color="auto"/>
            <w:right w:val="none" w:sz="0" w:space="0" w:color="auto"/>
          </w:divBdr>
        </w:div>
        <w:div w:id="1045367728">
          <w:marLeft w:val="547"/>
          <w:marRight w:val="0"/>
          <w:marTop w:val="0"/>
          <w:marBottom w:val="0"/>
          <w:divBdr>
            <w:top w:val="none" w:sz="0" w:space="0" w:color="auto"/>
            <w:left w:val="none" w:sz="0" w:space="0" w:color="auto"/>
            <w:bottom w:val="none" w:sz="0" w:space="0" w:color="auto"/>
            <w:right w:val="none" w:sz="0" w:space="0" w:color="auto"/>
          </w:divBdr>
        </w:div>
        <w:div w:id="1685791128">
          <w:marLeft w:val="547"/>
          <w:marRight w:val="0"/>
          <w:marTop w:val="0"/>
          <w:marBottom w:val="0"/>
          <w:divBdr>
            <w:top w:val="none" w:sz="0" w:space="0" w:color="auto"/>
            <w:left w:val="none" w:sz="0" w:space="0" w:color="auto"/>
            <w:bottom w:val="none" w:sz="0" w:space="0" w:color="auto"/>
            <w:right w:val="none" w:sz="0" w:space="0" w:color="auto"/>
          </w:divBdr>
        </w:div>
        <w:div w:id="1684236682">
          <w:marLeft w:val="547"/>
          <w:marRight w:val="0"/>
          <w:marTop w:val="0"/>
          <w:marBottom w:val="0"/>
          <w:divBdr>
            <w:top w:val="none" w:sz="0" w:space="0" w:color="auto"/>
            <w:left w:val="none" w:sz="0" w:space="0" w:color="auto"/>
            <w:bottom w:val="none" w:sz="0" w:space="0" w:color="auto"/>
            <w:right w:val="none" w:sz="0" w:space="0" w:color="auto"/>
          </w:divBdr>
        </w:div>
        <w:div w:id="637802867">
          <w:marLeft w:val="547"/>
          <w:marRight w:val="0"/>
          <w:marTop w:val="0"/>
          <w:marBottom w:val="0"/>
          <w:divBdr>
            <w:top w:val="none" w:sz="0" w:space="0" w:color="auto"/>
            <w:left w:val="none" w:sz="0" w:space="0" w:color="auto"/>
            <w:bottom w:val="none" w:sz="0" w:space="0" w:color="auto"/>
            <w:right w:val="none" w:sz="0" w:space="0" w:color="auto"/>
          </w:divBdr>
        </w:div>
        <w:div w:id="1436559404">
          <w:marLeft w:val="547"/>
          <w:marRight w:val="0"/>
          <w:marTop w:val="0"/>
          <w:marBottom w:val="0"/>
          <w:divBdr>
            <w:top w:val="none" w:sz="0" w:space="0" w:color="auto"/>
            <w:left w:val="none" w:sz="0" w:space="0" w:color="auto"/>
            <w:bottom w:val="none" w:sz="0" w:space="0" w:color="auto"/>
            <w:right w:val="none" w:sz="0" w:space="0" w:color="auto"/>
          </w:divBdr>
        </w:div>
        <w:div w:id="267275377">
          <w:marLeft w:val="547"/>
          <w:marRight w:val="0"/>
          <w:marTop w:val="0"/>
          <w:marBottom w:val="0"/>
          <w:divBdr>
            <w:top w:val="none" w:sz="0" w:space="0" w:color="auto"/>
            <w:left w:val="none" w:sz="0" w:space="0" w:color="auto"/>
            <w:bottom w:val="none" w:sz="0" w:space="0" w:color="auto"/>
            <w:right w:val="none" w:sz="0" w:space="0" w:color="auto"/>
          </w:divBdr>
        </w:div>
        <w:div w:id="705369057">
          <w:marLeft w:val="547"/>
          <w:marRight w:val="0"/>
          <w:marTop w:val="0"/>
          <w:marBottom w:val="0"/>
          <w:divBdr>
            <w:top w:val="none" w:sz="0" w:space="0" w:color="auto"/>
            <w:left w:val="none" w:sz="0" w:space="0" w:color="auto"/>
            <w:bottom w:val="none" w:sz="0" w:space="0" w:color="auto"/>
            <w:right w:val="none" w:sz="0" w:space="0" w:color="auto"/>
          </w:divBdr>
        </w:div>
        <w:div w:id="1187138692">
          <w:marLeft w:val="547"/>
          <w:marRight w:val="0"/>
          <w:marTop w:val="0"/>
          <w:marBottom w:val="0"/>
          <w:divBdr>
            <w:top w:val="none" w:sz="0" w:space="0" w:color="auto"/>
            <w:left w:val="none" w:sz="0" w:space="0" w:color="auto"/>
            <w:bottom w:val="none" w:sz="0" w:space="0" w:color="auto"/>
            <w:right w:val="none" w:sz="0" w:space="0" w:color="auto"/>
          </w:divBdr>
        </w:div>
      </w:divsChild>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67662981">
      <w:bodyDiv w:val="1"/>
      <w:marLeft w:val="0"/>
      <w:marRight w:val="0"/>
      <w:marTop w:val="0"/>
      <w:marBottom w:val="0"/>
      <w:divBdr>
        <w:top w:val="none" w:sz="0" w:space="0" w:color="auto"/>
        <w:left w:val="none" w:sz="0" w:space="0" w:color="auto"/>
        <w:bottom w:val="none" w:sz="0" w:space="0" w:color="auto"/>
        <w:right w:val="none" w:sz="0" w:space="0" w:color="auto"/>
      </w:divBdr>
    </w:div>
    <w:div w:id="1304002207">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63968864">
      <w:bodyDiv w:val="1"/>
      <w:marLeft w:val="0"/>
      <w:marRight w:val="0"/>
      <w:marTop w:val="0"/>
      <w:marBottom w:val="0"/>
      <w:divBdr>
        <w:top w:val="none" w:sz="0" w:space="0" w:color="auto"/>
        <w:left w:val="none" w:sz="0" w:space="0" w:color="auto"/>
        <w:bottom w:val="none" w:sz="0" w:space="0" w:color="auto"/>
        <w:right w:val="none" w:sz="0" w:space="0" w:color="auto"/>
      </w:divBdr>
    </w:div>
    <w:div w:id="1682658140">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55922795">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4343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6CF180560CBA4293CA65D653366D3B" ma:contentTypeVersion="0" ma:contentTypeDescription="Create a new document." ma:contentTypeScope="" ma:versionID="2a55e519ad0ecbfae2d68371dfd467c1">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64684-9830-4438-8743-2F847D811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C99CD92-D6DC-4261-8E9E-D269E7204692}">
  <ds:schemaRefs>
    <ds:schemaRef ds:uri="http://schemas.microsoft.com/sharepoint/v3/contenttype/forms"/>
  </ds:schemaRefs>
</ds:datastoreItem>
</file>

<file path=customXml/itemProps3.xml><?xml version="1.0" encoding="utf-8"?>
<ds:datastoreItem xmlns:ds="http://schemas.openxmlformats.org/officeDocument/2006/customXml" ds:itemID="{B941D064-8E99-4C03-98F6-00582B59AA65}">
  <ds:schemaRefs>
    <ds:schemaRef ds:uri="http://www.w3.org/XML/1998/namespace"/>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terms/"/>
    <ds:schemaRef ds:uri="http://purl.org/dc/elements/1.1/"/>
  </ds:schemaRefs>
</ds:datastoreItem>
</file>

<file path=customXml/itemProps4.xml><?xml version="1.0" encoding="utf-8"?>
<ds:datastoreItem xmlns:ds="http://schemas.openxmlformats.org/officeDocument/2006/customXml" ds:itemID="{09F1E9FB-11BA-4497-9361-11BEC748B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4239</Words>
  <Characters>24163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28346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Dawid Koziol</cp:lastModifiedBy>
  <cp:revision>2</cp:revision>
  <cp:lastPrinted>2014-08-13T16:20:00Z</cp:lastPrinted>
  <dcterms:created xsi:type="dcterms:W3CDTF">2021-05-10T19:45:00Z</dcterms:created>
  <dcterms:modified xsi:type="dcterms:W3CDTF">2021-05-10T19:45:00Z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(3)JEqH0wcRiMTfSYfbxTgO0SF+ULwFnbcwSkxUeH9qKHDXWfzMamSVpUwFJt1ot4xpQ+pqHONm_x000d_
k/IjU+vjaYnJhmfSP+KMg6t8+cv5YcSDVLY3VXk6zaq+BdFj98hk6T+V/kL9/J4rKUh6N16P_x000d_
+AImraJwQ5MVjGBBK/LNcuZWSgRUxmVJCj2haN0bCCrbE6fezUDXbhYq8BTSVul/YTAdTlUq_x000d_
S741B7/KA2dYtaxUJc</vt:lpwstr>
  </property>
  <property fmtid="{D5CDD505-2E9C-101B-9397-08002B2CF9AE}" pid="3" name="_2015_ms_pID_7253431">
    <vt:lpwstr>7ATF5EVcsddAkAJVNwhxSTxe9oaZESnPKiz03VD0/22Vkc3pXI4EMv_x000d_
IRI12zjExGAHl5ZUuK1qOfOTMhE1JVLBqQvJH4Oka8XTapf4T393Cy0tcQoP+dJqdBb2Pzmz_x000d_
LccTicJOuxEQKjrMcJ/dJwfsaqEWxUXT3uIpP8q8Bb3lpITpJaLBC4bIiAAcCQrGVQVRGtob_x000d_
ZoNxt5BAH/AKwyYWdoArdQjjFr0RO5ls62oc</vt:lpwstr>
  </property>
  <property fmtid="{D5CDD505-2E9C-101B-9397-08002B2CF9AE}" pid="4" name="_2015_ms_pID_7253432">
    <vt:lpwstr>mRCcEUHu7RkSXSMtjXtoQfo=</vt:lpwstr>
  </property>
  <property fmtid="{D5CDD505-2E9C-101B-9397-08002B2CF9AE}" pid="5" name="ContentTypeId">
    <vt:lpwstr>0x010100E36CF180560CBA4293CA65D653366D3B</vt:lpwstr>
  </property>
</Properties>
</file>