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  <w:tab w:val="right" w:pos="13323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TSG-RAN2 Meeting #1</w:t>
      </w:r>
      <w:r>
        <w:rPr>
          <w:rFonts w:hint="eastAsia" w:cs="黑体"/>
          <w:b/>
          <w:sz w:val="24"/>
          <w:szCs w:val="24"/>
          <w:lang w:val="en-US" w:eastAsia="zh-CN"/>
        </w:rPr>
        <w:t>14</w:t>
      </w:r>
      <w:r>
        <w:rPr>
          <w:b/>
          <w:sz w:val="24"/>
        </w:rPr>
        <w:tab/>
      </w:r>
      <w:r>
        <w:rPr>
          <w:b/>
          <w:sz w:val="24"/>
        </w:rPr>
        <w:t>R2-2</w:t>
      </w:r>
      <w:r>
        <w:rPr>
          <w:rFonts w:hint="eastAsia"/>
          <w:b/>
          <w:sz w:val="24"/>
          <w:lang w:val="en-US" w:eastAsia="zh-CN"/>
        </w:rPr>
        <w:t>105181(</w:t>
      </w:r>
      <w:r>
        <w:rPr>
          <w:rFonts w:hint="eastAsia"/>
          <w:b/>
          <w:sz w:val="18"/>
          <w:szCs w:val="18"/>
          <w:lang w:val="en-US" w:eastAsia="zh-CN"/>
        </w:rPr>
        <w:t>revision of R2-2104549</w:t>
      </w:r>
      <w:r>
        <w:rPr>
          <w:rFonts w:hint="eastAsia"/>
          <w:b/>
          <w:sz w:val="24"/>
          <w:lang w:val="en-US" w:eastAsia="zh-CN"/>
        </w:rPr>
        <w:t>)</w:t>
      </w:r>
    </w:p>
    <w:p>
      <w:pPr>
        <w:pStyle w:val="82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 xml:space="preserve">Online, </w:t>
      </w:r>
      <w:r>
        <w:rPr>
          <w:rFonts w:hint="eastAsia"/>
          <w:b/>
          <w:sz w:val="24"/>
          <w:szCs w:val="22"/>
          <w:lang w:val="en-US" w:eastAsia="zh-CN"/>
        </w:rPr>
        <w:t>May19</w:t>
      </w:r>
      <w:r>
        <w:rPr>
          <w:b/>
          <w:sz w:val="24"/>
          <w:szCs w:val="22"/>
          <w:lang w:val="de-DE" w:eastAsia="zh-CN"/>
        </w:rPr>
        <w:t xml:space="preserve">th - </w:t>
      </w:r>
      <w:r>
        <w:rPr>
          <w:rFonts w:hint="eastAsia"/>
          <w:b/>
          <w:sz w:val="24"/>
          <w:szCs w:val="22"/>
          <w:lang w:val="en-US" w:eastAsia="zh-CN"/>
        </w:rPr>
        <w:t>May 27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0568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744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240"/>
        <w:gridCol w:w="104"/>
        <w:gridCol w:w="791"/>
        <w:gridCol w:w="284"/>
        <w:gridCol w:w="104"/>
        <w:gridCol w:w="463"/>
        <w:gridCol w:w="1700"/>
        <w:gridCol w:w="567"/>
        <w:gridCol w:w="143"/>
        <w:gridCol w:w="104"/>
        <w:gridCol w:w="177"/>
        <w:gridCol w:w="993"/>
        <w:gridCol w:w="2127"/>
        <w:gridCol w:w="104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9640" w:type="dxa"/>
            <w:gridSpan w:val="1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3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CR on the 35M45M supporting-R1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3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RAN2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3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7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6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>
            <w:pPr>
              <w:pStyle w:val="82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A </w:t>
            </w:r>
          </w:p>
        </w:tc>
        <w:tc>
          <w:tcPr>
            <w:tcW w:w="4013" w:type="dxa"/>
            <w:gridSpan w:val="7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11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557" w:type="dxa"/>
            <w:gridSpan w:val="12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With the current spec, to indicate supporting of 35M/45M, the UE has to report a </w:t>
            </w:r>
            <w:r>
              <w:rPr>
                <w:rFonts w:ascii="Arial" w:hAnsi="Arial" w:cs="Arial"/>
                <w:lang w:eastAsia="en-GB"/>
              </w:rPr>
              <w:t>SupportedBandwidth</w:t>
            </w:r>
            <w:r>
              <w:rPr>
                <w:rFonts w:ascii="Arial" w:hAnsi="Arial" w:cs="Arial"/>
                <w:lang w:val="en-US" w:eastAsia="zh-CN"/>
              </w:rPr>
              <w:t xml:space="preserve"> wider than channelBW_UL/DL and this </w:t>
            </w:r>
            <w:r>
              <w:rPr>
                <w:rFonts w:ascii="Arial" w:hAnsi="Arial" w:cs="Arial"/>
                <w:lang w:eastAsia="en-GB"/>
              </w:rPr>
              <w:t>SupportedBandwidth</w:t>
            </w:r>
            <w:r>
              <w:rPr>
                <w:rFonts w:ascii="Arial" w:hAnsi="Arial" w:cs="Arial"/>
                <w:lang w:val="en-US" w:eastAsia="zh-CN"/>
              </w:rPr>
              <w:t xml:space="preserve"> may even not be included in the </w:t>
            </w:r>
            <w:r>
              <w:rPr>
                <w:rFonts w:ascii="Arial" w:hAnsi="Arial" w:cs="Arial"/>
              </w:rPr>
              <w:t xml:space="preserve">Table 5.3.5-1 </w:t>
            </w:r>
            <w:r>
              <w:rPr>
                <w:rFonts w:ascii="Arial" w:hAnsi="Arial" w:cs="Arial"/>
                <w:lang w:val="en-US" w:eastAsia="zh-CN"/>
              </w:rPr>
              <w:t xml:space="preserve">of </w:t>
            </w:r>
            <w:r>
              <w:rPr>
                <w:rFonts w:ascii="Arial" w:hAnsi="Arial" w:cs="Arial"/>
              </w:rPr>
              <w:t>TS 38.101-1</w:t>
            </w:r>
            <w:r>
              <w:rPr>
                <w:rFonts w:ascii="Arial" w:hAnsi="Arial" w:cs="Arial"/>
                <w:lang w:val="en-US" w:eastAsia="zh-CN"/>
              </w:rPr>
              <w:t xml:space="preserve"> for the corresponding band. However, it has been clearly specified that “</w:t>
            </w:r>
            <w:r>
              <w:rPr>
                <w:rFonts w:ascii="Arial" w:hAnsi="Arial" w:cs="Arial"/>
                <w:szCs w:val="21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i/>
                <w:iCs/>
              </w:rPr>
              <w:t>supportedBandwidth</w:t>
            </w:r>
            <w:r>
              <w:rPr>
                <w:rFonts w:ascii="Arial" w:hAnsi="Arial" w:cs="Arial"/>
                <w:i/>
                <w:iCs/>
                <w:lang w:val="en-US" w:eastAsia="zh-CN"/>
              </w:rPr>
              <w:t xml:space="preserve">DL/UL </w:t>
            </w:r>
            <w:r>
              <w:rPr>
                <w:rFonts w:ascii="Arial" w:hAnsi="Arial" w:cs="Arial"/>
                <w:szCs w:val="21"/>
                <w:lang w:val="en-US" w:eastAsia="zh-CN"/>
              </w:rPr>
              <w:t>shall be defined in Table 5.3.5-1 in TS 38.101-1 for FR1 and Table 5.3.5-1 in TS 38.101-2 for FR2.”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12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12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Add a </w:t>
            </w:r>
            <w:r>
              <w:rPr>
                <w:rFonts w:hint="eastAsia" w:cs="Arial"/>
                <w:lang w:val="en-US" w:eastAsia="zh-CN"/>
              </w:rPr>
              <w:t xml:space="preserve">clarification </w:t>
            </w:r>
            <w:r>
              <w:rPr>
                <w:rFonts w:cs="Arial"/>
                <w:lang w:val="en-US" w:eastAsia="zh-CN"/>
              </w:rPr>
              <w:t xml:space="preserve">to the current field description of  </w:t>
            </w:r>
            <w:r>
              <w:rPr>
                <w:rFonts w:eastAsia="宋体" w:cs="Arial"/>
                <w:bCs/>
                <w:i/>
                <w:iCs/>
                <w:lang w:val="en-US" w:eastAsia="zh-CN"/>
              </w:rPr>
              <w:t xml:space="preserve">supportedBandwidthDL/UL as </w:t>
            </w:r>
            <w:r>
              <w:rPr>
                <w:rFonts w:eastAsia="宋体" w:cs="Arial"/>
                <w:bCs/>
                <w:lang w:val="en-US" w:eastAsia="zh-CN"/>
              </w:rPr>
              <w:t>below</w:t>
            </w:r>
            <w:r>
              <w:rPr>
                <w:rFonts w:hint="eastAsia" w:eastAsia="宋体" w:cs="Arial"/>
                <w:bCs/>
                <w:lang w:val="en-US" w:eastAsia="zh-CN"/>
              </w:rPr>
              <w:t>:</w:t>
            </w:r>
          </w:p>
          <w:p>
            <w:pPr>
              <w:pStyle w:val="82"/>
              <w:spacing w:after="0"/>
              <w:rPr>
                <w:rFonts w:cs="Arial"/>
                <w:lang w:val="en-US" w:eastAsia="zh-CN"/>
              </w:rPr>
            </w:pPr>
          </w:p>
          <w:p>
            <w:pPr>
              <w:keepNext/>
              <w:keepLines/>
              <w:spacing w:after="0"/>
              <w:rPr>
                <w:rFonts w:hint="default" w:ascii="Arial" w:hAnsi="Arial" w:cs="Arial"/>
                <w:color w:val="auto"/>
                <w:sz w:val="21"/>
                <w:szCs w:val="21"/>
              </w:rPr>
            </w:pPr>
            <w:r>
              <w:rPr>
                <w:rFonts w:hint="default" w:ascii="Arial" w:hAnsi="Arial" w:eastAsia="宋体" w:cs="Arial"/>
                <w:color w:val="auto"/>
                <w:sz w:val="21"/>
                <w:szCs w:val="21"/>
                <w:shd w:val="clear" w:fill="FFFFFF"/>
                <w:lang w:val="en-US" w:eastAsia="en-US" w:bidi="ar"/>
              </w:rPr>
              <w:t xml:space="preserve">The UE may report a </w:t>
            </w:r>
            <w:r>
              <w:rPr>
                <w:rFonts w:hint="default" w:ascii="Arial" w:hAnsi="Arial" w:eastAsia="宋体" w:cs="Arial"/>
                <w:i/>
                <w:iCs w:val="0"/>
                <w:color w:val="auto"/>
                <w:sz w:val="21"/>
                <w:szCs w:val="21"/>
                <w:shd w:val="clear" w:fill="FFFFFF"/>
                <w:lang w:val="en-US" w:eastAsia="en-US" w:bidi="ar"/>
              </w:rPr>
              <w:t>supportedBandwidthDL</w:t>
            </w:r>
            <w:r>
              <w:rPr>
                <w:rFonts w:hint="eastAsia" w:ascii="Arial" w:hAnsi="Arial" w:eastAsia="宋体" w:cs="Arial"/>
                <w:i/>
                <w:iCs w:val="0"/>
                <w:color w:val="auto"/>
                <w:sz w:val="21"/>
                <w:szCs w:val="21"/>
                <w:shd w:val="clear" w:fill="FFFFFF"/>
                <w:lang w:val="en-US" w:eastAsia="zh-CN" w:bidi="ar"/>
              </w:rPr>
              <w:t>/UL</w:t>
            </w:r>
            <w:r>
              <w:rPr>
                <w:rFonts w:hint="default" w:ascii="Arial" w:hAnsi="Arial" w:eastAsia="宋体" w:cs="Arial"/>
                <w:color w:val="auto"/>
                <w:sz w:val="21"/>
                <w:szCs w:val="21"/>
                <w:shd w:val="clear" w:fill="FFFFFF"/>
                <w:lang w:val="en-US" w:eastAsia="en-US" w:bidi="ar"/>
              </w:rPr>
              <w:t xml:space="preserve"> wider than the </w:t>
            </w:r>
            <w:r>
              <w:rPr>
                <w:rFonts w:hint="default" w:ascii="Arial" w:hAnsi="Arial" w:eastAsia="宋体" w:cs="Arial"/>
                <w:i/>
                <w:iCs w:val="0"/>
                <w:color w:val="auto"/>
                <w:sz w:val="21"/>
                <w:szCs w:val="21"/>
                <w:shd w:val="clear" w:fill="FFFFFF"/>
                <w:lang w:val="en-US" w:eastAsia="en-US" w:bidi="ar"/>
              </w:rPr>
              <w:t>channelBW_DL</w:t>
            </w:r>
            <w:r>
              <w:rPr>
                <w:rFonts w:hint="eastAsia" w:ascii="Arial" w:hAnsi="Arial" w:eastAsia="宋体" w:cs="Arial"/>
                <w:i/>
                <w:iCs w:val="0"/>
                <w:color w:val="auto"/>
                <w:sz w:val="21"/>
                <w:szCs w:val="21"/>
                <w:shd w:val="clear" w:fill="FFFFFF"/>
                <w:lang w:val="en-US" w:eastAsia="zh-CN" w:bidi="ar"/>
              </w:rPr>
              <w:t>/UL</w:t>
            </w:r>
            <w:r>
              <w:rPr>
                <w:rFonts w:hint="default" w:ascii="Arial" w:hAnsi="Arial" w:eastAsia="宋体" w:cs="Arial"/>
                <w:color w:val="auto"/>
                <w:sz w:val="21"/>
                <w:szCs w:val="21"/>
                <w:shd w:val="clear" w:fill="FFFFFF"/>
                <w:lang w:val="en-US" w:eastAsia="en-US" w:bidi="ar"/>
              </w:rPr>
              <w:t xml:space="preserve">, this </w:t>
            </w:r>
            <w:r>
              <w:rPr>
                <w:rFonts w:hint="default" w:ascii="Arial" w:hAnsi="Arial" w:eastAsia="宋体" w:cs="Arial"/>
                <w:i/>
                <w:iCs w:val="0"/>
                <w:color w:val="auto"/>
                <w:sz w:val="21"/>
                <w:szCs w:val="21"/>
                <w:shd w:val="clear" w:fill="FFFFFF"/>
                <w:lang w:val="en-US" w:eastAsia="en-US" w:bidi="ar"/>
              </w:rPr>
              <w:t>supportedBandwidthDL</w:t>
            </w:r>
            <w:r>
              <w:rPr>
                <w:rFonts w:hint="eastAsia" w:ascii="Arial" w:hAnsi="Arial" w:eastAsia="宋体" w:cs="Arial"/>
                <w:i/>
                <w:iCs w:val="0"/>
                <w:color w:val="auto"/>
                <w:sz w:val="21"/>
                <w:szCs w:val="21"/>
                <w:shd w:val="clear" w:fill="FFFFFF"/>
                <w:lang w:val="en-US" w:eastAsia="zh-CN" w:bidi="ar"/>
              </w:rPr>
              <w:t>/UL</w:t>
            </w:r>
            <w:r>
              <w:rPr>
                <w:rFonts w:hint="default" w:ascii="Arial" w:hAnsi="Arial" w:eastAsia="宋体" w:cs="Arial"/>
                <w:color w:val="auto"/>
                <w:sz w:val="21"/>
                <w:szCs w:val="21"/>
                <w:shd w:val="clear" w:fill="FFFFFF"/>
                <w:lang w:val="en-US" w:eastAsia="en-US" w:bidi="ar"/>
              </w:rPr>
              <w:t> may not be included in the Table 5.3.5-1 of TS 38.101-1[2]/TS 38.101-2[3]</w:t>
            </w:r>
            <w:r>
              <w:rPr>
                <w:rStyle w:val="97"/>
                <w:rFonts w:hint="default" w:ascii="Arial" w:hAnsi="Arial" w:eastAsia="宋体" w:cs="Arial"/>
                <w:color w:val="auto"/>
                <w:sz w:val="21"/>
                <w:szCs w:val="21"/>
                <w:shd w:val="clear" w:fill="FFFFFF"/>
                <w:lang w:val="en-US" w:eastAsia="en-US" w:bidi="ar"/>
              </w:rPr>
              <w:t> </w:t>
            </w:r>
            <w:r>
              <w:rPr>
                <w:rFonts w:hint="default" w:ascii="Arial" w:hAnsi="Arial" w:eastAsia="宋体" w:cs="Arial"/>
                <w:color w:val="auto"/>
                <w:sz w:val="21"/>
                <w:szCs w:val="21"/>
                <w:lang w:eastAsia="zh-CN"/>
              </w:rPr>
              <w:t>for the case that the UE is unable to report the actual supported bandwidth according to the Table 5.3.5-1 of TS 38.101-1[2]/TS 38.101-2[3].</w:t>
            </w: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>
            <w:pPr>
              <w:pStyle w:val="82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>
            <w:pPr>
              <w:pStyle w:val="82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(NG)EN-DC, NE-DC, NR DC, NR SA</w:t>
            </w:r>
          </w:p>
          <w:p>
            <w:pPr>
              <w:pStyle w:val="82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>
            <w:pPr>
              <w:pStyle w:val="82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(NG)EN-DC/NE-DC, NR DC, NR SAConfiguration</w:t>
            </w:r>
          </w:p>
          <w:p>
            <w:pPr>
              <w:pStyle w:val="82"/>
              <w:spacing w:after="0"/>
              <w:ind w:left="100"/>
              <w:rPr>
                <w:u w:val="single"/>
                <w:lang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>
            <w:pPr>
              <w:pStyle w:val="82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rPr>
                <w:rFonts w:eastAsia="Malgun Gothic"/>
              </w:rPr>
              <w:t xml:space="preserve">If UE </w:t>
            </w:r>
            <w:r>
              <w:rPr>
                <w:rFonts w:hint="eastAsia" w:eastAsia="宋体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network does not, </w:t>
            </w:r>
            <w:r>
              <w:rPr>
                <w:rFonts w:hint="eastAsia" w:eastAsia="宋体"/>
                <w:lang w:val="en-US" w:eastAsia="zh-CN"/>
              </w:rPr>
              <w:t>the network may misunderstand the UE supported bandwidth.</w:t>
            </w:r>
          </w:p>
          <w:p>
            <w:pPr>
              <w:pStyle w:val="82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</w:t>
            </w:r>
            <w:r>
              <w:rPr>
                <w:rFonts w:eastAsia="Malgun Gothic"/>
              </w:rPr>
              <w:t xml:space="preserve">f the network </w:t>
            </w:r>
            <w:r>
              <w:rPr>
                <w:rFonts w:hint="eastAsia" w:eastAsia="宋体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UE does not,</w:t>
            </w:r>
            <w:r>
              <w:rPr>
                <w:rFonts w:hint="eastAsia" w:eastAsia="宋体"/>
                <w:lang w:val="en-US" w:eastAsia="zh-CN"/>
              </w:rPr>
              <w:t xml:space="preserve"> the UE is unable to report the bandwidth that wider t</w:t>
            </w:r>
            <w:r>
              <w:rPr>
                <w:rFonts w:hint="eastAsia" w:eastAsia="Malgun Gothic"/>
                <w:lang w:val="en-US" w:eastAsia="zh-CN"/>
              </w:rPr>
              <w:t>han the channelBW_UL/DL, thus can</w:t>
            </w:r>
            <w:r>
              <w:rPr>
                <w:rFonts w:eastAsia="Malgun Gothic"/>
                <w:lang w:val="en-US" w:eastAsia="zh-CN"/>
              </w:rPr>
              <w:t>’</w:t>
            </w:r>
            <w:r>
              <w:rPr>
                <w:rFonts w:hint="eastAsia" w:eastAsia="Malgun Gothic"/>
                <w:lang w:val="en-US" w:eastAsia="zh-CN"/>
              </w:rPr>
              <w:t>t support newly added 35M/45M.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12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20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7" w:type="dxa"/>
            <w:gridSpan w:val="12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UE is unable to report the bandwidth that wider t</w:t>
            </w:r>
            <w:r>
              <w:rPr>
                <w:rFonts w:hint="eastAsia" w:eastAsia="Malgun Gothic"/>
                <w:lang w:val="en-US" w:eastAsia="zh-CN"/>
              </w:rPr>
              <w:t>han the channelBW_UL/DL, thus can</w:t>
            </w:r>
            <w:r>
              <w:rPr>
                <w:rFonts w:eastAsia="Malgun Gothic"/>
                <w:lang w:val="en-US" w:eastAsia="zh-CN"/>
              </w:rPr>
              <w:t>’</w:t>
            </w:r>
            <w:r>
              <w:rPr>
                <w:rFonts w:hint="eastAsia" w:eastAsia="Malgun Gothic"/>
                <w:lang w:val="en-US" w:eastAsia="zh-CN"/>
              </w:rPr>
              <w:t>t support newly added 35M/45M feature.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2083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1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  <w:trHeight w:val="215" w:hRule="atLeast"/>
        </w:trPr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12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4.2.7.6/4.2.7.8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12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5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1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5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1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5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1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5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12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20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12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208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12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4" w:type="dxa"/>
        </w:trPr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1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R2-2104251, R2-2104549</w:t>
            </w:r>
            <w:bookmarkStart w:id="8" w:name="_GoBack"/>
            <w:bookmarkEnd w:id="8"/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keepNext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First</w:t>
      </w:r>
      <w:r>
        <w:rPr>
          <w:sz w:val="32"/>
          <w:lang w:eastAsia="zh-CN"/>
        </w:rPr>
        <w:t xml:space="preserve"> change</w:t>
      </w:r>
    </w:p>
    <w:p>
      <w:pPr>
        <w:pStyle w:val="5"/>
      </w:pPr>
      <w:bookmarkStart w:id="2" w:name="_Toc29382262"/>
      <w:bookmarkStart w:id="3" w:name="_Toc46509442"/>
      <w:bookmarkStart w:id="4" w:name="_Toc52569473"/>
      <w:bookmarkStart w:id="5" w:name="_Toc37093379"/>
      <w:bookmarkStart w:id="6" w:name="_Toc12750898"/>
      <w:bookmarkStart w:id="7" w:name="_Toc60789327"/>
      <w:r>
        <w:t>4.2.7.6</w:t>
      </w:r>
      <w:r>
        <w:tab/>
      </w:r>
      <w:r>
        <w:rPr>
          <w:i/>
        </w:rPr>
        <w:t>FeatureSetDownlinkPerCC</w:t>
      </w:r>
      <w:r>
        <w:t xml:space="preserve"> parameters</w:t>
      </w:r>
      <w:bookmarkEnd w:id="2"/>
      <w:bookmarkEnd w:id="3"/>
      <w:bookmarkEnd w:id="4"/>
      <w:bookmarkEnd w:id="5"/>
      <w:bookmarkEnd w:id="6"/>
      <w:bookmarkEnd w:id="7"/>
    </w:p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tbl>
      <w:tblPr>
        <w:tblStyle w:val="42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7"/>
        <w:gridCol w:w="709"/>
        <w:gridCol w:w="567"/>
        <w:gridCol w:w="709"/>
        <w:gridCol w:w="72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rPr>
                <w:rFonts w:ascii="Arial" w:hAnsi="Arial" w:eastAsia="Times New Roman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hAnsi="Arial" w:eastAsia="Times New Roman"/>
                <w:b/>
                <w:bCs/>
                <w:i/>
                <w:iCs/>
                <w:sz w:val="18"/>
                <w:szCs w:val="18"/>
              </w:rPr>
              <w:t>Definitions for parameters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FDD-TDD</w:t>
            </w:r>
          </w:p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DIFF</w:t>
            </w:r>
          </w:p>
        </w:tc>
        <w:tc>
          <w:tcPr>
            <w:tcW w:w="72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FR1-FR2</w:t>
            </w:r>
          </w:p>
          <w:p>
            <w:pPr>
              <w:widowControl w:val="0"/>
              <w:jc w:val="center"/>
              <w:rPr>
                <w:rFonts w:ascii="Arial" w:hAnsi="Arial" w:eastAsia="Times New Roman"/>
                <w:sz w:val="18"/>
                <w:szCs w:val="18"/>
              </w:rPr>
            </w:pPr>
            <w:r>
              <w:rPr>
                <w:rFonts w:ascii="Arial" w:hAnsi="Arial" w:eastAsia="Times New Roman"/>
                <w:sz w:val="18"/>
                <w:szCs w:val="18"/>
              </w:rPr>
              <w:t>DIFF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supportedBandwidthDL</w:t>
            </w:r>
          </w:p>
          <w:p>
            <w:pPr>
              <w:pStyle w:val="54"/>
            </w:pPr>
            <w:r>
              <w:t>Indicates maximum DL channel bandwidth supported for a given SCS that UE supports within a single CC (and in case of intra-frequency DAPS handover for the source and target cells), which is defined in Table 5.3.5-1 in TS 38.101-1 [2] for FR1 and Table 5.3.5-1 in TS 38.101-2 [3] for FR2.</w:t>
            </w:r>
          </w:p>
          <w:p>
            <w:pPr>
              <w:pStyle w:val="54"/>
            </w:pPr>
            <w:r>
              <w:t>For FR1, all the bandwidths listed in TS38.101-1 Table 5.3.5-1 for each band shall be mandatory with a single CC unless indicated optional. For FR2, the set of mandatory CBW is 50, 100, 200 MHz. When this field is included in a band combination with a single band entry and a single CC entry (i.e. non-CA band combination), the UE shall indicate the maximum channel bandwidth for the band according to TS 38.101-1 [2] and TS 38.101-2 [3].</w:t>
            </w:r>
          </w:p>
          <w:p>
            <w:pPr>
              <w:keepNext/>
              <w:keepLines/>
              <w:spacing w:after="0"/>
              <w:rPr>
                <w:ins w:id="0" w:author="ZTE" w:date="2021-04-01T16:43:00Z"/>
                <w:rFonts w:ascii="Arial" w:hAnsi="Arial"/>
                <w:sz w:val="18"/>
              </w:rPr>
            </w:pPr>
          </w:p>
          <w:p>
            <w:pPr>
              <w:keepNext/>
              <w:keepLines/>
              <w:spacing w:after="0"/>
              <w:rPr>
                <w:ins w:id="1" w:author="ZTE(Wenting)" w:date="2021-04-19T21:56:13Z"/>
                <w:rFonts w:hint="default" w:ascii="Arial" w:hAnsi="Arial" w:cs="Arial"/>
                <w:color w:val="auto"/>
                <w:sz w:val="18"/>
                <w:szCs w:val="18"/>
              </w:rPr>
            </w:pPr>
            <w:ins w:id="2" w:author="ZTE(Wenting)" w:date="2021-04-19T21:56:13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 xml:space="preserve">The UE may report a </w:t>
              </w:r>
            </w:ins>
            <w:ins w:id="3" w:author="ZTE(Wenting)" w:date="2021-04-19T21:56:13Z">
              <w:r>
                <w:rPr>
                  <w:rFonts w:hint="default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supportedBandwidthDL</w:t>
              </w:r>
            </w:ins>
            <w:ins w:id="4" w:author="ZTE(Wenting)" w:date="2021-04-19T21:56:13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 xml:space="preserve"> wider than the </w:t>
              </w:r>
            </w:ins>
            <w:ins w:id="5" w:author="ZTE(Wenting)" w:date="2021-04-19T21:56:13Z">
              <w:r>
                <w:rPr>
                  <w:rFonts w:hint="default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channelBW_DL</w:t>
              </w:r>
            </w:ins>
            <w:ins w:id="6" w:author="ZTE(Wenting)" w:date="2021-04-19T21:56:13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 xml:space="preserve">, this </w:t>
              </w:r>
            </w:ins>
            <w:ins w:id="7" w:author="ZTE(Wenting)" w:date="2021-04-19T21:56:13Z">
              <w:r>
                <w:rPr>
                  <w:rFonts w:hint="default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supportedBandwidthDL</w:t>
              </w:r>
            </w:ins>
            <w:ins w:id="8" w:author="ZTE(Wenting)" w:date="2021-04-19T21:56:13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 may not be included in the Table 5.3.5-1 of TS 38.101-1[2]/TS 38.101-2[3]</w:t>
              </w:r>
            </w:ins>
            <w:ins w:id="9" w:author="ZTE(Wenting)" w:date="2021-04-19T21:56:13Z">
              <w:r>
                <w:rPr>
                  <w:rStyle w:val="97"/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 </w:t>
              </w:r>
            </w:ins>
            <w:ins w:id="10" w:author="ZTE(Wenting)" w:date="2021-04-19T21:56:13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lang w:eastAsia="zh-CN"/>
                </w:rPr>
                <w:t>for the case that the UE is unable to report the actual supported bandwidth according to the Table 5.3.5-1 of TS 38.101-1[2]/TS 38.101-2[3].</w:t>
              </w:r>
            </w:ins>
          </w:p>
          <w:p>
            <w:pPr>
              <w:rPr>
                <w:rFonts w:ascii="Arial" w:hAnsi="Arial"/>
                <w:sz w:val="18"/>
              </w:rPr>
            </w:pP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>
            <w:pPr>
              <w:pStyle w:val="67"/>
            </w:pPr>
            <w:r>
              <w:t>NOTE:</w:t>
            </w:r>
            <w:r>
              <w:tab/>
            </w:r>
            <w:r>
              <w:t xml:space="preserve">To determine whether the UE supports a channel bandwidth of 90 MHz, the network may ignore this capability and validate instead the </w:t>
            </w:r>
            <w:r>
              <w:rPr>
                <w:i/>
                <w:iCs/>
              </w:rPr>
              <w:t>channelBW-90mhz</w:t>
            </w:r>
            <w:r>
              <w:t xml:space="preserve"> and the </w:t>
            </w:r>
            <w:r>
              <w:rPr>
                <w:i/>
                <w:iCs/>
              </w:rPr>
              <w:t>supportedBandwidthCombinationSet</w:t>
            </w:r>
            <w:r>
              <w:t xml:space="preserve">. For serving cell(s) with other channel bandwidths the network validates the </w:t>
            </w:r>
            <w:r>
              <w:rPr>
                <w:i/>
                <w:iCs/>
              </w:rPr>
              <w:t>channelBWs-DL</w:t>
            </w:r>
            <w:r>
              <w:t xml:space="preserve">, the </w:t>
            </w:r>
            <w:r>
              <w:rPr>
                <w:i/>
                <w:iCs/>
              </w:rPr>
              <w:t>supportedBandwidthCombinationSet</w:t>
            </w:r>
            <w:r>
              <w:t xml:space="preserve">, the </w:t>
            </w:r>
            <w:r>
              <w:rPr>
                <w:i/>
                <w:iCs/>
              </w:rPr>
              <w:t>supportedBandwidthCombinationSetIntraENDC</w:t>
            </w:r>
            <w:r>
              <w:t xml:space="preserve">, the </w:t>
            </w:r>
            <w:r>
              <w:rPr>
                <w:i/>
                <w:iCs/>
              </w:rPr>
              <w:t>asymmetricBandwidthCombinationSet</w:t>
            </w:r>
            <w:r>
              <w:t xml:space="preserve"> (for a band supporting asymmetric channel bandwidth as defined in clause 5.3.6 of TS 38.101-1 [2]) and </w:t>
            </w:r>
            <w:r>
              <w:rPr>
                <w:i/>
                <w:iCs/>
              </w:rPr>
              <w:t>supportedBandwidthDL</w:t>
            </w:r>
            <w:r>
              <w:t>.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FSPC</w:t>
            </w:r>
          </w:p>
        </w:tc>
        <w:tc>
          <w:tcPr>
            <w:tcW w:w="56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CY</w:t>
            </w:r>
          </w:p>
        </w:tc>
        <w:tc>
          <w:tcPr>
            <w:tcW w:w="709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2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</w:tbl>
    <w:p>
      <w:pPr>
        <w:spacing w:before="100" w:beforeAutospacing="1"/>
        <w:rPr>
          <w:rFonts w:ascii="Arial" w:hAnsi="Arial" w:eastAsia="Malgun Gothic"/>
          <w:sz w:val="24"/>
          <w:szCs w:val="24"/>
          <w:lang w:val="en-US" w:eastAsia="zh-CN"/>
        </w:rPr>
      </w:pPr>
      <w:r>
        <w:rPr>
          <w:rFonts w:ascii="Arial" w:hAnsi="Arial"/>
        </w:rPr>
        <w:t xml:space="preserve"> </w:t>
      </w:r>
      <w:r>
        <w:t xml:space="preserve"> </w:t>
      </w: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p>
      <w:pPr>
        <w:spacing w:before="100" w:beforeAutospacing="1"/>
        <w:rPr>
          <w:rFonts w:eastAsia="宋体"/>
        </w:rPr>
      </w:pPr>
    </w:p>
    <w:p>
      <w:pPr>
        <w:keepNext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Second </w:t>
      </w:r>
      <w:r>
        <w:rPr>
          <w:sz w:val="32"/>
          <w:lang w:eastAsia="zh-CN"/>
        </w:rPr>
        <w:t>change</w:t>
      </w:r>
    </w:p>
    <w:p>
      <w:pPr>
        <w:pStyle w:val="5"/>
        <w:rPr>
          <w:rFonts w:eastAsia="Times New Roman"/>
          <w:b/>
          <w:bCs/>
          <w:lang w:val="en-US" w:eastAsia="zh-CN"/>
        </w:rPr>
      </w:pPr>
      <w:r>
        <w:rPr>
          <w:b/>
          <w:bCs/>
        </w:rPr>
        <w:t>4.2.7.8</w:t>
      </w:r>
      <w:r>
        <w:rPr>
          <w:b/>
          <w:bCs/>
        </w:rPr>
        <w:tab/>
      </w:r>
      <w:r>
        <w:rPr>
          <w:b/>
          <w:bCs/>
          <w:i/>
          <w:iCs/>
        </w:rPr>
        <w:t>FeatureSetUplinkPerCC</w:t>
      </w:r>
      <w:r>
        <w:rPr>
          <w:b/>
          <w:bCs/>
        </w:rPr>
        <w:t xml:space="preserve"> parameters</w:t>
      </w:r>
    </w:p>
    <w:p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tbl>
      <w:tblPr>
        <w:tblStyle w:val="42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7"/>
        <w:gridCol w:w="709"/>
        <w:gridCol w:w="567"/>
        <w:gridCol w:w="709"/>
        <w:gridCol w:w="72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Definitions for parameters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Per</w:t>
            </w:r>
          </w:p>
        </w:tc>
        <w:tc>
          <w:tcPr>
            <w:tcW w:w="567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FDD-TDD</w:t>
            </w:r>
          </w:p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  <w:tc>
          <w:tcPr>
            <w:tcW w:w="72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FR1-FR2</w:t>
            </w:r>
          </w:p>
          <w:p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algun Gothic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pStyle w:val="54"/>
              <w:rPr>
                <w:b/>
                <w:i/>
              </w:rPr>
            </w:pPr>
            <w:r>
              <w:rPr>
                <w:b/>
                <w:i/>
              </w:rPr>
              <w:t>supportedBandwidthUL</w:t>
            </w:r>
          </w:p>
          <w:p>
            <w:pPr>
              <w:pStyle w:val="54"/>
            </w:pPr>
            <w:r>
              <w:t>Indicates maximum UL channel bandwidth supported for a given SCS that UE supports within a single CC (and in case of intra-frequency DAPS handover for the source and target cells), which is defined in Table 5.3.5-1 in TS38.101-1 [2] for FR1 and Table 5.3.5-1 in TS 38.101-2 [3] for FR2.</w:t>
            </w:r>
          </w:p>
          <w:p>
            <w:pPr>
              <w:pStyle w:val="54"/>
            </w:pPr>
            <w:r>
              <w:t>For FR1, all the bandwidths listed in TS38.101-1 Table 5.3.5-1 for each band shall be mandatory with a single CC unless indicated optional. For FR2, the set of mandatory CBW is 50, 100, 200 MHz. When this field is included in a band combination with a single band entry and a single CC entry (i.e. non-CA band combination), the UE shall indicate the maximum channel bandwidth for the band according to TS 38.101-1 [2] and TS 38.101-2 [3].</w:t>
            </w:r>
          </w:p>
          <w:p>
            <w:pPr>
              <w:pStyle w:val="54"/>
              <w:rPr>
                <w:ins w:id="11" w:author="ZTE" w:date="2021-04-01T17:47:00Z"/>
              </w:rPr>
            </w:pPr>
          </w:p>
          <w:p>
            <w:pPr>
              <w:keepNext/>
              <w:keepLines/>
              <w:spacing w:after="0"/>
              <w:rPr>
                <w:ins w:id="12" w:author="ZTE(Wenting)" w:date="2021-04-19T21:55:52Z"/>
                <w:rFonts w:hint="default" w:ascii="Arial" w:hAnsi="Arial" w:cs="Arial"/>
                <w:color w:val="auto"/>
                <w:sz w:val="18"/>
                <w:szCs w:val="18"/>
              </w:rPr>
            </w:pPr>
            <w:ins w:id="13" w:author="ZTE(Wenting)" w:date="2021-04-19T21:55:52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 xml:space="preserve">The UE may report a </w:t>
              </w:r>
            </w:ins>
            <w:ins w:id="14" w:author="ZTE(Wenting)" w:date="2021-04-19T21:55:52Z">
              <w:r>
                <w:rPr>
                  <w:rFonts w:hint="default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supportedBandwidth</w:t>
              </w:r>
            </w:ins>
            <w:ins w:id="15" w:author="ZTE(Wenting)" w:date="2021-04-19T21:55:52Z">
              <w:r>
                <w:rPr>
                  <w:rFonts w:hint="eastAsia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zh-CN" w:bidi="ar"/>
                </w:rPr>
                <w:t>U</w:t>
              </w:r>
            </w:ins>
            <w:ins w:id="16" w:author="ZTE(Wenting)" w:date="2021-04-19T21:55:52Z">
              <w:r>
                <w:rPr>
                  <w:rFonts w:hint="default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L</w:t>
              </w:r>
            </w:ins>
            <w:ins w:id="17" w:author="ZTE(Wenting)" w:date="2021-04-19T21:55:52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 xml:space="preserve"> wider than the </w:t>
              </w:r>
            </w:ins>
            <w:ins w:id="18" w:author="ZTE(Wenting)" w:date="2021-04-19T21:55:52Z">
              <w:r>
                <w:rPr>
                  <w:rFonts w:hint="default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channelBW_</w:t>
              </w:r>
            </w:ins>
            <w:ins w:id="19" w:author="ZTE(Wenting)" w:date="2021-04-19T21:55:52Z">
              <w:r>
                <w:rPr>
                  <w:rFonts w:hint="eastAsia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zh-CN" w:bidi="ar"/>
                </w:rPr>
                <w:t>U</w:t>
              </w:r>
            </w:ins>
            <w:ins w:id="20" w:author="ZTE(Wenting)" w:date="2021-04-19T21:55:52Z">
              <w:r>
                <w:rPr>
                  <w:rFonts w:hint="default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L</w:t>
              </w:r>
            </w:ins>
            <w:ins w:id="21" w:author="ZTE(Wenting)" w:date="2021-04-19T21:55:52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 xml:space="preserve">, this </w:t>
              </w:r>
            </w:ins>
            <w:ins w:id="22" w:author="ZTE(Wenting)" w:date="2021-04-19T21:55:52Z">
              <w:r>
                <w:rPr>
                  <w:rFonts w:hint="default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supportedBandwidth</w:t>
              </w:r>
            </w:ins>
            <w:ins w:id="23" w:author="ZTE(Wenting)" w:date="2021-04-19T21:55:52Z">
              <w:r>
                <w:rPr>
                  <w:rFonts w:hint="eastAsia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zh-CN" w:bidi="ar"/>
                </w:rPr>
                <w:t>U</w:t>
              </w:r>
            </w:ins>
            <w:ins w:id="24" w:author="ZTE(Wenting)" w:date="2021-04-19T21:55:52Z">
              <w:r>
                <w:rPr>
                  <w:rFonts w:hint="default" w:ascii="Arial" w:hAnsi="Arial" w:eastAsia="宋体" w:cs="Arial"/>
                  <w:i/>
                  <w:iCs w:val="0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L</w:t>
              </w:r>
            </w:ins>
            <w:ins w:id="25" w:author="ZTE(Wenting)" w:date="2021-04-19T21:55:52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 may not be included in the Table 5.3.5-1 of TS 38.101-1[2]/TS 38.101-2[3]</w:t>
              </w:r>
            </w:ins>
            <w:ins w:id="26" w:author="ZTE(Wenting)" w:date="2021-04-19T21:55:52Z">
              <w:r>
                <w:rPr>
                  <w:rStyle w:val="97"/>
                  <w:rFonts w:hint="default" w:ascii="Arial" w:hAnsi="Arial" w:eastAsia="宋体" w:cs="Arial"/>
                  <w:color w:val="auto"/>
                  <w:sz w:val="18"/>
                  <w:szCs w:val="18"/>
                  <w:shd w:val="clear" w:fill="FFFFFF"/>
                  <w:lang w:val="en-US" w:eastAsia="en-US" w:bidi="ar"/>
                </w:rPr>
                <w:t> </w:t>
              </w:r>
            </w:ins>
            <w:ins w:id="27" w:author="ZTE(Wenting)" w:date="2021-04-19T21:55:52Z">
              <w:r>
                <w:rPr>
                  <w:rFonts w:hint="default" w:ascii="Arial" w:hAnsi="Arial" w:eastAsia="宋体" w:cs="Arial"/>
                  <w:color w:val="auto"/>
                  <w:sz w:val="18"/>
                  <w:szCs w:val="18"/>
                  <w:lang w:eastAsia="zh-CN"/>
                </w:rPr>
                <w:t>for the case that the UE is unable to report the actual supported bandwidth according to the Table 5.3.5-1 of TS 38.101-1[2]/TS 38.101-2[3].</w:t>
              </w:r>
            </w:ins>
          </w:p>
          <w:p>
            <w:pPr>
              <w:pStyle w:val="54"/>
            </w:pPr>
          </w:p>
          <w:p>
            <w:pPr>
              <w:pStyle w:val="67"/>
            </w:pPr>
            <w:r>
              <w:t>NOTE:</w:t>
            </w:r>
            <w:r>
              <w:tab/>
            </w:r>
            <w:r>
              <w:t xml:space="preserve">To determine whether the UE supports a channel bandwidth of 90 MHz the network may ignore this capability and validate instead the </w:t>
            </w:r>
            <w:r>
              <w:rPr>
                <w:i/>
              </w:rPr>
              <w:t>channelBW-90mhz</w:t>
            </w:r>
            <w:r>
              <w:t xml:space="preserve"> and the </w:t>
            </w:r>
            <w:r>
              <w:rPr>
                <w:i/>
              </w:rPr>
              <w:t>supportedBandwidthCombiantionSet</w:t>
            </w:r>
            <w:r>
              <w:t xml:space="preserve">. For serving cell(s) with other channel bandwidths the network validates the </w:t>
            </w:r>
            <w:r>
              <w:rPr>
                <w:i/>
              </w:rPr>
              <w:t>channelBWs-UL</w:t>
            </w:r>
            <w:r>
              <w:t xml:space="preserve">, the </w:t>
            </w:r>
            <w:r>
              <w:rPr>
                <w:i/>
              </w:rPr>
              <w:t>supportedBandwidthCombinationSet</w:t>
            </w:r>
            <w:r>
              <w:t xml:space="preserve">, the </w:t>
            </w:r>
            <w:r>
              <w:rPr>
                <w:i/>
                <w:iCs/>
              </w:rPr>
              <w:t>supportedBandwidthCombinationSetIntraENDC</w:t>
            </w:r>
            <w:r>
              <w:t xml:space="preserve">, the </w:t>
            </w:r>
            <w:r>
              <w:rPr>
                <w:i/>
                <w:iCs/>
              </w:rPr>
              <w:t>asymmetricBandwidthCombinationSet</w:t>
            </w:r>
            <w:r>
              <w:t xml:space="preserve"> (for a band supporting asymmetric channel bandwidth as defined in clause 5.3.6 of TS 38.101-1 [2]) and </w:t>
            </w:r>
            <w:r>
              <w:rPr>
                <w:i/>
              </w:rPr>
              <w:t>supportedBandwidthUL</w:t>
            </w:r>
            <w:r>
              <w:t>.</w:t>
            </w:r>
          </w:p>
        </w:tc>
        <w:tc>
          <w:tcPr>
            <w:tcW w:w="709" w:type="dxa"/>
          </w:tcPr>
          <w:p>
            <w:pPr>
              <w:pStyle w:val="54"/>
              <w:jc w:val="center"/>
            </w:pPr>
            <w:r>
              <w:t>FSPC</w:t>
            </w:r>
          </w:p>
        </w:tc>
        <w:tc>
          <w:tcPr>
            <w:tcW w:w="567" w:type="dxa"/>
          </w:tcPr>
          <w:p>
            <w:pPr>
              <w:pStyle w:val="54"/>
              <w:jc w:val="center"/>
            </w:pPr>
            <w:r>
              <w:t>CY</w:t>
            </w:r>
          </w:p>
        </w:tc>
        <w:tc>
          <w:tcPr>
            <w:tcW w:w="709" w:type="dxa"/>
          </w:tcPr>
          <w:p>
            <w:pPr>
              <w:pStyle w:val="54"/>
              <w:jc w:val="center"/>
            </w:pPr>
            <w:r>
              <w:t>N/A</w:t>
            </w:r>
          </w:p>
        </w:tc>
        <w:tc>
          <w:tcPr>
            <w:tcW w:w="728" w:type="dxa"/>
          </w:tcPr>
          <w:p>
            <w:pPr>
              <w:pStyle w:val="54"/>
              <w:jc w:val="center"/>
            </w:pPr>
            <w:r>
              <w:t>N/A</w:t>
            </w:r>
          </w:p>
        </w:tc>
      </w:tr>
    </w:tbl>
    <w:p>
      <w:pPr>
        <w:spacing w:before="100" w:beforeAutospacing="1"/>
        <w:rPr>
          <w:rFonts w:ascii="Arial" w:hAnsi="Arial" w:eastAsia="MS Mincho"/>
          <w:sz w:val="36"/>
        </w:rPr>
      </w:pPr>
      <w:r>
        <w:rPr>
          <w:rFonts w:ascii="Arial" w:hAnsi="Arial" w:eastAsia="Malgun Gothic"/>
          <w:sz w:val="24"/>
          <w:szCs w:val="24"/>
          <w:lang w:val="en-US" w:eastAsia="zh-CN"/>
        </w:rPr>
        <w:t>***************** omitted unchanged parts *****************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>
      <w:headerReference r:id="rId3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73779"/>
    <w:multiLevelType w:val="multilevel"/>
    <w:tmpl w:val="33B73779"/>
    <w:lvl w:ilvl="0" w:tentative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4475F"/>
    <w:rsid w:val="00044C03"/>
    <w:rsid w:val="000455D2"/>
    <w:rsid w:val="000639F6"/>
    <w:rsid w:val="00065D26"/>
    <w:rsid w:val="00090DDA"/>
    <w:rsid w:val="00095179"/>
    <w:rsid w:val="00095BE1"/>
    <w:rsid w:val="000A0FEF"/>
    <w:rsid w:val="000A6394"/>
    <w:rsid w:val="000A7088"/>
    <w:rsid w:val="000B36EB"/>
    <w:rsid w:val="000B7FED"/>
    <w:rsid w:val="000C038A"/>
    <w:rsid w:val="000C6598"/>
    <w:rsid w:val="000F7685"/>
    <w:rsid w:val="00117F15"/>
    <w:rsid w:val="0012314C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82E"/>
    <w:rsid w:val="001B52F0"/>
    <w:rsid w:val="001B7048"/>
    <w:rsid w:val="001B7A65"/>
    <w:rsid w:val="001C0A93"/>
    <w:rsid w:val="001C0CF0"/>
    <w:rsid w:val="001D212D"/>
    <w:rsid w:val="001D4F1F"/>
    <w:rsid w:val="001D7761"/>
    <w:rsid w:val="001E41F3"/>
    <w:rsid w:val="002046A6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17F0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0A63"/>
    <w:rsid w:val="002D4C37"/>
    <w:rsid w:val="002E5DD9"/>
    <w:rsid w:val="002F3D42"/>
    <w:rsid w:val="002F4AA4"/>
    <w:rsid w:val="00305409"/>
    <w:rsid w:val="003123FF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E1A36"/>
    <w:rsid w:val="003E59F9"/>
    <w:rsid w:val="003F50F5"/>
    <w:rsid w:val="00400750"/>
    <w:rsid w:val="00402B1A"/>
    <w:rsid w:val="00410371"/>
    <w:rsid w:val="004112A2"/>
    <w:rsid w:val="004151B5"/>
    <w:rsid w:val="004159C0"/>
    <w:rsid w:val="004242F1"/>
    <w:rsid w:val="00424763"/>
    <w:rsid w:val="00424FBF"/>
    <w:rsid w:val="00425394"/>
    <w:rsid w:val="00431CDB"/>
    <w:rsid w:val="004442AA"/>
    <w:rsid w:val="00455E67"/>
    <w:rsid w:val="00457096"/>
    <w:rsid w:val="00482676"/>
    <w:rsid w:val="00491F7C"/>
    <w:rsid w:val="004A307B"/>
    <w:rsid w:val="004B378F"/>
    <w:rsid w:val="004B75B7"/>
    <w:rsid w:val="004C0C68"/>
    <w:rsid w:val="004C647E"/>
    <w:rsid w:val="004D519F"/>
    <w:rsid w:val="004E2772"/>
    <w:rsid w:val="004E6055"/>
    <w:rsid w:val="004E68B4"/>
    <w:rsid w:val="005005E6"/>
    <w:rsid w:val="00514039"/>
    <w:rsid w:val="0051580D"/>
    <w:rsid w:val="00535317"/>
    <w:rsid w:val="00536714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647D4"/>
    <w:rsid w:val="00570D52"/>
    <w:rsid w:val="00573A05"/>
    <w:rsid w:val="0058368B"/>
    <w:rsid w:val="00583EE6"/>
    <w:rsid w:val="00584DAE"/>
    <w:rsid w:val="00592D74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F56D7"/>
    <w:rsid w:val="006F6C1F"/>
    <w:rsid w:val="007011E8"/>
    <w:rsid w:val="00705C32"/>
    <w:rsid w:val="00715825"/>
    <w:rsid w:val="007350E6"/>
    <w:rsid w:val="00735B63"/>
    <w:rsid w:val="00741770"/>
    <w:rsid w:val="00742672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9FA"/>
    <w:rsid w:val="0084052D"/>
    <w:rsid w:val="008422F5"/>
    <w:rsid w:val="00845B08"/>
    <w:rsid w:val="00852DA4"/>
    <w:rsid w:val="008550AB"/>
    <w:rsid w:val="008626E7"/>
    <w:rsid w:val="008641E1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70CC"/>
    <w:rsid w:val="008D6431"/>
    <w:rsid w:val="008E3BF1"/>
    <w:rsid w:val="008F130F"/>
    <w:rsid w:val="008F18A7"/>
    <w:rsid w:val="008F686C"/>
    <w:rsid w:val="00902A17"/>
    <w:rsid w:val="009078AD"/>
    <w:rsid w:val="009148DE"/>
    <w:rsid w:val="00914BFF"/>
    <w:rsid w:val="009151F4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3784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4491B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73E29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4FDC"/>
    <w:rsid w:val="00D66520"/>
    <w:rsid w:val="00D67FA3"/>
    <w:rsid w:val="00D725E0"/>
    <w:rsid w:val="00D73848"/>
    <w:rsid w:val="00D767FA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71B1B"/>
    <w:rsid w:val="00E7539D"/>
    <w:rsid w:val="00E76966"/>
    <w:rsid w:val="00E811A2"/>
    <w:rsid w:val="00E96482"/>
    <w:rsid w:val="00EA360F"/>
    <w:rsid w:val="00EB09B7"/>
    <w:rsid w:val="00EB6EF3"/>
    <w:rsid w:val="00ED357C"/>
    <w:rsid w:val="00ED4B74"/>
    <w:rsid w:val="00EE6699"/>
    <w:rsid w:val="00EE7D7C"/>
    <w:rsid w:val="00EF3DE5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5730D"/>
    <w:rsid w:val="00F61CFA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8DB48AA"/>
    <w:rsid w:val="0CB407F6"/>
    <w:rsid w:val="10217F0D"/>
    <w:rsid w:val="1DFE7A0C"/>
    <w:rsid w:val="1E44537A"/>
    <w:rsid w:val="1E9B17BF"/>
    <w:rsid w:val="1FCB10B1"/>
    <w:rsid w:val="216C11EE"/>
    <w:rsid w:val="21715ED3"/>
    <w:rsid w:val="26D43406"/>
    <w:rsid w:val="30AA7CF9"/>
    <w:rsid w:val="3310084A"/>
    <w:rsid w:val="338B6E36"/>
    <w:rsid w:val="369219EF"/>
    <w:rsid w:val="376E5C50"/>
    <w:rsid w:val="37CC6A1F"/>
    <w:rsid w:val="38270F94"/>
    <w:rsid w:val="384C455D"/>
    <w:rsid w:val="38535CB3"/>
    <w:rsid w:val="3AF76AC4"/>
    <w:rsid w:val="3F6809ED"/>
    <w:rsid w:val="3F875A04"/>
    <w:rsid w:val="41FE2103"/>
    <w:rsid w:val="43D032BC"/>
    <w:rsid w:val="448E7358"/>
    <w:rsid w:val="478572C9"/>
    <w:rsid w:val="49BC6B47"/>
    <w:rsid w:val="4BB2454E"/>
    <w:rsid w:val="4E22301A"/>
    <w:rsid w:val="555B3C95"/>
    <w:rsid w:val="57DB4CA3"/>
    <w:rsid w:val="5ADB3FED"/>
    <w:rsid w:val="5B6B2A3B"/>
    <w:rsid w:val="5C435601"/>
    <w:rsid w:val="5D555326"/>
    <w:rsid w:val="61344BF3"/>
    <w:rsid w:val="62242901"/>
    <w:rsid w:val="64886E75"/>
    <w:rsid w:val="656F0134"/>
    <w:rsid w:val="65862281"/>
    <w:rsid w:val="68D175ED"/>
    <w:rsid w:val="70D254A1"/>
    <w:rsid w:val="71044717"/>
    <w:rsid w:val="71257D30"/>
    <w:rsid w:val="71852D63"/>
    <w:rsid w:val="71914924"/>
    <w:rsid w:val="71ED1843"/>
    <w:rsid w:val="7588316D"/>
    <w:rsid w:val="7AAB0BFF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9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0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8"/>
    <w:qFormat/>
    <w:uiPriority w:val="0"/>
  </w:style>
  <w:style w:type="paragraph" w:customStyle="1" w:styleId="77">
    <w:name w:val="B2"/>
    <w:basedOn w:val="13"/>
    <w:link w:val="91"/>
    <w:qFormat/>
    <w:uiPriority w:val="0"/>
  </w:style>
  <w:style w:type="paragraph" w:customStyle="1" w:styleId="78">
    <w:name w:val="B3"/>
    <w:basedOn w:val="12"/>
    <w:link w:val="92"/>
    <w:qFormat/>
    <w:uiPriority w:val="0"/>
  </w:style>
  <w:style w:type="paragraph" w:customStyle="1" w:styleId="79">
    <w:name w:val="B4"/>
    <w:basedOn w:val="37"/>
    <w:link w:val="93"/>
    <w:qFormat/>
    <w:uiPriority w:val="0"/>
  </w:style>
  <w:style w:type="paragraph" w:customStyle="1" w:styleId="80">
    <w:name w:val="B5"/>
    <w:basedOn w:val="36"/>
    <w:link w:val="94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84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CR Cover Page Zchn"/>
    <w:link w:val="82"/>
    <w:qFormat/>
    <w:uiPriority w:val="0"/>
    <w:rPr>
      <w:rFonts w:ascii="Arial" w:hAnsi="Arial"/>
      <w:lang w:val="en-GB" w:eastAsia="en-US"/>
    </w:rPr>
  </w:style>
  <w:style w:type="paragraph" w:styleId="85">
    <w:name w:val="List Paragraph"/>
    <w:basedOn w:val="1"/>
    <w:link w:val="86"/>
    <w:qFormat/>
    <w:uiPriority w:val="34"/>
    <w:pPr>
      <w:spacing w:after="0"/>
      <w:ind w:left="840" w:leftChars="400" w:hanging="720"/>
    </w:pPr>
    <w:rPr>
      <w:rFonts w:ascii="Times" w:hAnsi="Times" w:eastAsia="Batang"/>
      <w:szCs w:val="24"/>
      <w:lang w:eastAsia="zh-CN"/>
    </w:rPr>
  </w:style>
  <w:style w:type="character" w:customStyle="1" w:styleId="86">
    <w:name w:val="列出段落 Char"/>
    <w:link w:val="85"/>
    <w:qFormat/>
    <w:uiPriority w:val="34"/>
    <w:rPr>
      <w:rFonts w:ascii="Times" w:hAnsi="Times" w:eastAsia="Batang"/>
      <w:szCs w:val="24"/>
      <w:lang w:val="en-GB" w:eastAsia="zh-CN"/>
    </w:rPr>
  </w:style>
  <w:style w:type="character" w:customStyle="1" w:styleId="87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B1 Char1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H Car"/>
    <w:link w:val="5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B3 Char2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B4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B5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F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apple-converted-space"/>
    <w:basedOn w:val="4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D8DCC4-A1EE-4C8A-85BB-9E2B6E4D7B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971</Words>
  <Characters>5537</Characters>
  <Lines>46</Lines>
  <Paragraphs>12</Paragraphs>
  <TotalTime>2</TotalTime>
  <ScaleCrop>false</ScaleCrop>
  <LinksUpToDate>false</LinksUpToDate>
  <CharactersWithSpaces>6496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2020-03-12T02:30:00Z</dcterms:created>
  <dc:creator>Michael Sanders, John M Meredith</dc:creator>
  <cp:lastModifiedBy>ZTE(Wenting)</cp:lastModifiedBy>
  <cp:lastPrinted>2411-12-31T15:59:00Z</cp:lastPrinted>
  <dcterms:modified xsi:type="dcterms:W3CDTF">2021-05-09T08:08:28Z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