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21810" w14:textId="3B94BE4A"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F757F3">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FE49A1" w:rsidRPr="00FE49A1">
        <w:rPr>
          <w:bCs/>
          <w:noProof w:val="0"/>
          <w:sz w:val="24"/>
        </w:rPr>
        <w:t>R2-2105023</w:t>
      </w:r>
    </w:p>
    <w:p w14:paraId="2EA1CEF8" w14:textId="77777777" w:rsidR="00EB410E" w:rsidRDefault="0051416A" w:rsidP="0022040C">
      <w:pPr>
        <w:pStyle w:val="CRCoverPage"/>
        <w:tabs>
          <w:tab w:val="right" w:pos="9180"/>
        </w:tabs>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F757F3">
        <w:rPr>
          <w:b/>
          <w:sz w:val="24"/>
        </w:rPr>
        <w:t>May</w:t>
      </w:r>
      <w:r w:rsidR="0068038F" w:rsidRPr="0068038F">
        <w:rPr>
          <w:b/>
          <w:sz w:val="24"/>
        </w:rPr>
        <w:t xml:space="preserve"> 202</w:t>
      </w:r>
      <w:r w:rsidR="005917B4">
        <w:rPr>
          <w:b/>
          <w:sz w:val="24"/>
        </w:rPr>
        <w:t>1</w:t>
      </w:r>
      <w:r w:rsidR="0022040C">
        <w:rPr>
          <w:b/>
          <w:sz w:val="24"/>
        </w:rPr>
        <w:tab/>
        <w:t>(Revision of R2-</w:t>
      </w:r>
      <w:r w:rsidR="0022040C" w:rsidRPr="00827171">
        <w:rPr>
          <w:b/>
          <w:sz w:val="24"/>
        </w:rPr>
        <w:t>2103068</w:t>
      </w:r>
      <w:r w:rsidR="0022040C">
        <w:rPr>
          <w:b/>
          <w:sz w:val="24"/>
        </w:rPr>
        <w:t>)</w:t>
      </w:r>
    </w:p>
    <w:p w14:paraId="108DB991" w14:textId="31393EB7" w:rsidR="0022040C" w:rsidRDefault="0022040C" w:rsidP="0022040C">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8.15.2</w:t>
      </w:r>
    </w:p>
    <w:p w14:paraId="2814AF5E"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3C986BC3" w14:textId="79E57A5C" w:rsidR="0022040C" w:rsidRPr="007C4C5C" w:rsidRDefault="0022040C" w:rsidP="0022040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Pr="0022040C">
        <w:rPr>
          <w:rFonts w:ascii="Arial" w:hAnsi="Arial" w:cs="Arial"/>
          <w:bCs/>
          <w:sz w:val="24"/>
        </w:rPr>
        <w:t>Further discussion on SL DRX operation</w:t>
      </w:r>
    </w:p>
    <w:p w14:paraId="3E6ADDAC" w14:textId="77777777"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4C6F46A" w14:textId="77777777" w:rsidR="00EB410E" w:rsidRDefault="00EB410E" w:rsidP="00DE1023">
      <w:pPr>
        <w:pStyle w:val="Heading1"/>
        <w:numPr>
          <w:ilvl w:val="0"/>
          <w:numId w:val="2"/>
        </w:numPr>
        <w:jc w:val="both"/>
      </w:pPr>
      <w:r>
        <w:t>Introduction</w:t>
      </w:r>
    </w:p>
    <w:p w14:paraId="7F9B53AE" w14:textId="767C15C3"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w:t>
      </w:r>
      <w:r w:rsidR="00DC49E3">
        <w:rPr>
          <w:lang w:val="en-GB"/>
        </w:rPr>
        <w:t xml:space="preserve">the following agreements were made regarding SL DRX related timers </w:t>
      </w:r>
      <w:sdt>
        <w:sdtPr>
          <w:rPr>
            <w:lang w:val="en-GB"/>
          </w:rPr>
          <w:id w:val="569159524"/>
          <w:citation/>
        </w:sdtPr>
        <w:sdtEndPr/>
        <w:sdtContent>
          <w:r w:rsidR="0022040C">
            <w:rPr>
              <w:lang w:val="en-GB"/>
            </w:rPr>
            <w:fldChar w:fldCharType="begin"/>
          </w:r>
          <w:r w:rsidR="0022040C">
            <w:instrText xml:space="preserve"> CITATION RAN2113bise \l 1033 </w:instrText>
          </w:r>
          <w:r w:rsidR="0022040C">
            <w:rPr>
              <w:lang w:val="en-GB"/>
            </w:rPr>
            <w:fldChar w:fldCharType="separate"/>
          </w:r>
          <w:r w:rsidR="003C48E6" w:rsidRPr="003C48E6">
            <w:rPr>
              <w:noProof/>
            </w:rPr>
            <w:t>[1]</w:t>
          </w:r>
          <w:r w:rsidR="0022040C">
            <w:rPr>
              <w:lang w:val="en-GB"/>
            </w:rPr>
            <w:fldChar w:fldCharType="end"/>
          </w:r>
        </w:sdtContent>
      </w:sdt>
      <w:r w:rsidR="0022040C">
        <w:rPr>
          <w:lang w:val="en-GB"/>
        </w:rPr>
        <w:t>:</w:t>
      </w:r>
    </w:p>
    <w:p w14:paraId="04E63DDD"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Agreements on details of timer</w:t>
      </w:r>
    </w:p>
    <w:p w14:paraId="0FE0004F"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 xml:space="preserve">1: </w:t>
      </w:r>
      <w:r w:rsidRPr="00DC49E3">
        <w:rPr>
          <w:rFonts w:ascii="Arial" w:eastAsia="Times New Roman" w:hAnsi="Arial"/>
          <w:lang w:val="en-GB" w:eastAsia="ja-JP"/>
        </w:rPr>
        <w:tab/>
        <w:t xml:space="preserve">The following parameters are supported as part of the SL DRX configuration for all cast types: </w:t>
      </w:r>
      <w:proofErr w:type="spellStart"/>
      <w:r w:rsidRPr="00DC49E3">
        <w:rPr>
          <w:rFonts w:ascii="Arial" w:eastAsia="Times New Roman" w:hAnsi="Arial"/>
          <w:lang w:val="en-GB" w:eastAsia="ja-JP"/>
        </w:rPr>
        <w:t>sl-drx-StartOffset</w:t>
      </w:r>
      <w:proofErr w:type="spellEnd"/>
      <w:r w:rsidRPr="00DC49E3">
        <w:rPr>
          <w:rFonts w:ascii="Arial" w:eastAsia="Times New Roman" w:hAnsi="Arial"/>
          <w:lang w:val="en-GB" w:eastAsia="ja-JP"/>
        </w:rPr>
        <w:t xml:space="preserve">, </w:t>
      </w:r>
      <w:proofErr w:type="spellStart"/>
      <w:r w:rsidRPr="00DC49E3">
        <w:rPr>
          <w:rFonts w:ascii="Arial" w:eastAsia="Times New Roman" w:hAnsi="Arial"/>
          <w:lang w:val="en-GB" w:eastAsia="ja-JP"/>
        </w:rPr>
        <w:t>sl</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drx</w:t>
      </w:r>
      <w:proofErr w:type="spellEnd"/>
      <w:r w:rsidRPr="00DC49E3">
        <w:rPr>
          <w:rFonts w:ascii="Arial" w:eastAsia="Times New Roman" w:hAnsi="Arial"/>
          <w:lang w:val="en-GB" w:eastAsia="ja-JP"/>
        </w:rPr>
        <w:t xml:space="preserve">-Cycle, </w:t>
      </w:r>
      <w:proofErr w:type="spellStart"/>
      <w:r w:rsidRPr="00DC49E3">
        <w:rPr>
          <w:rFonts w:ascii="Arial" w:eastAsia="Times New Roman" w:hAnsi="Arial"/>
          <w:lang w:val="en-GB" w:eastAsia="ja-JP"/>
        </w:rPr>
        <w:t>sl-drx-onDurationTimer</w:t>
      </w:r>
      <w:proofErr w:type="spellEnd"/>
      <w:r w:rsidRPr="00DC49E3">
        <w:rPr>
          <w:rFonts w:ascii="Arial" w:eastAsia="Times New Roman" w:hAnsi="Arial"/>
          <w:lang w:val="en-GB" w:eastAsia="ja-JP"/>
        </w:rPr>
        <w:t xml:space="preserve">, and </w:t>
      </w:r>
      <w:proofErr w:type="spellStart"/>
      <w:r w:rsidRPr="00DC49E3">
        <w:rPr>
          <w:rFonts w:ascii="Arial" w:eastAsia="Times New Roman" w:hAnsi="Arial"/>
          <w:lang w:val="en-GB" w:eastAsia="ja-JP"/>
        </w:rPr>
        <w:t>sl-drx-SlotOffset</w:t>
      </w:r>
      <w:proofErr w:type="spellEnd"/>
      <w:r w:rsidRPr="00DC49E3">
        <w:rPr>
          <w:rFonts w:ascii="Arial" w:eastAsia="Times New Roman" w:hAnsi="Arial"/>
          <w:lang w:val="en-GB" w:eastAsia="ja-JP"/>
        </w:rPr>
        <w:t>.</w:t>
      </w:r>
    </w:p>
    <w:p w14:paraId="1F7892F2"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w:t>
      </w:r>
      <w:r w:rsidRPr="00DC49E3">
        <w:rPr>
          <w:rFonts w:ascii="Arial" w:eastAsia="Times New Roman" w:hAnsi="Arial"/>
          <w:lang w:val="en-GB" w:eastAsia="ja-JP"/>
        </w:rPr>
        <w:tab/>
        <w:t xml:space="preserve">The RX UE determines the symbol/slot/subframe associated with the start of the DRX cycle using the configured </w:t>
      </w:r>
      <w:proofErr w:type="spellStart"/>
      <w:r w:rsidRPr="00DC49E3">
        <w:rPr>
          <w:rFonts w:ascii="Arial" w:eastAsia="Times New Roman" w:hAnsi="Arial"/>
          <w:lang w:val="en-GB" w:eastAsia="ja-JP"/>
        </w:rPr>
        <w:t>sl</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drx</w:t>
      </w:r>
      <w:proofErr w:type="spellEnd"/>
      <w:r w:rsidRPr="00DC49E3">
        <w:rPr>
          <w:rFonts w:ascii="Arial" w:eastAsia="Times New Roman" w:hAnsi="Arial"/>
          <w:lang w:val="en-GB" w:eastAsia="ja-JP"/>
        </w:rPr>
        <w:t xml:space="preserve">-Cycle, </w:t>
      </w:r>
      <w:proofErr w:type="spellStart"/>
      <w:r w:rsidRPr="00DC49E3">
        <w:rPr>
          <w:rFonts w:ascii="Arial" w:eastAsia="Times New Roman" w:hAnsi="Arial"/>
          <w:lang w:val="en-GB" w:eastAsia="ja-JP"/>
        </w:rPr>
        <w:t>sl-drx-StartOffset</w:t>
      </w:r>
      <w:proofErr w:type="spellEnd"/>
      <w:r w:rsidRPr="00DC49E3">
        <w:rPr>
          <w:rFonts w:ascii="Arial" w:eastAsia="Times New Roman" w:hAnsi="Arial"/>
          <w:lang w:val="en-GB" w:eastAsia="ja-JP"/>
        </w:rPr>
        <w:t>.  FFS on details.</w:t>
      </w:r>
    </w:p>
    <w:p w14:paraId="6FAA02E3"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3:</w:t>
      </w:r>
      <w:r w:rsidRPr="00DC49E3">
        <w:rPr>
          <w:rFonts w:ascii="Arial" w:eastAsia="Times New Roman" w:hAnsi="Arial"/>
          <w:lang w:val="en-GB" w:eastAsia="ja-JP"/>
        </w:rPr>
        <w:tab/>
        <w:t xml:space="preserve">The RX UE starts the </w:t>
      </w:r>
      <w:proofErr w:type="spellStart"/>
      <w:r w:rsidRPr="00DC49E3">
        <w:rPr>
          <w:rFonts w:ascii="Arial" w:eastAsia="Times New Roman" w:hAnsi="Arial"/>
          <w:lang w:val="en-GB" w:eastAsia="ja-JP"/>
        </w:rPr>
        <w:t>sl-drx-onDurationTimer</w:t>
      </w:r>
      <w:proofErr w:type="spellEnd"/>
      <w:r w:rsidRPr="00DC49E3">
        <w:rPr>
          <w:rFonts w:ascii="Arial" w:eastAsia="Times New Roman" w:hAnsi="Arial"/>
          <w:lang w:val="en-GB" w:eastAsia="ja-JP"/>
        </w:rPr>
        <w:t xml:space="preserve"> after </w:t>
      </w:r>
      <w:proofErr w:type="spellStart"/>
      <w:r w:rsidRPr="00DC49E3">
        <w:rPr>
          <w:rFonts w:ascii="Arial" w:eastAsia="Times New Roman" w:hAnsi="Arial"/>
          <w:lang w:val="en-GB" w:eastAsia="ja-JP"/>
        </w:rPr>
        <w:t>sl-drx-slotOffset</w:t>
      </w:r>
      <w:proofErr w:type="spellEnd"/>
      <w:r w:rsidRPr="00DC49E3">
        <w:rPr>
          <w:rFonts w:ascii="Arial" w:eastAsia="Times New Roman" w:hAnsi="Arial"/>
          <w:lang w:val="en-GB" w:eastAsia="ja-JP"/>
        </w:rPr>
        <w:t xml:space="preserve"> from the beginning of the subframe.</w:t>
      </w:r>
    </w:p>
    <w:p w14:paraId="683DA869"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4:</w:t>
      </w:r>
      <w:r w:rsidRPr="00DC49E3">
        <w:rPr>
          <w:rFonts w:ascii="Arial" w:eastAsia="Times New Roman" w:hAnsi="Arial"/>
          <w:lang w:val="en-GB" w:eastAsia="ja-JP"/>
        </w:rPr>
        <w:tab/>
        <w:t xml:space="preserve">The RX UE’s active time includes the time in which </w:t>
      </w:r>
      <w:proofErr w:type="spellStart"/>
      <w:r w:rsidRPr="00DC49E3">
        <w:rPr>
          <w:rFonts w:ascii="Arial" w:eastAsia="Times New Roman" w:hAnsi="Arial"/>
          <w:lang w:val="en-GB" w:eastAsia="ja-JP"/>
        </w:rPr>
        <w:t>sl</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drx</w:t>
      </w:r>
      <w:proofErr w:type="spellEnd"/>
      <w:r w:rsidRPr="00DC49E3">
        <w:rPr>
          <w:rFonts w:ascii="Arial" w:eastAsia="Times New Roman" w:hAnsi="Arial"/>
          <w:lang w:val="en-GB" w:eastAsia="ja-JP"/>
        </w:rPr>
        <w:t>-on-</w:t>
      </w:r>
      <w:proofErr w:type="spellStart"/>
      <w:r w:rsidRPr="00DC49E3">
        <w:rPr>
          <w:rFonts w:ascii="Arial" w:eastAsia="Times New Roman" w:hAnsi="Arial"/>
          <w:lang w:val="en-GB" w:eastAsia="ja-JP"/>
        </w:rPr>
        <w:t>DurationTimer</w:t>
      </w:r>
      <w:proofErr w:type="spellEnd"/>
      <w:r w:rsidRPr="00DC49E3">
        <w:rPr>
          <w:rFonts w:ascii="Arial" w:eastAsia="Times New Roman" w:hAnsi="Arial"/>
          <w:lang w:val="en-GB" w:eastAsia="ja-JP"/>
        </w:rPr>
        <w:t xml:space="preserve"> is running.</w:t>
      </w:r>
    </w:p>
    <w:p w14:paraId="2072BE5B"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5:</w:t>
      </w:r>
      <w:r w:rsidRPr="00DC49E3">
        <w:rPr>
          <w:rFonts w:ascii="Arial" w:eastAsia="Times New Roman" w:hAnsi="Arial"/>
          <w:lang w:val="en-GB" w:eastAsia="ja-JP"/>
        </w:rPr>
        <w:tab/>
      </w:r>
      <w:r w:rsidRPr="00CE3E27">
        <w:rPr>
          <w:rFonts w:ascii="Arial" w:eastAsia="Times New Roman" w:hAnsi="Arial"/>
          <w:highlight w:val="yellow"/>
          <w:lang w:val="en-GB" w:eastAsia="ja-JP"/>
        </w:rPr>
        <w:t xml:space="preserve">For unicast, the TX UE </w:t>
      </w:r>
      <w:proofErr w:type="spellStart"/>
      <w:r w:rsidRPr="00CE3E27">
        <w:rPr>
          <w:rFonts w:ascii="Arial" w:eastAsia="Times New Roman" w:hAnsi="Arial"/>
          <w:highlight w:val="yellow"/>
          <w:lang w:val="en-GB" w:eastAsia="ja-JP"/>
        </w:rPr>
        <w:t>behaviors</w:t>
      </w:r>
      <w:proofErr w:type="spellEnd"/>
      <w:r w:rsidRPr="00CE3E27">
        <w:rPr>
          <w:rFonts w:ascii="Arial" w:eastAsia="Times New Roman" w:hAnsi="Arial"/>
          <w:highlight w:val="yellow"/>
          <w:lang w:val="en-GB" w:eastAsia="ja-JP"/>
        </w:rPr>
        <w:t xml:space="preserve"> should be specified to keep aligned with the RX UE regarding the DRX Active time. FFS the specific Spec impacts needed at the TX side.</w:t>
      </w:r>
    </w:p>
    <w:p w14:paraId="6CFD6659"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6:</w:t>
      </w:r>
      <w:r w:rsidRPr="00DC49E3">
        <w:rPr>
          <w:rFonts w:ascii="Arial" w:eastAsia="Times New Roman" w:hAnsi="Arial"/>
          <w:lang w:val="en-GB" w:eastAsia="ja-JP"/>
        </w:rPr>
        <w:tab/>
        <w:t xml:space="preserve">For unicast, the RX UE maintains a separate SL inactivity timer for each pair of </w:t>
      </w:r>
      <w:proofErr w:type="spellStart"/>
      <w:r w:rsidRPr="00DC49E3">
        <w:rPr>
          <w:rFonts w:ascii="Arial" w:eastAsia="Times New Roman" w:hAnsi="Arial"/>
          <w:lang w:val="en-GB" w:eastAsia="ja-JP"/>
        </w:rPr>
        <w:t>src</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dest</w:t>
      </w:r>
      <w:proofErr w:type="spellEnd"/>
      <w:r w:rsidRPr="00DC49E3">
        <w:rPr>
          <w:rFonts w:ascii="Arial" w:eastAsia="Times New Roman" w:hAnsi="Arial"/>
          <w:lang w:val="en-GB" w:eastAsia="ja-JP"/>
        </w:rPr>
        <w:t xml:space="preserve"> L2 ID.</w:t>
      </w:r>
    </w:p>
    <w:p w14:paraId="504C5480"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7:</w:t>
      </w:r>
      <w:r w:rsidRPr="00DC49E3">
        <w:rPr>
          <w:rFonts w:ascii="Arial" w:eastAsia="Times New Roman" w:hAnsi="Arial"/>
          <w:lang w:val="en-GB" w:eastAsia="ja-JP"/>
        </w:rPr>
        <w:tab/>
        <w:t>For unicast, the SL inactivity timer value may take into consideration the QoS.  Whether any specification impacts are needed is FFS.</w:t>
      </w:r>
    </w:p>
    <w:p w14:paraId="1B528932"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8:</w:t>
      </w:r>
      <w:r w:rsidRPr="00DC49E3">
        <w:rPr>
          <w:rFonts w:ascii="Arial" w:eastAsia="Times New Roman" w:hAnsi="Arial"/>
          <w:lang w:val="en-GB" w:eastAsia="ja-JP"/>
        </w:rPr>
        <w:tab/>
        <w:t xml:space="preserve">For unicast, RX UE starts/restarts the inactivity timer with the value configured for that pair of </w:t>
      </w:r>
      <w:proofErr w:type="spellStart"/>
      <w:r w:rsidRPr="00DC49E3">
        <w:rPr>
          <w:rFonts w:ascii="Arial" w:eastAsia="Times New Roman" w:hAnsi="Arial"/>
          <w:lang w:val="en-GB" w:eastAsia="ja-JP"/>
        </w:rPr>
        <w:t>src</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dest</w:t>
      </w:r>
      <w:proofErr w:type="spellEnd"/>
      <w:r w:rsidRPr="00DC49E3">
        <w:rPr>
          <w:rFonts w:ascii="Arial" w:eastAsia="Times New Roman" w:hAnsi="Arial"/>
          <w:lang w:val="en-GB" w:eastAsia="ja-JP"/>
        </w:rPr>
        <w:t xml:space="preserve"> L2 ID.</w:t>
      </w:r>
    </w:p>
    <w:p w14:paraId="4865FCB5"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9:</w:t>
      </w:r>
      <w:r w:rsidRPr="00DC49E3">
        <w:rPr>
          <w:rFonts w:ascii="Arial" w:eastAsia="Times New Roman" w:hAnsi="Arial"/>
          <w:lang w:val="en-GB" w:eastAsia="ja-JP"/>
        </w:rPr>
        <w:tab/>
        <w:t xml:space="preserve">For unicast, the RX UE (re)starts the inactivity timer upon reception of a new SL data transmission from the RX UE perspective for that pair of </w:t>
      </w:r>
      <w:proofErr w:type="spellStart"/>
      <w:r w:rsidRPr="00DC49E3">
        <w:rPr>
          <w:rFonts w:ascii="Arial" w:eastAsia="Times New Roman" w:hAnsi="Arial"/>
          <w:lang w:val="en-GB" w:eastAsia="ja-JP"/>
        </w:rPr>
        <w:t>src</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dest</w:t>
      </w:r>
      <w:proofErr w:type="spellEnd"/>
      <w:r w:rsidRPr="00DC49E3">
        <w:rPr>
          <w:rFonts w:ascii="Arial" w:eastAsia="Times New Roman" w:hAnsi="Arial"/>
          <w:lang w:val="en-GB" w:eastAsia="ja-JP"/>
        </w:rPr>
        <w:t xml:space="preserve"> L2 ID.</w:t>
      </w:r>
    </w:p>
    <w:p w14:paraId="0B9C98C7"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10:</w:t>
      </w:r>
      <w:r w:rsidRPr="00DC49E3">
        <w:rPr>
          <w:rFonts w:ascii="Arial" w:eastAsia="Times New Roman" w:hAnsi="Arial"/>
          <w:lang w:val="en-GB" w:eastAsia="ja-JP"/>
        </w:rPr>
        <w:tab/>
        <w:t>For unicast, the RX UE (re)starts the inactivity timer based on information in SCI (SCI1+SCI2).  FFS if the MAC layer can stop the inactivity timer.</w:t>
      </w:r>
    </w:p>
    <w:p w14:paraId="119DC8C9"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11:</w:t>
      </w:r>
      <w:r w:rsidRPr="00DC49E3">
        <w:rPr>
          <w:rFonts w:ascii="Arial" w:eastAsia="Times New Roman" w:hAnsi="Arial"/>
          <w:lang w:val="en-GB" w:eastAsia="ja-JP"/>
        </w:rPr>
        <w:tab/>
        <w:t>For unicast, the RX UE (re)starts the inactivity timer in the first slot after SCI (SCI1+SCI2) reception.</w:t>
      </w:r>
    </w:p>
    <w:p w14:paraId="6D2C8D3A"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12:</w:t>
      </w:r>
      <w:r w:rsidRPr="00DC49E3">
        <w:rPr>
          <w:rFonts w:ascii="Arial" w:eastAsia="Times New Roman" w:hAnsi="Arial"/>
          <w:lang w:val="en-GB" w:eastAsia="ja-JP"/>
        </w:rPr>
        <w:tab/>
        <w:t xml:space="preserve">For unicast, the TX UE maintains a timer corresponding to the SL Inactivity timer in the RX UE for each pair of </w:t>
      </w:r>
      <w:proofErr w:type="spellStart"/>
      <w:r w:rsidRPr="00DC49E3">
        <w:rPr>
          <w:rFonts w:ascii="Arial" w:eastAsia="Times New Roman" w:hAnsi="Arial"/>
          <w:lang w:val="en-GB" w:eastAsia="ja-JP"/>
        </w:rPr>
        <w:t>src</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dest</w:t>
      </w:r>
      <w:proofErr w:type="spellEnd"/>
      <w:r w:rsidRPr="00DC49E3">
        <w:rPr>
          <w:rFonts w:ascii="Arial" w:eastAsia="Times New Roman" w:hAnsi="Arial"/>
          <w:lang w:val="en-GB" w:eastAsia="ja-JP"/>
        </w:rPr>
        <w:t xml:space="preserve"> L2 ID, and uses the timer as part of criterion for determining the allowable transmission time for the RX UE.</w:t>
      </w:r>
    </w:p>
    <w:p w14:paraId="6132CB7A"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13:</w:t>
      </w:r>
      <w:r w:rsidRPr="00DC49E3">
        <w:rPr>
          <w:rFonts w:ascii="Arial" w:eastAsia="Times New Roman" w:hAnsi="Arial"/>
          <w:lang w:val="en-GB" w:eastAsia="ja-JP"/>
        </w:rPr>
        <w:tab/>
        <w:t>For unicast, the TX UE (re)starts its timer corresponding to the SL inactivity timer at the RX UE at the slot following an SCI transmission indicating a new data transmission. FFS the specific spec impacts needed at the TX side.</w:t>
      </w:r>
    </w:p>
    <w:p w14:paraId="74B4E640"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14:</w:t>
      </w:r>
      <w:r w:rsidRPr="00DC49E3">
        <w:rPr>
          <w:rFonts w:ascii="Arial" w:eastAsia="Times New Roman" w:hAnsi="Arial"/>
          <w:lang w:val="en-GB" w:eastAsia="ja-JP"/>
        </w:rPr>
        <w:tab/>
        <w:t>SL Inactivity timer is supported for groupcast. FFS on the scenarios where it is supported.</w:t>
      </w:r>
    </w:p>
    <w:p w14:paraId="5AF22AC5"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15:</w:t>
      </w:r>
      <w:r w:rsidRPr="00DC49E3">
        <w:rPr>
          <w:rFonts w:ascii="Arial" w:eastAsia="Times New Roman" w:hAnsi="Arial"/>
          <w:lang w:val="en-GB" w:eastAsia="ja-JP"/>
        </w:rPr>
        <w:tab/>
        <w:t>SL Inactivity timer is not supported for broadcast transmissions.</w:t>
      </w:r>
    </w:p>
    <w:p w14:paraId="175FBBC8"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16:</w:t>
      </w:r>
      <w:r w:rsidRPr="00DC49E3">
        <w:rPr>
          <w:rFonts w:ascii="Arial" w:eastAsia="Times New Roman" w:hAnsi="Arial"/>
          <w:lang w:val="en-GB" w:eastAsia="ja-JP"/>
        </w:rPr>
        <w:tab/>
        <w:t xml:space="preserve">The RX UE is active on sidelink (monitors SCI1+SCI2) </w:t>
      </w:r>
      <w:proofErr w:type="gramStart"/>
      <w:r w:rsidRPr="00DC49E3">
        <w:rPr>
          <w:rFonts w:ascii="Arial" w:eastAsia="Times New Roman" w:hAnsi="Arial"/>
          <w:lang w:val="en-GB" w:eastAsia="ja-JP"/>
        </w:rPr>
        <w:t>as long as</w:t>
      </w:r>
      <w:proofErr w:type="gramEnd"/>
      <w:r w:rsidRPr="00DC49E3">
        <w:rPr>
          <w:rFonts w:ascii="Arial" w:eastAsia="Times New Roman" w:hAnsi="Arial"/>
          <w:lang w:val="en-GB" w:eastAsia="ja-JP"/>
        </w:rPr>
        <w:t xml:space="preserve"> at least one of the SL inactivity timers associated with unicast or groupcast (if supported) is running.</w:t>
      </w:r>
    </w:p>
    <w:p w14:paraId="4EB3B6EE"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17:</w:t>
      </w:r>
      <w:r w:rsidRPr="00DC49E3">
        <w:rPr>
          <w:rFonts w:ascii="Arial" w:eastAsia="Times New Roman" w:hAnsi="Arial"/>
          <w:lang w:val="en-GB" w:eastAsia="ja-JP"/>
        </w:rPr>
        <w:tab/>
        <w:t>As a baseline, agreements 7-13 inclusive are applied to SL inactivity timer for groupcast, with the difference that “</w:t>
      </w:r>
      <w:proofErr w:type="spellStart"/>
      <w:r w:rsidRPr="00DC49E3">
        <w:rPr>
          <w:rFonts w:ascii="Arial" w:eastAsia="Times New Roman" w:hAnsi="Arial"/>
          <w:lang w:val="en-GB" w:eastAsia="ja-JP"/>
        </w:rPr>
        <w:t>src</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dest</w:t>
      </w:r>
      <w:proofErr w:type="spellEnd"/>
      <w:r w:rsidRPr="00DC49E3">
        <w:rPr>
          <w:rFonts w:ascii="Arial" w:eastAsia="Times New Roman" w:hAnsi="Arial"/>
          <w:lang w:val="en-GB" w:eastAsia="ja-JP"/>
        </w:rPr>
        <w:t xml:space="preserve"> L2 ID pair” is replaced with “groupcast L2 destination ID or </w:t>
      </w:r>
      <w:proofErr w:type="spellStart"/>
      <w:r w:rsidRPr="00DC49E3">
        <w:rPr>
          <w:rFonts w:ascii="Arial" w:eastAsia="Times New Roman" w:hAnsi="Arial"/>
          <w:lang w:val="en-GB" w:eastAsia="ja-JP"/>
        </w:rPr>
        <w:t>src</w:t>
      </w:r>
      <w:proofErr w:type="spellEnd"/>
      <w:r w:rsidRPr="00DC49E3">
        <w:rPr>
          <w:rFonts w:ascii="Arial" w:eastAsia="Times New Roman" w:hAnsi="Arial"/>
          <w:lang w:val="en-GB" w:eastAsia="ja-JP"/>
        </w:rPr>
        <w:t>/</w:t>
      </w:r>
      <w:proofErr w:type="spellStart"/>
      <w:r w:rsidRPr="00DC49E3">
        <w:rPr>
          <w:rFonts w:ascii="Arial" w:eastAsia="Times New Roman" w:hAnsi="Arial"/>
          <w:lang w:val="en-GB" w:eastAsia="ja-JP"/>
        </w:rPr>
        <w:t>dest</w:t>
      </w:r>
      <w:proofErr w:type="spellEnd"/>
      <w:r w:rsidRPr="00DC49E3">
        <w:rPr>
          <w:rFonts w:ascii="Arial" w:eastAsia="Times New Roman" w:hAnsi="Arial"/>
          <w:lang w:val="en-GB" w:eastAsia="ja-JP"/>
        </w:rPr>
        <w:t xml:space="preserve"> L2 id pair” (dependent on the conclusion of proposal 17).  </w:t>
      </w:r>
      <w:r w:rsidRPr="00CE3E27">
        <w:rPr>
          <w:rFonts w:ascii="Arial" w:eastAsia="Times New Roman" w:hAnsi="Arial"/>
          <w:highlight w:val="yellow"/>
          <w:lang w:val="en-GB" w:eastAsia="ja-JP"/>
        </w:rPr>
        <w:t>Any specific handling which may be needed for synchronization of inactivity timers for the groupcast case is FFS.</w:t>
      </w:r>
    </w:p>
    <w:p w14:paraId="5F7DA90B"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18:</w:t>
      </w:r>
      <w:r w:rsidRPr="00DC49E3">
        <w:rPr>
          <w:rFonts w:ascii="Arial" w:eastAsia="Times New Roman" w:hAnsi="Arial"/>
          <w:lang w:val="en-GB" w:eastAsia="ja-JP"/>
        </w:rPr>
        <w:tab/>
        <w:t>SL HARQ RTT timer and SL HARQ retransmission timer are maintained per SL HARQ process at the RX UE.</w:t>
      </w:r>
    </w:p>
    <w:p w14:paraId="72CAEA01"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lastRenderedPageBreak/>
        <w:t>19:</w:t>
      </w:r>
      <w:r w:rsidRPr="00DC49E3">
        <w:rPr>
          <w:rFonts w:ascii="Arial" w:eastAsia="Times New Roman" w:hAnsi="Arial"/>
          <w:lang w:val="en-GB" w:eastAsia="ja-JP"/>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6D800E7D"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20:</w:t>
      </w:r>
      <w:r w:rsidRPr="00DC49E3">
        <w:rPr>
          <w:rFonts w:ascii="Arial" w:eastAsia="Times New Roman" w:hAnsi="Arial"/>
          <w:lang w:val="en-GB" w:eastAsia="ja-JP"/>
        </w:rPr>
        <w:tab/>
        <w:t>The value(s) of the SL HARQ RTT Timer, when explicitly configured and not determined via SCI (if agreed to do so), is determined by UE or NW implementation.</w:t>
      </w:r>
    </w:p>
    <w:p w14:paraId="64B8C16D"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21:</w:t>
      </w:r>
      <w:r w:rsidRPr="00DC49E3">
        <w:rPr>
          <w:rFonts w:ascii="Arial" w:eastAsia="Times New Roman" w:hAnsi="Arial"/>
          <w:lang w:val="en-GB" w:eastAsia="ja-JP"/>
        </w:rPr>
        <w:tab/>
        <w:t>For unicast, sidelink retransmission timer can be supported for at least some cases of HARQ disabled transmissions. FFS whether HARQ RTT is supported or not.</w:t>
      </w:r>
    </w:p>
    <w:p w14:paraId="1EE161B8"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22:</w:t>
      </w:r>
      <w:r w:rsidRPr="00DC49E3">
        <w:rPr>
          <w:rFonts w:ascii="Arial" w:eastAsia="Times New Roman" w:hAnsi="Arial"/>
          <w:lang w:val="en-GB" w:eastAsia="ja-JP"/>
        </w:rPr>
        <w:tab/>
        <w:t>For transmissions with HARQ feedback, the RX UE starts the SL HARQ RTT timer in the symbol/slot following the end of PSFCH transmission.</w:t>
      </w:r>
    </w:p>
    <w:p w14:paraId="476E91A1"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23:</w:t>
      </w:r>
      <w:r w:rsidRPr="00DC49E3">
        <w:rPr>
          <w:rFonts w:ascii="Arial" w:eastAsia="Times New Roman" w:hAnsi="Arial"/>
          <w:lang w:val="en-GB" w:eastAsia="ja-JP"/>
        </w:rPr>
        <w:tab/>
        <w:t>If the RX UE does not transmit PSFCH for a HARQ enabled transmission (e.g. due to UL/SL prioritization) the RX UE still starts the HARQ RTT timer in the symbol/slot following the end of PSFCH resource.</w:t>
      </w:r>
    </w:p>
    <w:p w14:paraId="77D5B9C2"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24:</w:t>
      </w:r>
      <w:r w:rsidRPr="00DC49E3">
        <w:rPr>
          <w:rFonts w:ascii="Arial" w:eastAsia="Times New Roman" w:hAnsi="Arial"/>
          <w:lang w:val="en-GB" w:eastAsia="ja-JP"/>
        </w:rPr>
        <w:tab/>
        <w:t>For cases where there is some uncertainty in the timing of a retransmission for a HARQ process (e.g. due to no retransmission resource indicated in the SCI, or possible reselection by the TX UE) the RX UE uses a configured retransmission timer.</w:t>
      </w:r>
    </w:p>
    <w:p w14:paraId="5D44335F"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25:</w:t>
      </w:r>
      <w:r w:rsidRPr="00DC49E3">
        <w:rPr>
          <w:rFonts w:ascii="Arial" w:eastAsia="Times New Roman" w:hAnsi="Arial"/>
          <w:lang w:val="en-GB" w:eastAsia="ja-JP"/>
        </w:rPr>
        <w:tab/>
        <w:t>Retransmission timer can be started upon expiry of the HARQ RTT timer.</w:t>
      </w:r>
    </w:p>
    <w:p w14:paraId="1C73B2EF"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26:</w:t>
      </w:r>
      <w:r w:rsidRPr="00DC49E3">
        <w:rPr>
          <w:rFonts w:ascii="Arial" w:eastAsia="Times New Roman" w:hAnsi="Arial"/>
          <w:lang w:val="en-GB" w:eastAsia="ja-JP"/>
        </w:rPr>
        <w:tab/>
        <w:t>The value(s) of the SL retransmission timer can be determined by UE or NW implementation.</w:t>
      </w:r>
    </w:p>
    <w:p w14:paraId="1DA43220"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27:</w:t>
      </w:r>
      <w:r w:rsidRPr="00DC49E3">
        <w:rPr>
          <w:rFonts w:ascii="Arial" w:eastAsia="Times New Roman" w:hAnsi="Arial"/>
          <w:lang w:val="en-GB" w:eastAsia="ja-JP"/>
        </w:rPr>
        <w:tab/>
        <w:t xml:space="preserve">The SL active time of the RX UE includes the time in which any of its applicable </w:t>
      </w:r>
      <w:proofErr w:type="spellStart"/>
      <w:r w:rsidRPr="00DC49E3">
        <w:rPr>
          <w:rFonts w:ascii="Arial" w:eastAsia="Times New Roman" w:hAnsi="Arial"/>
          <w:lang w:val="en-GB" w:eastAsia="ja-JP"/>
        </w:rPr>
        <w:t>sl-drx-OnDuration</w:t>
      </w:r>
      <w:proofErr w:type="spellEnd"/>
      <w:r w:rsidRPr="00DC49E3">
        <w:rPr>
          <w:rFonts w:ascii="Arial" w:eastAsia="Times New Roman" w:hAnsi="Arial"/>
          <w:lang w:val="en-GB" w:eastAsia="ja-JP"/>
        </w:rPr>
        <w:t xml:space="preserve">(s), </w:t>
      </w:r>
      <w:proofErr w:type="spellStart"/>
      <w:r w:rsidRPr="00DC49E3">
        <w:rPr>
          <w:rFonts w:ascii="Arial" w:eastAsia="Times New Roman" w:hAnsi="Arial"/>
          <w:lang w:val="en-GB" w:eastAsia="ja-JP"/>
        </w:rPr>
        <w:t>sl-DRXInactivityTimer</w:t>
      </w:r>
      <w:proofErr w:type="spellEnd"/>
      <w:r w:rsidRPr="00DC49E3">
        <w:rPr>
          <w:rFonts w:ascii="Arial" w:eastAsia="Times New Roman" w:hAnsi="Arial"/>
          <w:lang w:val="en-GB" w:eastAsia="ja-JP"/>
        </w:rPr>
        <w:t xml:space="preserve">(s), or </w:t>
      </w:r>
      <w:proofErr w:type="spellStart"/>
      <w:r w:rsidRPr="00DC49E3">
        <w:rPr>
          <w:rFonts w:ascii="Arial" w:eastAsia="Times New Roman" w:hAnsi="Arial"/>
          <w:lang w:val="en-GB" w:eastAsia="ja-JP"/>
        </w:rPr>
        <w:t>sl-drx-RetransmissionTimer</w:t>
      </w:r>
      <w:proofErr w:type="spellEnd"/>
      <w:r w:rsidRPr="00DC49E3">
        <w:rPr>
          <w:rFonts w:ascii="Arial" w:eastAsia="Times New Roman" w:hAnsi="Arial"/>
          <w:lang w:val="en-GB" w:eastAsia="ja-JP"/>
        </w:rPr>
        <w:t>(s) are running.</w:t>
      </w:r>
    </w:p>
    <w:p w14:paraId="3F23AB0D"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28:</w:t>
      </w:r>
      <w:r w:rsidRPr="00DC49E3">
        <w:rPr>
          <w:rFonts w:ascii="Arial" w:eastAsia="Times New Roman" w:hAnsi="Arial"/>
          <w:lang w:val="en-GB" w:eastAsia="ja-JP"/>
        </w:rPr>
        <w:tab/>
      </w:r>
      <w:r w:rsidRPr="00CE3E27">
        <w:rPr>
          <w:rFonts w:ascii="Arial" w:eastAsia="Times New Roman" w:hAnsi="Arial"/>
          <w:highlight w:val="yellow"/>
          <w:lang w:val="en-GB" w:eastAsia="ja-JP"/>
        </w:rPr>
        <w:t>Working assumption: The slots when the UE is expected CSI report following a CSI request is considered as SL active time</w:t>
      </w:r>
      <w:r w:rsidRPr="00DC49E3">
        <w:rPr>
          <w:rFonts w:ascii="Arial" w:eastAsia="Times New Roman" w:hAnsi="Arial"/>
          <w:lang w:val="en-GB" w:eastAsia="ja-JP"/>
        </w:rPr>
        <w:t>.</w:t>
      </w:r>
    </w:p>
    <w:p w14:paraId="5665D8C1" w14:textId="77777777" w:rsidR="00DC49E3" w:rsidRPr="00DC49E3" w:rsidRDefault="00DC49E3" w:rsidP="00DC49E3">
      <w:pPr>
        <w:pBdr>
          <w:top w:val="single" w:sz="4" w:space="1" w:color="auto"/>
          <w:left w:val="single" w:sz="4" w:space="4"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DC49E3">
        <w:rPr>
          <w:rFonts w:ascii="Arial" w:eastAsia="Times New Roman" w:hAnsi="Arial"/>
          <w:lang w:val="en-GB" w:eastAsia="ja-JP"/>
        </w:rPr>
        <w:t>29:</w:t>
      </w:r>
      <w:r w:rsidRPr="00DC49E3">
        <w:rPr>
          <w:rFonts w:ascii="Arial" w:eastAsia="Times New Roman" w:hAnsi="Arial"/>
          <w:lang w:val="en-GB" w:eastAsia="ja-JP"/>
        </w:rPr>
        <w:tab/>
        <w:t>RAN2 assumes LCP enhancements for ensuring a TX UE transmits data in the active time of an RX UE are needed. FFS on the resource (re)selection enhancements (e.g. limiting the resources to the active time for peer UE).</w:t>
      </w:r>
    </w:p>
    <w:p w14:paraId="1C394573" w14:textId="77777777" w:rsidR="00261FC8" w:rsidRDefault="00261FC8" w:rsidP="00242DE3">
      <w:pPr>
        <w:tabs>
          <w:tab w:val="left" w:pos="1622"/>
        </w:tabs>
        <w:overflowPunct/>
        <w:autoSpaceDE/>
        <w:adjustRightInd/>
        <w:spacing w:after="0"/>
        <w:rPr>
          <w:rFonts w:ascii="Arial" w:eastAsia="MS Mincho" w:hAnsi="Arial"/>
          <w:szCs w:val="24"/>
          <w:lang w:val="en-GB" w:eastAsia="en-GB"/>
        </w:rPr>
      </w:pPr>
    </w:p>
    <w:p w14:paraId="5C29FE61"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5210B284" w14:textId="77777777" w:rsidR="00294E01" w:rsidRPr="00261FC8" w:rsidRDefault="00DC49E3" w:rsidP="00261FC8">
      <w:pPr>
        <w:tabs>
          <w:tab w:val="left" w:pos="1327"/>
        </w:tabs>
        <w:jc w:val="both"/>
        <w:rPr>
          <w:lang w:val="en-GB"/>
        </w:rPr>
      </w:pPr>
      <w:r>
        <w:rPr>
          <w:lang w:val="en-GB"/>
        </w:rPr>
        <w:t>There are several key aspects regarding overall SL DRX design that still need further discussion in RAN2</w:t>
      </w:r>
      <w:r w:rsidR="00242DE3">
        <w:rPr>
          <w:lang w:val="en-GB"/>
        </w:rPr>
        <w:t>.</w:t>
      </w:r>
      <w:r w:rsidR="00635039">
        <w:rPr>
          <w:lang w:val="en-GB"/>
        </w:rPr>
        <w:t xml:space="preserve"> In this contribution, we focus on the</w:t>
      </w:r>
      <w:r>
        <w:rPr>
          <w:lang w:val="en-GB"/>
        </w:rPr>
        <w:t>se</w:t>
      </w:r>
      <w:r w:rsidR="00635039">
        <w:rPr>
          <w:lang w:val="en-GB"/>
        </w:rPr>
        <w:t xml:space="preserve"> </w:t>
      </w:r>
      <w:r>
        <w:rPr>
          <w:lang w:val="en-GB"/>
        </w:rPr>
        <w:t xml:space="preserve">open </w:t>
      </w:r>
      <w:r w:rsidR="00635039">
        <w:rPr>
          <w:lang w:val="en-GB"/>
        </w:rPr>
        <w:t>aspect</w:t>
      </w:r>
      <w:r>
        <w:rPr>
          <w:lang w:val="en-GB"/>
        </w:rPr>
        <w:t>s</w:t>
      </w:r>
      <w:r w:rsidR="00635039">
        <w:rPr>
          <w:lang w:val="en-GB"/>
        </w:rPr>
        <w:t xml:space="preserve"> and </w:t>
      </w:r>
      <w:r>
        <w:rPr>
          <w:lang w:val="en-GB"/>
        </w:rPr>
        <w:t>present our view</w:t>
      </w:r>
      <w:r w:rsidR="00635039">
        <w:rPr>
          <w:lang w:val="en-GB"/>
        </w:rPr>
        <w:t>.</w:t>
      </w:r>
    </w:p>
    <w:bookmarkEnd w:id="1"/>
    <w:p w14:paraId="659D65A4" w14:textId="77777777" w:rsidR="00EB410E" w:rsidRDefault="006A59DF" w:rsidP="00DE1023">
      <w:pPr>
        <w:pStyle w:val="Heading1"/>
        <w:numPr>
          <w:ilvl w:val="0"/>
          <w:numId w:val="2"/>
        </w:numPr>
        <w:jc w:val="both"/>
      </w:pPr>
      <w:r>
        <w:t>Discussion</w:t>
      </w:r>
    </w:p>
    <w:p w14:paraId="62512FCC" w14:textId="77777777" w:rsidR="0022040C" w:rsidRDefault="0022040C" w:rsidP="0022040C">
      <w:pPr>
        <w:pStyle w:val="Heading2"/>
        <w:jc w:val="both"/>
      </w:pPr>
      <w:r>
        <w:t>SL DRX configuration aspects</w:t>
      </w:r>
    </w:p>
    <w:p w14:paraId="5FA3A28A" w14:textId="77777777" w:rsidR="0022040C" w:rsidRDefault="0022040C" w:rsidP="0022040C">
      <w:r>
        <w:t>An open question since the last few RAN2 meetings has been the design direction to consider for how SL DRX configuration is determined/obtained by UEs operating over sidelink. During RAN2#113-e meeting, the following agreements were reached:</w:t>
      </w:r>
    </w:p>
    <w:p w14:paraId="239F6485"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540" w:hanging="363"/>
        <w:rPr>
          <w:rFonts w:ascii="Arial" w:eastAsia="MS Mincho" w:hAnsi="Arial"/>
          <w:szCs w:val="24"/>
          <w:lang w:val="en-GB" w:eastAsia="en-GB"/>
        </w:rPr>
      </w:pPr>
      <w:r>
        <w:rPr>
          <w:rFonts w:ascii="Arial" w:eastAsia="MS Mincho" w:hAnsi="Arial"/>
          <w:szCs w:val="24"/>
          <w:lang w:val="en-GB" w:eastAsia="en-GB"/>
        </w:rPr>
        <w:t>Agreements on SL DRX configurations</w:t>
      </w:r>
    </w:p>
    <w:p w14:paraId="34E01ABC"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540" w:hanging="363"/>
        <w:rPr>
          <w:rFonts w:ascii="Arial" w:eastAsia="MS Mincho" w:hAnsi="Arial"/>
          <w:szCs w:val="24"/>
          <w:lang w:val="en-GB" w:eastAsia="en-GB"/>
        </w:rPr>
      </w:pPr>
      <w:r>
        <w:rPr>
          <w:rFonts w:ascii="Arial" w:eastAsia="MS Mincho" w:hAnsi="Arial"/>
          <w:szCs w:val="24"/>
          <w:lang w:val="en-GB" w:eastAsia="en-GB"/>
        </w:rPr>
        <w:t xml:space="preserve">1: </w:t>
      </w:r>
      <w:r>
        <w:rPr>
          <w:rFonts w:ascii="Arial" w:eastAsia="MS Mincho" w:hAnsi="Arial"/>
          <w:szCs w:val="24"/>
          <w:lang w:val="en-GB" w:eastAsia="en-GB"/>
        </w:rPr>
        <w:tab/>
        <w:t>For broadcast/groupcast, for out-of-coverage case, TX-UE/RX-UE obtain DRX configuration from pre-configuration.</w:t>
      </w:r>
    </w:p>
    <w:p w14:paraId="146E5EAA"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540" w:hanging="363"/>
        <w:rPr>
          <w:rFonts w:ascii="Arial" w:eastAsia="MS Mincho" w:hAnsi="Arial"/>
          <w:szCs w:val="24"/>
          <w:lang w:val="en-GB" w:eastAsia="en-GB"/>
        </w:rPr>
      </w:pPr>
      <w:r>
        <w:rPr>
          <w:rFonts w:ascii="Arial" w:eastAsia="MS Mincho" w:hAnsi="Arial"/>
          <w:szCs w:val="24"/>
          <w:lang w:val="en-GB" w:eastAsia="en-GB"/>
        </w:rPr>
        <w:t>2:</w:t>
      </w:r>
      <w:r>
        <w:rPr>
          <w:rFonts w:ascii="Arial" w:eastAsia="MS Mincho" w:hAnsi="Arial"/>
          <w:szCs w:val="24"/>
          <w:lang w:val="en-GB" w:eastAsia="en-GB"/>
        </w:rPr>
        <w:tab/>
        <w:t>For broadcast/groupcast, for in-coverage case, RRC_IDLE/INACTIVE TX-UE/RX-UE obtain DRX configuration from SIB. It is up to network implementation how to coordinate active time between different cells.</w:t>
      </w:r>
    </w:p>
    <w:p w14:paraId="6932545B"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540" w:hanging="363"/>
        <w:rPr>
          <w:rFonts w:ascii="Arial" w:eastAsia="MS Mincho" w:hAnsi="Arial"/>
          <w:szCs w:val="24"/>
          <w:lang w:val="en-GB" w:eastAsia="en-GB"/>
        </w:rPr>
      </w:pPr>
      <w:r>
        <w:rPr>
          <w:rFonts w:ascii="Arial" w:eastAsia="MS Mincho" w:hAnsi="Arial"/>
          <w:szCs w:val="24"/>
          <w:lang w:val="en-GB" w:eastAsia="en-GB"/>
        </w:rPr>
        <w:t>3:</w:t>
      </w:r>
      <w:r>
        <w:rPr>
          <w:rFonts w:ascii="Arial" w:eastAsia="MS Mincho" w:hAnsi="Arial"/>
          <w:szCs w:val="24"/>
          <w:lang w:val="en-GB" w:eastAsia="en-GB"/>
        </w:rPr>
        <w:tab/>
        <w:t>For broadcast/groupcast, for in-coverage case, for RRC_CONNECTED TX-UE/RX-UE can obtain DRX configuration from SIB. FFS on whether dedicated-RRC is also used.</w:t>
      </w:r>
    </w:p>
    <w:p w14:paraId="4ADB1487"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540" w:hanging="363"/>
        <w:rPr>
          <w:rFonts w:ascii="Arial" w:eastAsia="MS Mincho" w:hAnsi="Arial"/>
          <w:szCs w:val="24"/>
          <w:lang w:val="en-GB" w:eastAsia="en-GB"/>
        </w:rPr>
      </w:pPr>
      <w:r>
        <w:rPr>
          <w:rFonts w:ascii="Arial" w:eastAsia="MS Mincho" w:hAnsi="Arial"/>
          <w:szCs w:val="24"/>
          <w:lang w:val="en-GB" w:eastAsia="en-GB"/>
        </w:rPr>
        <w:t>4:</w:t>
      </w:r>
      <w:r>
        <w:rPr>
          <w:rFonts w:ascii="Arial" w:eastAsia="MS Mincho" w:hAnsi="Arial"/>
          <w:szCs w:val="24"/>
          <w:lang w:val="en-GB" w:eastAsia="en-GB"/>
        </w:rPr>
        <w:tab/>
        <w:t xml:space="preserve">For unicast, for OOC scenario, the UE who sends out the DRX configuration decides on the DRX configuration. FFS on whether pre-configuration and/or the assistance information from the peer UE is also </w:t>
      </w:r>
      <w:proofErr w:type="gramStart"/>
      <w:r>
        <w:rPr>
          <w:rFonts w:ascii="Arial" w:eastAsia="MS Mincho" w:hAnsi="Arial"/>
          <w:szCs w:val="24"/>
          <w:lang w:val="en-GB" w:eastAsia="en-GB"/>
        </w:rPr>
        <w:t>taken into account</w:t>
      </w:r>
      <w:proofErr w:type="gramEnd"/>
      <w:r>
        <w:rPr>
          <w:rFonts w:ascii="Arial" w:eastAsia="MS Mincho" w:hAnsi="Arial"/>
          <w:szCs w:val="24"/>
          <w:lang w:val="en-GB" w:eastAsia="en-GB"/>
        </w:rPr>
        <w:t xml:space="preserve"> when determining the DRX configuration.</w:t>
      </w:r>
    </w:p>
    <w:p w14:paraId="51AF6758"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540" w:hanging="363"/>
        <w:rPr>
          <w:rFonts w:ascii="Arial" w:eastAsia="MS Mincho" w:hAnsi="Arial"/>
          <w:szCs w:val="24"/>
          <w:lang w:val="en-GB" w:eastAsia="en-GB"/>
        </w:rPr>
      </w:pPr>
      <w:r>
        <w:rPr>
          <w:rFonts w:ascii="Arial" w:eastAsia="MS Mincho" w:hAnsi="Arial"/>
          <w:szCs w:val="24"/>
          <w:lang w:val="en-GB" w:eastAsia="en-GB"/>
        </w:rPr>
        <w:t xml:space="preserve">5: </w:t>
      </w:r>
      <w:r>
        <w:rPr>
          <w:rFonts w:ascii="Arial" w:eastAsia="MS Mincho" w:hAnsi="Arial"/>
          <w:szCs w:val="24"/>
          <w:lang w:val="en-GB" w:eastAsia="en-GB"/>
        </w:rPr>
        <w:tab/>
      </w:r>
      <w:r>
        <w:rPr>
          <w:rFonts w:ascii="Arial" w:eastAsia="MS Mincho" w:hAnsi="Arial"/>
          <w:szCs w:val="24"/>
          <w:highlight w:val="yellow"/>
          <w:lang w:val="en-GB" w:eastAsia="en-GB"/>
        </w:rPr>
        <w:t>For unicast, for OOC scenario, adopt per-direction DRX configuration is as baseline. FFS on whether it is TX-centric or Rx-centric, i.e. TX UE or RX UE decides it.</w:t>
      </w:r>
    </w:p>
    <w:p w14:paraId="511C6ED0" w14:textId="77777777" w:rsidR="0022040C" w:rsidRDefault="0022040C" w:rsidP="0022040C"/>
    <w:p w14:paraId="4AD40537" w14:textId="013DCBA1" w:rsidR="0022040C" w:rsidRDefault="0022040C" w:rsidP="0022040C">
      <w:r>
        <w:lastRenderedPageBreak/>
        <w:t xml:space="preserve">Subsequently, a summary for email discussion to close on this aspect was submitted to the last RAN2 meeting, but not treated due to lack of time </w:t>
      </w:r>
      <w:sdt>
        <w:sdtPr>
          <w:id w:val="1432555030"/>
          <w:citation/>
        </w:sdtPr>
        <w:sdtEndPr/>
        <w:sdtContent>
          <w:r>
            <w:fldChar w:fldCharType="begin"/>
          </w:r>
          <w:r>
            <w:instrText xml:space="preserve"> CITATION emaildisc704 \l 1033 </w:instrText>
          </w:r>
          <w:r>
            <w:fldChar w:fldCharType="separate"/>
          </w:r>
          <w:r w:rsidR="003C48E6" w:rsidRPr="003C48E6">
            <w:rPr>
              <w:noProof/>
            </w:rPr>
            <w:t>[2]</w:t>
          </w:r>
          <w:r>
            <w:fldChar w:fldCharType="end"/>
          </w:r>
        </w:sdtContent>
      </w:sdt>
      <w:r>
        <w:t xml:space="preserve">. An open issue therein related to the above set of agreements is whether a TX-centric or an RX-centric approach is used for determining the DRX configuration for a given unicast link/direction. In our view, use of TX-centric approach is preferrable and the main argument against it seems to be that it does not seek to maximize the power saving gains which is the underlying objective for SL DRX. However, it should be noted that since we have already converged on the usage of some assistance information/signaling from the peer UE (i.e. signaling-1). In our view, this signaling can be sent by the RX UE and can precede the actual DRX configuration sent by the TX UE. In this way, the TX UE can take the information sent by the RX UE into account when determining the SL DRX configuration to be used for this link and power saving gains can be accomplished. Note that this signaling can either correspond to some SL traffic related information (e.g. SL traffic periodicity, priority, etc.) or some preferred DRX configuration from the RX UE side. Moreover, if we consider the RX UE centric approach and consider the case that it is receiving SL traffic from multiple UEs, the configuration that it determines may not be usable by a TX UE with respect to its resource selection procedure. It is noted that RAN1 is unlikely to discuss any modification on resource select procedure according to the work plan.  </w:t>
      </w:r>
    </w:p>
    <w:p w14:paraId="42D8FF26" w14:textId="77777777"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1:</w:t>
      </w:r>
      <w:r>
        <w:rPr>
          <w:rFonts w:eastAsia="Times New Roman"/>
          <w:b/>
          <w:bCs/>
          <w:lang w:val="en-GB" w:eastAsia="zh-CN"/>
        </w:rPr>
        <w:tab/>
      </w:r>
      <w:r>
        <w:rPr>
          <w:rFonts w:eastAsia="Times New Roman"/>
          <w:b/>
          <w:bCs/>
          <w:i/>
          <w:lang w:val="en-GB" w:eastAsia="zh-CN"/>
        </w:rPr>
        <w:t>TX-UE centric approach can still achieve power saving gains based on utilization of assistance information from the peer/RX UE.</w:t>
      </w:r>
    </w:p>
    <w:p w14:paraId="19C12B6D" w14:textId="77777777" w:rsidR="0022040C" w:rsidRDefault="0022040C" w:rsidP="0022040C">
      <w:pPr>
        <w:tabs>
          <w:tab w:val="left" w:pos="1701"/>
        </w:tabs>
        <w:spacing w:after="120"/>
        <w:ind w:left="1304" w:hanging="1304"/>
        <w:jc w:val="both"/>
        <w:rPr>
          <w:rFonts w:eastAsia="Times New Roman"/>
          <w:b/>
          <w:bCs/>
          <w:i/>
          <w:lang w:val="en-GB" w:eastAsia="zh-CN"/>
        </w:rPr>
      </w:pPr>
    </w:p>
    <w:p w14:paraId="22ABA72D" w14:textId="77777777"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1a:</w:t>
      </w:r>
      <w:r>
        <w:rPr>
          <w:rFonts w:eastAsia="Times New Roman"/>
          <w:b/>
          <w:bCs/>
          <w:lang w:val="en-GB" w:eastAsia="zh-CN"/>
        </w:rPr>
        <w:tab/>
      </w:r>
      <w:r>
        <w:rPr>
          <w:rFonts w:eastAsia="Times New Roman"/>
          <w:b/>
          <w:bCs/>
          <w:i/>
          <w:lang w:val="en-GB" w:eastAsia="zh-CN"/>
        </w:rPr>
        <w:t>At least for the OOC case, RAN2 is proposed to agree to use a TX-UE centric approach for SL DRX configuration.</w:t>
      </w:r>
    </w:p>
    <w:p w14:paraId="2E393421" w14:textId="77777777"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1b:</w:t>
      </w:r>
      <w:r>
        <w:rPr>
          <w:rFonts w:eastAsia="Times New Roman"/>
          <w:b/>
          <w:bCs/>
          <w:lang w:val="en-GB" w:eastAsia="zh-CN"/>
        </w:rPr>
        <w:tab/>
      </w:r>
      <w:r>
        <w:rPr>
          <w:rFonts w:eastAsia="Times New Roman"/>
          <w:b/>
          <w:bCs/>
          <w:i/>
          <w:lang w:val="en-GB" w:eastAsia="zh-CN"/>
        </w:rPr>
        <w:t>The TX UE decides on DRX configuration based on at least the assistance information received from the peer RX UE.</w:t>
      </w:r>
    </w:p>
    <w:p w14:paraId="6391941A" w14:textId="77777777" w:rsidR="0022040C" w:rsidRDefault="0022040C" w:rsidP="0022040C"/>
    <w:p w14:paraId="62EB9989" w14:textId="36062C34" w:rsidR="0022040C" w:rsidRDefault="0022040C" w:rsidP="0022040C">
      <w:r>
        <w:t xml:space="preserve">In addition to the role of signaling from the peer UE, we also need to consider how the TX UE determines the SL DRX configuration for different coverage scenarios. For the simplest case of out of coverage, the role of pre-configuration is still not clear as in </w:t>
      </w:r>
      <w:sdt>
        <w:sdtPr>
          <w:id w:val="1224032762"/>
          <w:citation/>
        </w:sdtPr>
        <w:sdtEndPr/>
        <w:sdtContent>
          <w:r>
            <w:fldChar w:fldCharType="begin"/>
          </w:r>
          <w:r>
            <w:instrText xml:space="preserve"> CITATION emaildisc704 \l 1033 </w:instrText>
          </w:r>
          <w:r>
            <w:fldChar w:fldCharType="separate"/>
          </w:r>
          <w:r w:rsidR="003C48E6" w:rsidRPr="003C48E6">
            <w:rPr>
              <w:noProof/>
            </w:rPr>
            <w:t>[2]</w:t>
          </w:r>
          <w:r>
            <w:fldChar w:fldCharType="end"/>
          </w:r>
        </w:sdtContent>
      </w:sdt>
      <w:r>
        <w:t>. In our view, pre-configuration has traditionally been used as a last resort when the UE has no other way of obtaining configuration and is generally not granular enough to be suited to every type of unicast link/traffic. On the other hand, given that it is the TX UE which has the most accurate information on the SL traffic, it is reasonable to rely on UE implementation to determine the SL DRX configuration to be used. Therefore, there is no need to specify the details of how this configuration is determined by the UE. Note that this can be applicable regardless of whether we ultimately go with a TX-centric or RX-centric approach.</w:t>
      </w:r>
    </w:p>
    <w:p w14:paraId="036E12C9" w14:textId="77777777"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Pr>
          <w:rFonts w:eastAsia="Times New Roman"/>
          <w:b/>
          <w:bCs/>
          <w:i/>
          <w:lang w:val="en-GB" w:eastAsia="zh-CN"/>
        </w:rPr>
        <w:t>RAN2 is proposed to agree that for the OOC case, the TX UE can rely on UE implementation to derive the SL DRX configuration (i.e. no need to rely on pre-configuration).</w:t>
      </w:r>
    </w:p>
    <w:p w14:paraId="30D35FB8" w14:textId="77777777" w:rsidR="0022040C" w:rsidRDefault="0022040C" w:rsidP="0022040C"/>
    <w:p w14:paraId="380BE040" w14:textId="6C527AC3" w:rsidR="0022040C" w:rsidRDefault="0022040C" w:rsidP="0022040C">
      <w:r>
        <w:t xml:space="preserve">For the case when either or both the UEs are in network coverage, there seems to be a consensus among companies that we rely on the UE(s) forwarding the received configuration from the peer UE to the network and rely on SIB/Dedicated RRC signaling to obtain the DRX configuration to be used. This is also aligned with the general design direction in NR sidelink (compared to LTE) that UE’s SL related configuration should be under network control when in coverage. The potential impact of this design on the SL DRX active time alignment objective is discussed in more detail in our companion contribution </w:t>
      </w:r>
      <w:sdt>
        <w:sdtPr>
          <w:id w:val="-224227577"/>
          <w:citation/>
        </w:sdtPr>
        <w:sdtEndPr/>
        <w:sdtContent>
          <w:r>
            <w:fldChar w:fldCharType="begin"/>
          </w:r>
          <w:r w:rsidR="003C48E6">
            <w:instrText xml:space="preserve">CITATION DRXalignment114 \l 1033 </w:instrText>
          </w:r>
          <w:r>
            <w:fldChar w:fldCharType="separate"/>
          </w:r>
          <w:r w:rsidR="003C48E6" w:rsidRPr="003C48E6">
            <w:rPr>
              <w:noProof/>
            </w:rPr>
            <w:t>[3]</w:t>
          </w:r>
          <w:r>
            <w:fldChar w:fldCharType="end"/>
          </w:r>
        </w:sdtContent>
      </w:sdt>
      <w:r>
        <w:t>.</w:t>
      </w:r>
    </w:p>
    <w:p w14:paraId="3AA6B8E3" w14:textId="542A9EE3" w:rsidR="0022040C" w:rsidRDefault="00D65DEB" w:rsidP="0022040C">
      <w:pPr>
        <w:pStyle w:val="Heading2"/>
      </w:pPr>
      <w:r>
        <w:t xml:space="preserve">On </w:t>
      </w:r>
      <w:r w:rsidR="0022040C">
        <w:t>DRX specific timers</w:t>
      </w:r>
    </w:p>
    <w:p w14:paraId="290FBACD" w14:textId="77777777" w:rsidR="0022040C" w:rsidRDefault="0022040C" w:rsidP="0022040C">
      <w:pPr>
        <w:rPr>
          <w:lang w:val="en-GB" w:eastAsia="x-none"/>
        </w:rPr>
      </w:pPr>
      <w:r>
        <w:rPr>
          <w:lang w:val="en-GB" w:eastAsia="x-none"/>
        </w:rPr>
        <w:t xml:space="preserve">The main aspect discussed in the last RAN2 meeting pertains to SL DRX specific timer definitions and further details. There are a few </w:t>
      </w:r>
      <w:proofErr w:type="gramStart"/>
      <w:r>
        <w:rPr>
          <w:lang w:val="en-GB" w:eastAsia="x-none"/>
        </w:rPr>
        <w:t>key</w:t>
      </w:r>
      <w:proofErr w:type="gramEnd"/>
      <w:r>
        <w:rPr>
          <w:lang w:val="en-GB" w:eastAsia="x-none"/>
        </w:rPr>
        <w:t xml:space="preserve"> FFS aspects that need further discussion to converge. </w:t>
      </w:r>
    </w:p>
    <w:p w14:paraId="5B7E183F" w14:textId="27D33E99" w:rsidR="0022040C" w:rsidRDefault="0022040C" w:rsidP="0022040C">
      <w:pPr>
        <w:rPr>
          <w:lang w:val="en-GB" w:eastAsia="x-none"/>
        </w:rPr>
      </w:pPr>
      <w:r>
        <w:rPr>
          <w:lang w:val="en-GB" w:eastAsia="x-none"/>
        </w:rPr>
        <w:t xml:space="preserve">Firstly, there seemed to be confusion on whether there is any impact on the TX UE behaviour with respect to alignment with the DRX active time from RX UE perspective. In this case, it would be good to clarify that we have already agreed that the key SL DRX related timers shall be included as part of the SL DRX configuration, which should be known to both peer UEs. In that sense, the TX UE should already be aware of the timers running at the RX UE (which indirectly determine whether the RX UE is in SL DRX active time or not). </w:t>
      </w:r>
      <w:proofErr w:type="spellStart"/>
      <w:r>
        <w:rPr>
          <w:lang w:val="en-GB" w:eastAsia="x-none"/>
        </w:rPr>
        <w:t>Infact</w:t>
      </w:r>
      <w:proofErr w:type="spellEnd"/>
      <w:r>
        <w:rPr>
          <w:lang w:val="en-GB" w:eastAsia="x-none"/>
        </w:rPr>
        <w:t xml:space="preserve">, the TX UE should </w:t>
      </w:r>
      <w:r>
        <w:rPr>
          <w:lang w:val="en-GB" w:eastAsia="x-none"/>
        </w:rPr>
        <w:lastRenderedPageBreak/>
        <w:t xml:space="preserve">take this DRX timer related configuration into account when performing sensing/resource selection for transmission to the RX UE such that it falls during the active time of the RX UE. This association between sensing and DRX configuration is further explored in section 2.3 below. In addition to this however, it cannot be assumed that the TX UE maintains the same set of timers as the RX UE in order to be aware of the RX UE’s DRX cycle, especially since it may be operating over multiple PC5 unicast links. Given the potential complexity of having to specify the TX UE behaviour of maintaining the same timers and essentially “mirroring” the RX UE’s DRX cycle/timers, it is not clear to us how the TX UE “maintains” these timers. In our view, the simplest way forward is to agree that TX UE shall be aware of the DRX timer configuration for the RX UE when performing SL transmissions, without explicitly having to maintain the same set of timers itself. How to capture this </w:t>
      </w:r>
      <w:r w:rsidR="00464F5D">
        <w:rPr>
          <w:lang w:val="en-GB" w:eastAsia="x-none"/>
        </w:rPr>
        <w:t>behaviour</w:t>
      </w:r>
      <w:r>
        <w:rPr>
          <w:lang w:val="en-GB" w:eastAsia="x-none"/>
        </w:rPr>
        <w:t xml:space="preserve"> can be further discussed in RAN2.</w:t>
      </w:r>
    </w:p>
    <w:p w14:paraId="0F75178F" w14:textId="77777777"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Pr>
          <w:rFonts w:eastAsia="Times New Roman"/>
          <w:b/>
          <w:bCs/>
          <w:lang w:val="en-GB" w:eastAsia="zh-CN"/>
        </w:rPr>
        <w:tab/>
      </w:r>
      <w:r>
        <w:rPr>
          <w:rFonts w:eastAsia="Times New Roman"/>
          <w:b/>
          <w:bCs/>
          <w:i/>
          <w:iCs/>
          <w:lang w:val="en-GB" w:eastAsia="zh-CN"/>
        </w:rPr>
        <w:t>The TX UE shall be aware of the DRX timer configuration for the RX UE when performing SL transmissions to keep aligned with the RX UE’s active time</w:t>
      </w:r>
      <w:r>
        <w:rPr>
          <w:rFonts w:eastAsia="Times New Roman"/>
          <w:b/>
          <w:bCs/>
          <w:i/>
          <w:lang w:val="en-GB" w:eastAsia="zh-CN"/>
        </w:rPr>
        <w:t>. Whether or not it requires maintaining the same DRX timers as the RX UE can be FFS.</w:t>
      </w:r>
    </w:p>
    <w:p w14:paraId="1A15874B" w14:textId="77777777" w:rsidR="0022040C" w:rsidRDefault="0022040C" w:rsidP="0022040C">
      <w:pPr>
        <w:rPr>
          <w:lang w:val="en-GB" w:eastAsia="x-none"/>
        </w:rPr>
      </w:pPr>
    </w:p>
    <w:p w14:paraId="46F40084" w14:textId="4273B9F9" w:rsidR="0022040C" w:rsidRDefault="0022040C" w:rsidP="0022040C">
      <w:pPr>
        <w:rPr>
          <w:lang w:val="en-GB" w:eastAsia="x-none"/>
        </w:rPr>
      </w:pPr>
      <w:r>
        <w:rPr>
          <w:lang w:val="en-GB" w:eastAsia="x-none"/>
        </w:rPr>
        <w:t xml:space="preserve">Secondly, while it was agreed that as a baseline, the SL inactivity timer shall be supported for groupcast on a per groupcast destination ID basis, it is not clear whether additional handling is needed for synchronization of the inactivity timer across group member UEs. It is worth noting that based on NR sidelink design, there is no AS layer awareness or additional signaling for group management and it is purely handled at the upper layers. In other words, the group members are not aware of the existence of the group leader/manager UE. Moreover, if one were to mimic the unicast </w:t>
      </w:r>
      <w:r w:rsidR="00D1705A">
        <w:rPr>
          <w:lang w:val="en-GB" w:eastAsia="x-none"/>
        </w:rPr>
        <w:t>behaviour</w:t>
      </w:r>
      <w:r>
        <w:rPr>
          <w:lang w:val="en-GB" w:eastAsia="x-none"/>
        </w:rPr>
        <w:t xml:space="preserve"> where the peer UEs are aware of each other’s SL DRX timer configuration, it would require signaling exchange between all the group member UEs and/or the mediation by a group leader. In our understanding, based on the previous discussion on how this DRX configuration is provided to UEs in the groupcast scenario, it should be handled by network configuration and/or preconfiguration. So, the need for synchronization of inactivity timers for the groupcast case is not well motivated and would likely require support of additional AS signaling. Therefore, we think that no special handling is needed for this case.</w:t>
      </w:r>
    </w:p>
    <w:p w14:paraId="19C4B19B" w14:textId="77777777"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Pr>
          <w:rFonts w:eastAsia="Times New Roman"/>
          <w:b/>
          <w:bCs/>
          <w:lang w:val="en-GB" w:eastAsia="zh-CN"/>
        </w:rPr>
        <w:tab/>
      </w:r>
      <w:r>
        <w:rPr>
          <w:rFonts w:eastAsia="Times New Roman"/>
          <w:b/>
          <w:bCs/>
          <w:i/>
          <w:iCs/>
          <w:lang w:val="en-GB" w:eastAsia="zh-CN"/>
        </w:rPr>
        <w:t>No special handling is needed for synchronization of SL inactivity timers for the groupcast case</w:t>
      </w:r>
      <w:r>
        <w:rPr>
          <w:rFonts w:eastAsia="Times New Roman"/>
          <w:b/>
          <w:bCs/>
          <w:i/>
          <w:lang w:val="en-GB" w:eastAsia="zh-CN"/>
        </w:rPr>
        <w:t>.</w:t>
      </w:r>
    </w:p>
    <w:p w14:paraId="29DE3F22" w14:textId="77777777" w:rsidR="0022040C" w:rsidRDefault="0022040C" w:rsidP="0022040C">
      <w:pPr>
        <w:rPr>
          <w:lang w:val="en-GB" w:eastAsia="x-none"/>
        </w:rPr>
      </w:pPr>
    </w:p>
    <w:p w14:paraId="4E28BB31" w14:textId="4C9C1E30" w:rsidR="0022040C" w:rsidRDefault="0022040C" w:rsidP="0022040C">
      <w:pPr>
        <w:rPr>
          <w:lang w:val="en-GB" w:eastAsia="x-none"/>
        </w:rPr>
      </w:pPr>
      <w:r>
        <w:rPr>
          <w:lang w:val="en-GB" w:eastAsia="x-none"/>
        </w:rPr>
        <w:t xml:space="preserve">Finally, it was agreed as a working assumption that the slots when the UE is expected to receive CSI reports following a CSI request shall be considered as SL active time. There was some confusion as to how it affects the TX UE side, but we think it is clear that while the TX UE </w:t>
      </w:r>
      <w:r w:rsidR="00D1705A">
        <w:rPr>
          <w:lang w:val="en-GB" w:eastAsia="x-none"/>
        </w:rPr>
        <w:t>behaviour</w:t>
      </w:r>
      <w:r>
        <w:rPr>
          <w:lang w:val="en-GB" w:eastAsia="x-none"/>
        </w:rPr>
        <w:t xml:space="preserve"> might be affected regarding the transmission of this CSI report, it is straightforward from the RX UE perspective, i.e. once the RX UE sends a CSI request, it has to extend the DRX active time in order to be able to monitor PSCCH/PSSCH to successfully receive the CSI report. From the TX UE perspective, this has no impact on its DRX operation, since as discussed in section 2.3 below, DRX </w:t>
      </w:r>
      <w:r w:rsidR="00D1705A">
        <w:rPr>
          <w:lang w:val="en-GB" w:eastAsia="x-none"/>
        </w:rPr>
        <w:t>behaviour</w:t>
      </w:r>
      <w:r>
        <w:rPr>
          <w:lang w:val="en-GB" w:eastAsia="x-none"/>
        </w:rPr>
        <w:t xml:space="preserve"> is primarily specified </w:t>
      </w:r>
      <w:proofErr w:type="gramStart"/>
      <w:r>
        <w:rPr>
          <w:lang w:val="en-GB" w:eastAsia="x-none"/>
        </w:rPr>
        <w:t>with regard to</w:t>
      </w:r>
      <w:proofErr w:type="gramEnd"/>
      <w:r>
        <w:rPr>
          <w:lang w:val="en-GB" w:eastAsia="x-none"/>
        </w:rPr>
        <w:t xml:space="preserve"> RX operation. </w:t>
      </w:r>
    </w:p>
    <w:p w14:paraId="0BA2175A" w14:textId="54D71594" w:rsidR="0022040C" w:rsidRDefault="0022040C" w:rsidP="0022040C">
      <w:pPr>
        <w:tabs>
          <w:tab w:val="left" w:pos="1701"/>
        </w:tabs>
        <w:spacing w:after="120"/>
        <w:ind w:left="1304" w:hanging="1304"/>
        <w:jc w:val="both"/>
        <w:rPr>
          <w:rFonts w:eastAsia="Times New Roman"/>
          <w:b/>
          <w:bCs/>
          <w:i/>
          <w:lang w:val="en-GB" w:eastAsia="zh-CN"/>
        </w:rPr>
      </w:pPr>
      <w:r>
        <w:rPr>
          <w:lang w:val="en-GB" w:eastAsia="x-none"/>
        </w:rPr>
        <w:t xml:space="preserve"> </w:t>
      </w:r>
      <w:r>
        <w:rPr>
          <w:rFonts w:eastAsia="Times New Roman"/>
          <w:b/>
          <w:bCs/>
          <w:u w:val="single"/>
          <w:lang w:val="en-GB" w:eastAsia="zh-CN"/>
        </w:rPr>
        <w:t>Proposal 5:</w:t>
      </w:r>
      <w:r>
        <w:rPr>
          <w:rFonts w:eastAsia="Times New Roman"/>
          <w:b/>
          <w:bCs/>
          <w:lang w:val="en-GB" w:eastAsia="zh-CN"/>
        </w:rPr>
        <w:tab/>
      </w:r>
      <w:r>
        <w:rPr>
          <w:rFonts w:eastAsia="Times New Roman"/>
          <w:b/>
          <w:bCs/>
          <w:i/>
          <w:iCs/>
          <w:lang w:val="en-GB" w:eastAsia="zh-CN"/>
        </w:rPr>
        <w:t xml:space="preserve">Confirm the working assumption that the slots when the UE is expected to receive a CSI report (following a CSI request) shall be considered as SL DRX active time from RX UE </w:t>
      </w:r>
      <w:r w:rsidR="00AA47E4">
        <w:rPr>
          <w:rFonts w:eastAsia="Times New Roman"/>
          <w:b/>
          <w:bCs/>
          <w:i/>
          <w:iCs/>
          <w:lang w:val="en-GB" w:eastAsia="zh-CN"/>
        </w:rPr>
        <w:t>perspective</w:t>
      </w:r>
      <w:r>
        <w:rPr>
          <w:rFonts w:eastAsia="Times New Roman"/>
          <w:b/>
          <w:bCs/>
          <w:i/>
          <w:lang w:val="en-GB" w:eastAsia="zh-CN"/>
        </w:rPr>
        <w:t>.</w:t>
      </w:r>
    </w:p>
    <w:p w14:paraId="64669549" w14:textId="77777777" w:rsidR="0022040C" w:rsidRPr="00CE3E27" w:rsidRDefault="0022040C" w:rsidP="0022040C">
      <w:pPr>
        <w:rPr>
          <w:lang w:val="en-GB" w:eastAsia="x-none"/>
        </w:rPr>
      </w:pPr>
    </w:p>
    <w:p w14:paraId="4E79F732" w14:textId="77777777" w:rsidR="0022040C" w:rsidRDefault="0022040C" w:rsidP="0022040C">
      <w:pPr>
        <w:pStyle w:val="Heading2"/>
        <w:jc w:val="both"/>
      </w:pPr>
      <w:r>
        <w:t>Consideration for sensing operation</w:t>
      </w:r>
    </w:p>
    <w:p w14:paraId="380D25A9" w14:textId="77777777" w:rsidR="0022040C" w:rsidRDefault="0022040C" w:rsidP="0022040C">
      <w:pPr>
        <w:rPr>
          <w:lang w:val="en-GB" w:eastAsia="x-none"/>
        </w:rPr>
      </w:pPr>
      <w:r>
        <w:rPr>
          <w:lang w:val="en-GB" w:eastAsia="x-none"/>
        </w:rPr>
        <w:t xml:space="preserve">The impact of UE sensing behaviour on SL DRX operation is not yet fully clear. In the last meeting, RAN2 defined the behaviour for monitoring the SCI reception with respect to data reception, but sensing aspect was not considered. While there is no clear guidance on the how the two interact, we think it is worthwhile to discuss and conclude on this aspect. Specifically, as discussed in section 2.2, from a TX UE perspective, once the SL DRX configuration for a given unicast link has been determined, it needs to perform sensing for resource (re-)selection for SL data transmission in mode 2. </w:t>
      </w:r>
      <w:proofErr w:type="gramStart"/>
      <w:r>
        <w:rPr>
          <w:lang w:val="en-GB" w:eastAsia="x-none"/>
        </w:rPr>
        <w:t>In order to</w:t>
      </w:r>
      <w:proofErr w:type="gramEnd"/>
      <w:r>
        <w:rPr>
          <w:lang w:val="en-GB" w:eastAsia="x-none"/>
        </w:rPr>
        <w:t xml:space="preserve"> align the DRX cycle for the two UEs, TX UE needs to ensure that its selected resources fall within the determined DRX active time of the RX UE. At the same time, this sensing procedure for the TX UE does not necessarily impact the SL DRX active time for the RX UE. From the RX UE perspective, it can be assumed that the TX UE shall perform sensing and (re-)select resources for transmission such that they fall within the DRX active time. In this sense, the PSCCH sensing for data reception by the RX UE is decoupled from the TX UE sensing for resource (re-)selection. This in turn implies that the SL DRX configuration shall be </w:t>
      </w:r>
      <w:r>
        <w:rPr>
          <w:lang w:val="en-GB" w:eastAsia="x-none"/>
        </w:rPr>
        <w:lastRenderedPageBreak/>
        <w:t xml:space="preserve">determined before any SL data transmission/reception takes place over the link, during which time any sensing may need to be performed. It is also worth noting that this principle is equally applicable for TX-centric or RX-centric approach since in both cases, the DRX configuration shall be applicable for a longer duration than sensing operation (which may happen much more frequently and on a shorter time scale). So, we think it is worthwhile to agree that the sensing procedure shall </w:t>
      </w:r>
      <w:proofErr w:type="gramStart"/>
      <w:r>
        <w:rPr>
          <w:lang w:val="en-GB" w:eastAsia="x-none"/>
        </w:rPr>
        <w:t>take into account</w:t>
      </w:r>
      <w:proofErr w:type="gramEnd"/>
      <w:r>
        <w:rPr>
          <w:lang w:val="en-GB" w:eastAsia="x-none"/>
        </w:rPr>
        <w:t xml:space="preserve"> the DRX configuration to be used over this link/direction by the TX UE.</w:t>
      </w:r>
    </w:p>
    <w:p w14:paraId="6B6A9ED5" w14:textId="5A63A72E"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6:</w:t>
      </w:r>
      <w:r>
        <w:rPr>
          <w:rFonts w:eastAsia="Times New Roman"/>
          <w:b/>
          <w:bCs/>
          <w:lang w:val="en-GB" w:eastAsia="zh-CN"/>
        </w:rPr>
        <w:tab/>
      </w:r>
      <w:r>
        <w:rPr>
          <w:rFonts w:eastAsia="Times New Roman"/>
          <w:b/>
          <w:bCs/>
          <w:i/>
          <w:lang w:val="en-GB" w:eastAsia="zh-CN"/>
        </w:rPr>
        <w:t xml:space="preserve">The sensing for resource (re-)selection needed to be performed by the TX UE shall </w:t>
      </w:r>
      <w:proofErr w:type="gramStart"/>
      <w:r>
        <w:rPr>
          <w:rFonts w:eastAsia="Times New Roman"/>
          <w:b/>
          <w:bCs/>
          <w:i/>
          <w:lang w:val="en-GB" w:eastAsia="zh-CN"/>
        </w:rPr>
        <w:t>take into account</w:t>
      </w:r>
      <w:proofErr w:type="gramEnd"/>
      <w:r>
        <w:rPr>
          <w:rFonts w:eastAsia="Times New Roman"/>
          <w:b/>
          <w:bCs/>
          <w:i/>
          <w:lang w:val="en-GB" w:eastAsia="zh-CN"/>
        </w:rPr>
        <w:t xml:space="preserve"> the SL DRX configuration for this unicast link/direction.</w:t>
      </w:r>
    </w:p>
    <w:p w14:paraId="745C346E" w14:textId="77777777" w:rsidR="0022040C" w:rsidRDefault="0022040C" w:rsidP="0022040C">
      <w:pPr>
        <w:pStyle w:val="Heading2"/>
        <w:jc w:val="both"/>
      </w:pPr>
      <w:r>
        <w:t>Assistance information exchange between peer UEs</w:t>
      </w:r>
    </w:p>
    <w:p w14:paraId="10546543" w14:textId="73CEAE27" w:rsidR="0022040C" w:rsidRDefault="0022040C" w:rsidP="0022040C">
      <w:pPr>
        <w:rPr>
          <w:lang w:val="en-GB" w:eastAsia="x-none"/>
        </w:rPr>
      </w:pPr>
      <w:r>
        <w:rPr>
          <w:lang w:val="en-GB" w:eastAsia="x-none"/>
        </w:rPr>
        <w:t xml:space="preserve">Closely tied to the procurement of SL DRX configuration discussion in section 2.1 is the role of potential assistance information. Based on the email discussion outcome </w:t>
      </w:r>
      <w:sdt>
        <w:sdtPr>
          <w:rPr>
            <w:lang w:val="en-GB" w:eastAsia="x-none"/>
          </w:rPr>
          <w:id w:val="-2022460705"/>
          <w:citation/>
        </w:sdtPr>
        <w:sdtEndPr/>
        <w:sdtContent>
          <w:r>
            <w:rPr>
              <w:lang w:val="en-GB" w:eastAsia="x-none"/>
            </w:rPr>
            <w:fldChar w:fldCharType="begin"/>
          </w:r>
          <w:r>
            <w:rPr>
              <w:lang w:eastAsia="x-none"/>
            </w:rPr>
            <w:instrText xml:space="preserve"> CITATION emaildisc704 \l 1033 </w:instrText>
          </w:r>
          <w:r>
            <w:rPr>
              <w:lang w:val="en-GB" w:eastAsia="x-none"/>
            </w:rPr>
            <w:fldChar w:fldCharType="separate"/>
          </w:r>
          <w:r w:rsidR="003C48E6" w:rsidRPr="003C48E6">
            <w:rPr>
              <w:noProof/>
              <w:lang w:eastAsia="x-none"/>
            </w:rPr>
            <w:t>[2]</w:t>
          </w:r>
          <w:r>
            <w:rPr>
              <w:lang w:val="en-GB" w:eastAsia="x-none"/>
            </w:rPr>
            <w:fldChar w:fldCharType="end"/>
          </w:r>
        </w:sdtContent>
      </w:sdt>
      <w:r>
        <w:rPr>
          <w:lang w:val="en-GB" w:eastAsia="x-none"/>
        </w:rPr>
        <w:t>, it is still not clear whether the signalling from RX to TX UE can be classified as assistance information and if so, what are the contents of this signalling. However, before discussing the details of the signalling, it should be clarified what the purpose of this signalling is. In our view, regardless of a TX-centric vs RX-centric approach, some information should be exchanged between the peer UEs to take into account the SL traffic characteristics and increase the power saving gains to be had from the subsequent DRX configuration. This is very similar to how the current assistance information framework works and can in fact served as a baseline for SL design. For the TX-UE centric case, this can be an indication of the preferred SL DRX configuration from the peer UE that seeks to maximize its power saving gain, considering its existing unicast links with other peer UEs. For the RX-UE centric case, this can correspond to the SL data traffic characteristics that need to be considered by the RX UE when determining the DRX configuration such that it meets the QoS requirements for a given SL service. Of course, once it is clear which approach is adopted, RAN2 can further discuss the detailed design for this assistance information exchange.</w:t>
      </w:r>
    </w:p>
    <w:p w14:paraId="10BD7437" w14:textId="3C117670"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7:</w:t>
      </w:r>
      <w:r>
        <w:rPr>
          <w:rFonts w:eastAsia="Times New Roman"/>
          <w:b/>
          <w:bCs/>
          <w:lang w:val="en-GB" w:eastAsia="zh-CN"/>
        </w:rPr>
        <w:tab/>
      </w:r>
      <w:r>
        <w:rPr>
          <w:rFonts w:eastAsia="Times New Roman"/>
          <w:b/>
          <w:bCs/>
          <w:i/>
          <w:lang w:val="en-GB" w:eastAsia="zh-CN"/>
        </w:rPr>
        <w:t>RAN2 agrees that (regardless of TX or RX centric approach), assistance information between TX/RX UEs is exchanged to derive the SL DRX configuration. The contents of this information depend on which approach is used and can be further discussed.</w:t>
      </w:r>
    </w:p>
    <w:p w14:paraId="4F201049" w14:textId="77777777" w:rsidR="0022040C" w:rsidRDefault="0022040C" w:rsidP="0022040C">
      <w:pPr>
        <w:rPr>
          <w:lang w:val="en-GB" w:eastAsia="x-none"/>
        </w:rPr>
      </w:pPr>
    </w:p>
    <w:p w14:paraId="1C1DA41A" w14:textId="77777777" w:rsidR="0022040C" w:rsidRDefault="0022040C" w:rsidP="0022040C">
      <w:pPr>
        <w:pStyle w:val="Heading2"/>
        <w:jc w:val="both"/>
      </w:pPr>
      <w:r>
        <w:t>SL DRX Command MAC CE</w:t>
      </w:r>
    </w:p>
    <w:p w14:paraId="382D3C48" w14:textId="04F981A8" w:rsidR="0022040C" w:rsidRDefault="0022040C" w:rsidP="0022040C">
      <w:pPr>
        <w:rPr>
          <w:lang w:val="en-GB" w:eastAsia="x-none"/>
        </w:rPr>
      </w:pPr>
      <w:r>
        <w:rPr>
          <w:lang w:val="en-GB" w:eastAsia="x-none"/>
        </w:rPr>
        <w:t xml:space="preserve">It was agreed previously in RAN2 that SL DRX Command MAC CE is introduced for SL DRX operation in unicast. However, the detailed UE behaviour considering the differences between Uu and SL operation still needs to be defined. In our view, the spirit of introducing SL DRX Command MAC </w:t>
      </w:r>
      <w:r w:rsidR="005B3CF1">
        <w:rPr>
          <w:lang w:val="en-GB" w:eastAsia="x-none"/>
        </w:rPr>
        <w:t xml:space="preserve">CE </w:t>
      </w:r>
      <w:r>
        <w:rPr>
          <w:lang w:val="en-GB" w:eastAsia="x-none"/>
        </w:rPr>
        <w:t xml:space="preserve">should follow Uu, i.e. the TX UE can send the SL DRX Command MAC CE to the RX UE to denote that it does not plan on sending any more data and that the RX UE can consider it as an opportunity to stop monitoring PSCCH and go into DRX sleep. However, as opposed to the Uu case, the RX UE here might be involved in receiving SL data transmissions from multiple UEs. Therefore, immediately entering DRX sleep does not make much sense here if it is still expecting incoming data from other TX UEs. So, the SL DRX Command MAC CE can serve as an explicit indication to the RX UE that it does not need to monitor transmissions from this </w:t>
      </w:r>
      <w:proofErr w:type="gramStart"/>
      <w:r>
        <w:rPr>
          <w:lang w:val="en-GB" w:eastAsia="x-none"/>
        </w:rPr>
        <w:t>particular peer</w:t>
      </w:r>
      <w:proofErr w:type="gramEnd"/>
      <w:r>
        <w:rPr>
          <w:lang w:val="en-GB" w:eastAsia="x-none"/>
        </w:rPr>
        <w:t xml:space="preserve"> UE (until the start of the next DRX cycle). Of course, in case of receiving data from a single TX UE, the RX UE behaviour can be </w:t>
      </w:r>
      <w:proofErr w:type="gramStart"/>
      <w:r>
        <w:rPr>
          <w:lang w:val="en-GB" w:eastAsia="x-none"/>
        </w:rPr>
        <w:t>similar to</w:t>
      </w:r>
      <w:proofErr w:type="gramEnd"/>
      <w:r>
        <w:rPr>
          <w:lang w:val="en-GB" w:eastAsia="x-none"/>
        </w:rPr>
        <w:t xml:space="preserve"> Uu.</w:t>
      </w:r>
    </w:p>
    <w:p w14:paraId="3A6E70E5" w14:textId="72EFAAC6"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8:</w:t>
      </w:r>
      <w:r>
        <w:rPr>
          <w:rFonts w:eastAsia="Times New Roman"/>
          <w:b/>
          <w:bCs/>
          <w:lang w:val="en-GB" w:eastAsia="zh-CN"/>
        </w:rPr>
        <w:tab/>
      </w:r>
      <w:r>
        <w:rPr>
          <w:rFonts w:eastAsia="Times New Roman"/>
          <w:b/>
          <w:bCs/>
          <w:i/>
          <w:lang w:val="en-GB" w:eastAsia="zh-CN"/>
        </w:rPr>
        <w:t>Upon reception of SL DRX Command MAC CE from peer UE, the RX UE shall not expect further data transmissions from that UE until the start of the next DRX cycle.</w:t>
      </w:r>
    </w:p>
    <w:p w14:paraId="08E7143C" w14:textId="77777777" w:rsidR="00A702D6" w:rsidRDefault="00A702D6" w:rsidP="0022040C">
      <w:pPr>
        <w:tabs>
          <w:tab w:val="left" w:pos="1701"/>
        </w:tabs>
        <w:spacing w:after="120"/>
        <w:ind w:left="1304" w:hanging="1304"/>
        <w:jc w:val="both"/>
        <w:rPr>
          <w:rFonts w:eastAsia="Times New Roman"/>
          <w:b/>
          <w:bCs/>
          <w:i/>
          <w:lang w:val="en-GB" w:eastAsia="zh-CN"/>
        </w:rPr>
      </w:pPr>
    </w:p>
    <w:p w14:paraId="39EDD9C2" w14:textId="77777777" w:rsidR="0022040C" w:rsidRDefault="0022040C" w:rsidP="0022040C">
      <w:pPr>
        <w:pStyle w:val="Heading2"/>
        <w:jc w:val="both"/>
      </w:pPr>
      <w:r>
        <w:t xml:space="preserve">Groupcast/broadcast related aspects </w:t>
      </w:r>
    </w:p>
    <w:p w14:paraId="74C7B5C6" w14:textId="77777777" w:rsidR="0022040C" w:rsidRDefault="0022040C" w:rsidP="0022040C">
      <w:r>
        <w:t xml:space="preserve">In the last RAN2 meeting, while most discussion was focused on the unicast case, groupcast and broadcast scenarios were also discussed specifically with respect to the granularity of SL DRX configuration and how it can be provided to the UEs. In this context, the following was agreed: </w:t>
      </w:r>
    </w:p>
    <w:p w14:paraId="2C956604"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rPr>
          <w:rFonts w:ascii="Arial" w:eastAsia="MS Mincho" w:hAnsi="Arial"/>
          <w:szCs w:val="24"/>
          <w:lang w:val="en-GB" w:eastAsia="en-GB"/>
        </w:rPr>
      </w:pPr>
      <w:r>
        <w:rPr>
          <w:rFonts w:ascii="Arial" w:eastAsia="MS Mincho" w:hAnsi="Arial"/>
          <w:szCs w:val="24"/>
          <w:lang w:val="en-GB" w:eastAsia="en-GB"/>
        </w:rPr>
        <w:t>Agreements on granularity of SL DRX operation for groupcast/broadcast</w:t>
      </w:r>
    </w:p>
    <w:p w14:paraId="7A776F4E"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rPr>
          <w:rFonts w:ascii="Arial" w:eastAsia="MS Mincho" w:hAnsi="Arial"/>
          <w:szCs w:val="24"/>
          <w:lang w:val="en-GB" w:eastAsia="en-GB"/>
        </w:rPr>
      </w:pPr>
      <w:r>
        <w:rPr>
          <w:rFonts w:ascii="Arial" w:eastAsia="MS Mincho" w:hAnsi="Arial"/>
          <w:szCs w:val="24"/>
          <w:lang w:val="en-GB" w:eastAsia="en-GB"/>
        </w:rPr>
        <w:lastRenderedPageBreak/>
        <w:t xml:space="preserve">1: </w:t>
      </w:r>
      <w:r>
        <w:rPr>
          <w:rFonts w:ascii="Arial" w:eastAsia="MS Mincho" w:hAnsi="Arial"/>
          <w:szCs w:val="24"/>
          <w:lang w:val="en-GB"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52F60AF5" w14:textId="77777777" w:rsidR="0022040C" w:rsidRDefault="0022040C" w:rsidP="0022040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rPr>
          <w:rFonts w:ascii="Arial" w:eastAsia="MS Mincho" w:hAnsi="Arial"/>
          <w:szCs w:val="24"/>
          <w:lang w:val="en-GB" w:eastAsia="en-GB"/>
        </w:rPr>
      </w:pPr>
      <w:r>
        <w:rPr>
          <w:rFonts w:ascii="Arial" w:eastAsia="MS Mincho" w:hAnsi="Arial"/>
          <w:szCs w:val="24"/>
          <w:lang w:val="en-GB" w:eastAsia="en-GB"/>
        </w:rPr>
        <w:t>2:</w:t>
      </w:r>
      <w:r>
        <w:rPr>
          <w:rFonts w:ascii="Arial" w:eastAsia="MS Mincho" w:hAnsi="Arial"/>
          <w:szCs w:val="24"/>
          <w:lang w:val="en-GB" w:eastAsia="en-GB"/>
        </w:rPr>
        <w:tab/>
        <w:t>RAN2 will study/discuss how PQI and/or L2 destination ID is used to derive groupcast and broadcast DRX configuration.</w:t>
      </w:r>
    </w:p>
    <w:p w14:paraId="440F2A27" w14:textId="77777777" w:rsidR="0022040C" w:rsidRDefault="0022040C" w:rsidP="0022040C"/>
    <w:p w14:paraId="14D0E925" w14:textId="77777777" w:rsidR="0022040C" w:rsidRDefault="0022040C" w:rsidP="0022040C">
      <w:r>
        <w:t xml:space="preserve">In addition to per cast type, we also need to consider what granularity (if any) needs to be supported for groupcast and broadcast cases. In our view, after ruling out the other, less popular options, we </w:t>
      </w:r>
      <w:proofErr w:type="gramStart"/>
      <w:r>
        <w:t>have to</w:t>
      </w:r>
      <w:proofErr w:type="gramEnd"/>
      <w:r>
        <w:t xml:space="preserve"> focus on the PQI and L2 DST ID specific configurations as the main viable options. While there are pros and cons as have been discussed previously, one key aspect to keep in mind is that there has to a balance/trade-off in terms of how granular the configuration is. Specifically, while having a large number of configurations for PQI values and/or set of L2 DST IDs might be preferrable to cater to the QoS requirements more tightly, it does lead to inefficiency and reduced power savings since from the RX UE perspective, the UE may not get enough opportunity to go into DRX sleep because of having to apply a more conservative DRX configuration. </w:t>
      </w:r>
    </w:p>
    <w:p w14:paraId="2D8CF527" w14:textId="77777777"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Pr>
          <w:rFonts w:eastAsia="Times New Roman"/>
          <w:b/>
          <w:bCs/>
          <w:lang w:val="en-GB" w:eastAsia="zh-CN"/>
        </w:rPr>
        <w:tab/>
      </w:r>
      <w:r>
        <w:rPr>
          <w:rFonts w:eastAsia="Times New Roman"/>
          <w:b/>
          <w:bCs/>
          <w:i/>
          <w:lang w:val="en-GB" w:eastAsia="zh-CN"/>
        </w:rPr>
        <w:t>There is a trade-off between power-saving and finer granularity for meeting the QoS requirements for SL when considering groupcast/broadcast DRX configuration design.</w:t>
      </w:r>
    </w:p>
    <w:p w14:paraId="13A5A24D" w14:textId="77777777" w:rsidR="0022040C" w:rsidRDefault="0022040C" w:rsidP="0022040C">
      <w:r>
        <w:t>With the above observation in mind, we can see that while both options are feasible, a PQI based approach might be preferrable because it flexibly allows the network to map PQI or set of PQI values to a given DRX configuration regardless of whether the UE is part of a given group or not. Therefore, the tradeoff in terms of signaling overhead is limited. In addition, the network can configure DRX such that the on durations for UEs monitoring for a low PQI (high priority) can be somewhat overlapped with those monitoring for a high PQI (low priority) such that there is tangible power saving gain for UEs interested in multiple PQI values. Therefore, we propose to agree on PQI specific DRX configuration for groupcast/broadcast.</w:t>
      </w:r>
    </w:p>
    <w:p w14:paraId="5450223D" w14:textId="6F77563A"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9:</w:t>
      </w:r>
      <w:r>
        <w:rPr>
          <w:rFonts w:eastAsia="Times New Roman"/>
          <w:b/>
          <w:bCs/>
          <w:lang w:val="en-GB" w:eastAsia="zh-CN"/>
        </w:rPr>
        <w:tab/>
      </w:r>
      <w:r>
        <w:rPr>
          <w:rFonts w:eastAsia="Times New Roman"/>
          <w:b/>
          <w:bCs/>
          <w:i/>
          <w:lang w:val="en-GB" w:eastAsia="zh-CN"/>
        </w:rPr>
        <w:t>RAN2 is proposed to agree that PQI specific DRX configuration design is used for groupcast/broadcast scenarios.</w:t>
      </w:r>
    </w:p>
    <w:p w14:paraId="213E55D4" w14:textId="77777777" w:rsidR="00C15984" w:rsidRPr="00B51505" w:rsidRDefault="00C15984" w:rsidP="00C15984">
      <w:pPr>
        <w:pStyle w:val="NormalNumbered"/>
        <w:numPr>
          <w:ilvl w:val="0"/>
          <w:numId w:val="0"/>
        </w:numPr>
      </w:pPr>
    </w:p>
    <w:p w14:paraId="6F6F6D6B" w14:textId="77777777" w:rsidR="00EB410E" w:rsidRDefault="00EB410E" w:rsidP="00DE1023">
      <w:pPr>
        <w:pStyle w:val="Heading1"/>
        <w:numPr>
          <w:ilvl w:val="0"/>
          <w:numId w:val="2"/>
        </w:numPr>
        <w:jc w:val="both"/>
      </w:pPr>
      <w:bookmarkStart w:id="3" w:name="_Toc465993148"/>
      <w:bookmarkEnd w:id="3"/>
      <w:r>
        <w:t>Conclusion</w:t>
      </w:r>
    </w:p>
    <w:p w14:paraId="20C5A60C" w14:textId="30435B4C" w:rsidR="00EB410E" w:rsidRDefault="00111A5A" w:rsidP="00DE1023">
      <w:pPr>
        <w:jc w:val="both"/>
        <w:rPr>
          <w:lang w:eastAsia="zh-CN"/>
        </w:rPr>
      </w:pPr>
      <w:r>
        <w:rPr>
          <w:lang w:eastAsia="zh-CN"/>
        </w:rPr>
        <w:t xml:space="preserve">This contribution discusses the </w:t>
      </w:r>
      <w:r w:rsidR="00CE3E27">
        <w:rPr>
          <w:lang w:eastAsia="zh-CN"/>
        </w:rPr>
        <w:t xml:space="preserve">open issues regarding SL DRX operation </w:t>
      </w:r>
      <w:r w:rsidR="00D36CFE">
        <w:rPr>
          <w:lang w:eastAsia="zh-CN"/>
        </w:rPr>
        <w:t xml:space="preserve">and </w:t>
      </w:r>
      <w:r w:rsidR="00C0788E">
        <w:rPr>
          <w:lang w:eastAsia="zh-CN"/>
        </w:rPr>
        <w:t>makes the following observations and proposals:</w:t>
      </w:r>
    </w:p>
    <w:p w14:paraId="6179CD31"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1:</w:t>
      </w:r>
      <w:r>
        <w:rPr>
          <w:rFonts w:eastAsia="Times New Roman"/>
          <w:b/>
          <w:bCs/>
          <w:lang w:val="en-GB" w:eastAsia="zh-CN"/>
        </w:rPr>
        <w:tab/>
      </w:r>
      <w:r>
        <w:rPr>
          <w:rFonts w:eastAsia="Times New Roman"/>
          <w:b/>
          <w:bCs/>
          <w:i/>
          <w:lang w:val="en-GB" w:eastAsia="zh-CN"/>
        </w:rPr>
        <w:t>TX-UE centric approach can still achieve power saving gains based on utilization of assistance information from the peer/RX UE.</w:t>
      </w:r>
    </w:p>
    <w:p w14:paraId="18C1B25C"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Pr>
          <w:rFonts w:eastAsia="Times New Roman"/>
          <w:b/>
          <w:bCs/>
          <w:lang w:val="en-GB" w:eastAsia="zh-CN"/>
        </w:rPr>
        <w:tab/>
      </w:r>
      <w:r>
        <w:rPr>
          <w:rFonts w:eastAsia="Times New Roman"/>
          <w:b/>
          <w:bCs/>
          <w:i/>
          <w:lang w:val="en-GB" w:eastAsia="zh-CN"/>
        </w:rPr>
        <w:t>There is a trade-off between power-saving and finer granularity for meeting the QoS requirements for SL when considering groupcast/broadcast DRX configuration design.</w:t>
      </w:r>
    </w:p>
    <w:p w14:paraId="597FDDB8" w14:textId="59E439EE" w:rsidR="00B84A04" w:rsidRDefault="00B84A04" w:rsidP="00DE1023">
      <w:pPr>
        <w:jc w:val="both"/>
        <w:rPr>
          <w:lang w:eastAsia="zh-CN"/>
        </w:rPr>
      </w:pPr>
    </w:p>
    <w:p w14:paraId="09FD9185"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1a:</w:t>
      </w:r>
      <w:r>
        <w:rPr>
          <w:rFonts w:eastAsia="Times New Roman"/>
          <w:b/>
          <w:bCs/>
          <w:lang w:val="en-GB" w:eastAsia="zh-CN"/>
        </w:rPr>
        <w:tab/>
      </w:r>
      <w:r>
        <w:rPr>
          <w:rFonts w:eastAsia="Times New Roman"/>
          <w:b/>
          <w:bCs/>
          <w:i/>
          <w:lang w:val="en-GB" w:eastAsia="zh-CN"/>
        </w:rPr>
        <w:t>At least for the OOC case, RAN2 is proposed to agree to use a TX-UE centric approach for SL DRX configuration.</w:t>
      </w:r>
    </w:p>
    <w:p w14:paraId="5FC450D0"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1b:</w:t>
      </w:r>
      <w:r>
        <w:rPr>
          <w:rFonts w:eastAsia="Times New Roman"/>
          <w:b/>
          <w:bCs/>
          <w:lang w:val="en-GB" w:eastAsia="zh-CN"/>
        </w:rPr>
        <w:tab/>
      </w:r>
      <w:r>
        <w:rPr>
          <w:rFonts w:eastAsia="Times New Roman"/>
          <w:b/>
          <w:bCs/>
          <w:i/>
          <w:lang w:val="en-GB" w:eastAsia="zh-CN"/>
        </w:rPr>
        <w:t>The TX UE decides on DRX configuration based on at least the assistance information received from the peer RX UE.</w:t>
      </w:r>
    </w:p>
    <w:p w14:paraId="095D2FEE"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Pr>
          <w:rFonts w:eastAsia="Times New Roman"/>
          <w:b/>
          <w:bCs/>
          <w:i/>
          <w:lang w:val="en-GB" w:eastAsia="zh-CN"/>
        </w:rPr>
        <w:t>RAN2 is proposed to agree that for the OOC case, the TX UE can rely on UE implementation to derive the SL DRX configuration (i.e. no need to rely on pre-configuration).</w:t>
      </w:r>
    </w:p>
    <w:p w14:paraId="5704744F"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Pr>
          <w:rFonts w:eastAsia="Times New Roman"/>
          <w:b/>
          <w:bCs/>
          <w:lang w:val="en-GB" w:eastAsia="zh-CN"/>
        </w:rPr>
        <w:tab/>
      </w:r>
      <w:r>
        <w:rPr>
          <w:rFonts w:eastAsia="Times New Roman"/>
          <w:b/>
          <w:bCs/>
          <w:i/>
          <w:iCs/>
          <w:lang w:val="en-GB" w:eastAsia="zh-CN"/>
        </w:rPr>
        <w:t>The TX UE shall be aware of the DRX timer configuration for the RX UE when performing SL transmissions to keep aligned with the RX UE’s active time</w:t>
      </w:r>
      <w:r>
        <w:rPr>
          <w:rFonts w:eastAsia="Times New Roman"/>
          <w:b/>
          <w:bCs/>
          <w:i/>
          <w:lang w:val="en-GB" w:eastAsia="zh-CN"/>
        </w:rPr>
        <w:t>. Whether or not it requires maintaining the same DRX timers as the RX UE can be FFS.</w:t>
      </w:r>
    </w:p>
    <w:p w14:paraId="60EED30A"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Pr>
          <w:rFonts w:eastAsia="Times New Roman"/>
          <w:b/>
          <w:bCs/>
          <w:lang w:val="en-GB" w:eastAsia="zh-CN"/>
        </w:rPr>
        <w:tab/>
      </w:r>
      <w:r>
        <w:rPr>
          <w:rFonts w:eastAsia="Times New Roman"/>
          <w:b/>
          <w:bCs/>
          <w:i/>
          <w:iCs/>
          <w:lang w:val="en-GB" w:eastAsia="zh-CN"/>
        </w:rPr>
        <w:t>No special handling is needed for synchronization of SL inactivity timers for the groupcast case</w:t>
      </w:r>
      <w:r>
        <w:rPr>
          <w:rFonts w:eastAsia="Times New Roman"/>
          <w:b/>
          <w:bCs/>
          <w:i/>
          <w:lang w:val="en-GB" w:eastAsia="zh-CN"/>
        </w:rPr>
        <w:t>.</w:t>
      </w:r>
    </w:p>
    <w:p w14:paraId="45230664"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5:</w:t>
      </w:r>
      <w:r>
        <w:rPr>
          <w:rFonts w:eastAsia="Times New Roman"/>
          <w:b/>
          <w:bCs/>
          <w:lang w:val="en-GB" w:eastAsia="zh-CN"/>
        </w:rPr>
        <w:tab/>
      </w:r>
      <w:r>
        <w:rPr>
          <w:rFonts w:eastAsia="Times New Roman"/>
          <w:b/>
          <w:bCs/>
          <w:i/>
          <w:iCs/>
          <w:lang w:val="en-GB" w:eastAsia="zh-CN"/>
        </w:rPr>
        <w:t>Confirm the working assumption that the slots when the UE is expected to receive a CSI report (following a CSI request) shall be considered as SL DRX active time from RX UE perspective</w:t>
      </w:r>
      <w:r>
        <w:rPr>
          <w:rFonts w:eastAsia="Times New Roman"/>
          <w:b/>
          <w:bCs/>
          <w:i/>
          <w:lang w:val="en-GB" w:eastAsia="zh-CN"/>
        </w:rPr>
        <w:t>.</w:t>
      </w:r>
    </w:p>
    <w:p w14:paraId="6BB90969"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6:</w:t>
      </w:r>
      <w:r>
        <w:rPr>
          <w:rFonts w:eastAsia="Times New Roman"/>
          <w:b/>
          <w:bCs/>
          <w:lang w:val="en-GB" w:eastAsia="zh-CN"/>
        </w:rPr>
        <w:tab/>
      </w:r>
      <w:r>
        <w:rPr>
          <w:rFonts w:eastAsia="Times New Roman"/>
          <w:b/>
          <w:bCs/>
          <w:i/>
          <w:lang w:val="en-GB" w:eastAsia="zh-CN"/>
        </w:rPr>
        <w:t xml:space="preserve">The sensing for resource (re-)selection needed to be performed by the TX UE shall </w:t>
      </w:r>
      <w:proofErr w:type="gramStart"/>
      <w:r>
        <w:rPr>
          <w:rFonts w:eastAsia="Times New Roman"/>
          <w:b/>
          <w:bCs/>
          <w:i/>
          <w:lang w:val="en-GB" w:eastAsia="zh-CN"/>
        </w:rPr>
        <w:t>take into account</w:t>
      </w:r>
      <w:proofErr w:type="gramEnd"/>
      <w:r>
        <w:rPr>
          <w:rFonts w:eastAsia="Times New Roman"/>
          <w:b/>
          <w:bCs/>
          <w:i/>
          <w:lang w:val="en-GB" w:eastAsia="zh-CN"/>
        </w:rPr>
        <w:t xml:space="preserve"> the SL DRX configuration for this unicast link/direction.</w:t>
      </w:r>
    </w:p>
    <w:p w14:paraId="34AAEE3E"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7:</w:t>
      </w:r>
      <w:r>
        <w:rPr>
          <w:rFonts w:eastAsia="Times New Roman"/>
          <w:b/>
          <w:bCs/>
          <w:lang w:val="en-GB" w:eastAsia="zh-CN"/>
        </w:rPr>
        <w:tab/>
      </w:r>
      <w:r>
        <w:rPr>
          <w:rFonts w:eastAsia="Times New Roman"/>
          <w:b/>
          <w:bCs/>
          <w:i/>
          <w:lang w:val="en-GB" w:eastAsia="zh-CN"/>
        </w:rPr>
        <w:t>RAN2 agrees that (regardless of TX or RX centric approach), assistance information between TX/RX UEs is exchanged to derive the SL DRX configuration. The contents of this information depend on which approach is used and can be further discussed.</w:t>
      </w:r>
    </w:p>
    <w:p w14:paraId="1C8285FC" w14:textId="77777777" w:rsid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8:</w:t>
      </w:r>
      <w:r>
        <w:rPr>
          <w:rFonts w:eastAsia="Times New Roman"/>
          <w:b/>
          <w:bCs/>
          <w:lang w:val="en-GB" w:eastAsia="zh-CN"/>
        </w:rPr>
        <w:tab/>
      </w:r>
      <w:r>
        <w:rPr>
          <w:rFonts w:eastAsia="Times New Roman"/>
          <w:b/>
          <w:bCs/>
          <w:i/>
          <w:lang w:val="en-GB" w:eastAsia="zh-CN"/>
        </w:rPr>
        <w:t>Upon reception of SL DRX Command MAC CE from peer UE, the RX UE shall not expect further data transmissions from that UE until the start of the next DRX cycle.</w:t>
      </w:r>
    </w:p>
    <w:p w14:paraId="238F3661" w14:textId="75E8E6A1" w:rsidR="00CE3E27" w:rsidRPr="00CE3E27" w:rsidRDefault="00CE3E27" w:rsidP="00CE3E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9:</w:t>
      </w:r>
      <w:r>
        <w:rPr>
          <w:rFonts w:eastAsia="Times New Roman"/>
          <w:b/>
          <w:bCs/>
          <w:lang w:val="en-GB" w:eastAsia="zh-CN"/>
        </w:rPr>
        <w:tab/>
      </w:r>
      <w:r>
        <w:rPr>
          <w:rFonts w:eastAsia="Times New Roman"/>
          <w:b/>
          <w:bCs/>
          <w:i/>
          <w:lang w:val="en-GB" w:eastAsia="zh-CN"/>
        </w:rPr>
        <w:t>RAN2 is proposed to agree that PQI specific DRX configuration design is used for groupcast/broadcast scenarios.</w:t>
      </w:r>
    </w:p>
    <w:p w14:paraId="7E296CC8" w14:textId="77777777" w:rsidR="003C48E6" w:rsidRDefault="00EB410E" w:rsidP="003C48E6">
      <w:pPr>
        <w:pStyle w:val="Heading1"/>
        <w:rPr>
          <w:rFonts w:ascii="Calibri" w:eastAsia="Calibri" w:hAnsi="Calibri"/>
        </w:rPr>
      </w:pPr>
      <w:bookmarkStart w:id="4" w:name="_Ref434066290"/>
      <w:r>
        <w:t>Reference</w:t>
      </w:r>
      <w:bookmarkEnd w:id="2"/>
      <w:bookmarkEnd w:id="4"/>
      <w:r w:rsidR="00790FA2">
        <w:t>s</w:t>
      </w:r>
      <w:r w:rsidR="00790FA2">
        <w:rPr>
          <w:lang w:val="en-US"/>
        </w:rPr>
        <w:fldChar w:fldCharType="begin"/>
      </w:r>
      <w:r w:rsidR="00790FA2">
        <w:instrText xml:space="preserve"> BIBLIOGRAPHY  \l 1033 </w:instrText>
      </w:r>
      <w:r w:rsidR="00790FA2">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C48E6" w14:paraId="6059E76E" w14:textId="77777777">
        <w:trPr>
          <w:divId w:val="91828904"/>
          <w:tblCellSpacing w:w="15" w:type="dxa"/>
        </w:trPr>
        <w:tc>
          <w:tcPr>
            <w:tcW w:w="50" w:type="pct"/>
            <w:hideMark/>
          </w:tcPr>
          <w:p w14:paraId="6F18F589" w14:textId="2D324FBA" w:rsidR="003C48E6" w:rsidRDefault="003C48E6">
            <w:pPr>
              <w:pStyle w:val="Bibliography"/>
              <w:rPr>
                <w:noProof/>
                <w:sz w:val="24"/>
                <w:szCs w:val="24"/>
              </w:rPr>
            </w:pPr>
            <w:r>
              <w:rPr>
                <w:noProof/>
              </w:rPr>
              <w:t xml:space="preserve">[1] </w:t>
            </w:r>
          </w:p>
        </w:tc>
        <w:tc>
          <w:tcPr>
            <w:tcW w:w="0" w:type="auto"/>
            <w:hideMark/>
          </w:tcPr>
          <w:p w14:paraId="2B90780A" w14:textId="77777777" w:rsidR="003C48E6" w:rsidRDefault="003C48E6">
            <w:pPr>
              <w:pStyle w:val="Bibliography"/>
              <w:rPr>
                <w:noProof/>
              </w:rPr>
            </w:pPr>
            <w:r>
              <w:rPr>
                <w:noProof/>
              </w:rPr>
              <w:t xml:space="preserve">"RAN2#113bis e-Meeting, Chairman Notes". </w:t>
            </w:r>
          </w:p>
        </w:tc>
      </w:tr>
      <w:tr w:rsidR="003C48E6" w14:paraId="755E7FDD" w14:textId="77777777">
        <w:trPr>
          <w:divId w:val="91828904"/>
          <w:tblCellSpacing w:w="15" w:type="dxa"/>
        </w:trPr>
        <w:tc>
          <w:tcPr>
            <w:tcW w:w="50" w:type="pct"/>
            <w:hideMark/>
          </w:tcPr>
          <w:p w14:paraId="741051F5" w14:textId="77777777" w:rsidR="003C48E6" w:rsidRDefault="003C48E6">
            <w:pPr>
              <w:pStyle w:val="Bibliography"/>
              <w:rPr>
                <w:noProof/>
              </w:rPr>
            </w:pPr>
            <w:r>
              <w:rPr>
                <w:noProof/>
              </w:rPr>
              <w:t xml:space="preserve">[2] </w:t>
            </w:r>
          </w:p>
        </w:tc>
        <w:tc>
          <w:tcPr>
            <w:tcW w:w="0" w:type="auto"/>
            <w:hideMark/>
          </w:tcPr>
          <w:p w14:paraId="31250C88" w14:textId="77777777" w:rsidR="003C48E6" w:rsidRDefault="003C48E6">
            <w:pPr>
              <w:pStyle w:val="Bibliography"/>
              <w:rPr>
                <w:noProof/>
              </w:rPr>
            </w:pPr>
            <w:r>
              <w:rPr>
                <w:noProof/>
              </w:rPr>
              <w:t xml:space="preserve">"R2-2102889, Summary of [POST113-e][704] TX UE centric or RX UE centric DRX configuration determination (OPPO)". </w:t>
            </w:r>
          </w:p>
        </w:tc>
      </w:tr>
      <w:tr w:rsidR="003C48E6" w14:paraId="1F206850" w14:textId="77777777">
        <w:trPr>
          <w:divId w:val="91828904"/>
          <w:tblCellSpacing w:w="15" w:type="dxa"/>
        </w:trPr>
        <w:tc>
          <w:tcPr>
            <w:tcW w:w="50" w:type="pct"/>
            <w:hideMark/>
          </w:tcPr>
          <w:p w14:paraId="455C45E9" w14:textId="77777777" w:rsidR="003C48E6" w:rsidRDefault="003C48E6">
            <w:pPr>
              <w:pStyle w:val="Bibliography"/>
              <w:rPr>
                <w:noProof/>
              </w:rPr>
            </w:pPr>
            <w:r>
              <w:rPr>
                <w:noProof/>
              </w:rPr>
              <w:t xml:space="preserve">[3] </w:t>
            </w:r>
          </w:p>
        </w:tc>
        <w:tc>
          <w:tcPr>
            <w:tcW w:w="0" w:type="auto"/>
            <w:hideMark/>
          </w:tcPr>
          <w:p w14:paraId="7FF2C299" w14:textId="77777777" w:rsidR="003C48E6" w:rsidRDefault="003C48E6">
            <w:pPr>
              <w:pStyle w:val="Bibliography"/>
              <w:rPr>
                <w:noProof/>
              </w:rPr>
            </w:pPr>
            <w:r>
              <w:rPr>
                <w:noProof/>
              </w:rPr>
              <w:t xml:space="preserve">"R2-2105024, On DRX wake-up time alignment, Intel Corporation". </w:t>
            </w:r>
          </w:p>
        </w:tc>
      </w:tr>
    </w:tbl>
    <w:p w14:paraId="394E7AF0" w14:textId="77777777" w:rsidR="003C48E6" w:rsidRDefault="003C48E6">
      <w:pPr>
        <w:divId w:val="91828904"/>
        <w:rPr>
          <w:rFonts w:eastAsia="Times New Roman"/>
          <w:noProof/>
        </w:rPr>
      </w:pPr>
    </w:p>
    <w:p w14:paraId="24A83A4B" w14:textId="56CF6960" w:rsidR="00C00EA7" w:rsidRPr="00C00EA7" w:rsidRDefault="00790FA2" w:rsidP="00790FA2">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8A839" w14:textId="77777777" w:rsidR="00066CEB" w:rsidRDefault="00066CEB" w:rsidP="0005215A">
      <w:pPr>
        <w:spacing w:after="0"/>
      </w:pPr>
      <w:r>
        <w:separator/>
      </w:r>
    </w:p>
  </w:endnote>
  <w:endnote w:type="continuationSeparator" w:id="0">
    <w:p w14:paraId="7EDE83C2" w14:textId="77777777" w:rsidR="00066CEB" w:rsidRDefault="00066CEB" w:rsidP="0005215A">
      <w:pPr>
        <w:spacing w:after="0"/>
      </w:pPr>
      <w:r>
        <w:continuationSeparator/>
      </w:r>
    </w:p>
  </w:endnote>
  <w:endnote w:type="continuationNotice" w:id="1">
    <w:p w14:paraId="599B3D8B" w14:textId="77777777" w:rsidR="00066CEB" w:rsidRDefault="00066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8B8DB" w14:textId="77777777" w:rsidR="00066CEB" w:rsidRDefault="00066CEB" w:rsidP="0005215A">
      <w:pPr>
        <w:spacing w:after="0"/>
      </w:pPr>
      <w:r>
        <w:separator/>
      </w:r>
    </w:p>
  </w:footnote>
  <w:footnote w:type="continuationSeparator" w:id="0">
    <w:p w14:paraId="528928EE" w14:textId="77777777" w:rsidR="00066CEB" w:rsidRDefault="00066CEB" w:rsidP="0005215A">
      <w:pPr>
        <w:spacing w:after="0"/>
      </w:pPr>
      <w:r>
        <w:continuationSeparator/>
      </w:r>
    </w:p>
  </w:footnote>
  <w:footnote w:type="continuationNotice" w:id="1">
    <w:p w14:paraId="1B7C8A20" w14:textId="77777777" w:rsidR="00066CEB" w:rsidRDefault="00066C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7D7E"/>
    <w:rsid w:val="00030F64"/>
    <w:rsid w:val="000311A5"/>
    <w:rsid w:val="000334C2"/>
    <w:rsid w:val="000343BA"/>
    <w:rsid w:val="0003442E"/>
    <w:rsid w:val="00034498"/>
    <w:rsid w:val="000344E4"/>
    <w:rsid w:val="00035853"/>
    <w:rsid w:val="0003634D"/>
    <w:rsid w:val="00036E0E"/>
    <w:rsid w:val="000373E9"/>
    <w:rsid w:val="00040190"/>
    <w:rsid w:val="000402F4"/>
    <w:rsid w:val="00041482"/>
    <w:rsid w:val="00042473"/>
    <w:rsid w:val="00042A07"/>
    <w:rsid w:val="00045F1C"/>
    <w:rsid w:val="00050A08"/>
    <w:rsid w:val="0005215A"/>
    <w:rsid w:val="00052612"/>
    <w:rsid w:val="00056F6A"/>
    <w:rsid w:val="00060413"/>
    <w:rsid w:val="00060A1F"/>
    <w:rsid w:val="00061301"/>
    <w:rsid w:val="00061B35"/>
    <w:rsid w:val="00061BFD"/>
    <w:rsid w:val="00062E3F"/>
    <w:rsid w:val="00064531"/>
    <w:rsid w:val="00064752"/>
    <w:rsid w:val="00064EF4"/>
    <w:rsid w:val="00064F1D"/>
    <w:rsid w:val="000663FC"/>
    <w:rsid w:val="000667D4"/>
    <w:rsid w:val="00066CEB"/>
    <w:rsid w:val="0007027E"/>
    <w:rsid w:val="00070A3F"/>
    <w:rsid w:val="00071E9A"/>
    <w:rsid w:val="0007267D"/>
    <w:rsid w:val="00072D70"/>
    <w:rsid w:val="00072F8D"/>
    <w:rsid w:val="00073C09"/>
    <w:rsid w:val="000758AE"/>
    <w:rsid w:val="00075922"/>
    <w:rsid w:val="00076E59"/>
    <w:rsid w:val="00080952"/>
    <w:rsid w:val="00080D43"/>
    <w:rsid w:val="00081B0D"/>
    <w:rsid w:val="00082E46"/>
    <w:rsid w:val="00083974"/>
    <w:rsid w:val="00090537"/>
    <w:rsid w:val="00091340"/>
    <w:rsid w:val="00091887"/>
    <w:rsid w:val="00091DE0"/>
    <w:rsid w:val="000939AC"/>
    <w:rsid w:val="00096FAB"/>
    <w:rsid w:val="000971A9"/>
    <w:rsid w:val="00097A65"/>
    <w:rsid w:val="00097CF1"/>
    <w:rsid w:val="000A09B1"/>
    <w:rsid w:val="000A0C69"/>
    <w:rsid w:val="000A2664"/>
    <w:rsid w:val="000A3791"/>
    <w:rsid w:val="000A40D3"/>
    <w:rsid w:val="000A4CAA"/>
    <w:rsid w:val="000A5FFE"/>
    <w:rsid w:val="000A6B3B"/>
    <w:rsid w:val="000A76CA"/>
    <w:rsid w:val="000A7D2D"/>
    <w:rsid w:val="000B1980"/>
    <w:rsid w:val="000B48FE"/>
    <w:rsid w:val="000B5C76"/>
    <w:rsid w:val="000B74B0"/>
    <w:rsid w:val="000C140A"/>
    <w:rsid w:val="000C2692"/>
    <w:rsid w:val="000C3473"/>
    <w:rsid w:val="000C48B6"/>
    <w:rsid w:val="000C4D83"/>
    <w:rsid w:val="000C7040"/>
    <w:rsid w:val="000C7D35"/>
    <w:rsid w:val="000D0C8C"/>
    <w:rsid w:val="000D20B9"/>
    <w:rsid w:val="000D25E4"/>
    <w:rsid w:val="000D2AC3"/>
    <w:rsid w:val="000D3961"/>
    <w:rsid w:val="000D4379"/>
    <w:rsid w:val="000D7B92"/>
    <w:rsid w:val="000E0653"/>
    <w:rsid w:val="000E246B"/>
    <w:rsid w:val="000E68B5"/>
    <w:rsid w:val="000E7B66"/>
    <w:rsid w:val="000F0ABD"/>
    <w:rsid w:val="000F0CDC"/>
    <w:rsid w:val="000F2DC0"/>
    <w:rsid w:val="000F39A4"/>
    <w:rsid w:val="000F39FE"/>
    <w:rsid w:val="000F4918"/>
    <w:rsid w:val="000F5BA4"/>
    <w:rsid w:val="000F5F56"/>
    <w:rsid w:val="000F6824"/>
    <w:rsid w:val="000F6AEF"/>
    <w:rsid w:val="0010067E"/>
    <w:rsid w:val="001014CF"/>
    <w:rsid w:val="0010222E"/>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5CBD"/>
    <w:rsid w:val="00117D05"/>
    <w:rsid w:val="0012091B"/>
    <w:rsid w:val="00120A81"/>
    <w:rsid w:val="0012112E"/>
    <w:rsid w:val="0012294A"/>
    <w:rsid w:val="00122B94"/>
    <w:rsid w:val="00123680"/>
    <w:rsid w:val="00123993"/>
    <w:rsid w:val="0012589C"/>
    <w:rsid w:val="00125CE0"/>
    <w:rsid w:val="00125F07"/>
    <w:rsid w:val="00130943"/>
    <w:rsid w:val="00130A20"/>
    <w:rsid w:val="0013299F"/>
    <w:rsid w:val="0013416B"/>
    <w:rsid w:val="00134632"/>
    <w:rsid w:val="001358B1"/>
    <w:rsid w:val="0013650A"/>
    <w:rsid w:val="00137B5B"/>
    <w:rsid w:val="00137DD6"/>
    <w:rsid w:val="00140061"/>
    <w:rsid w:val="00142E10"/>
    <w:rsid w:val="001514AE"/>
    <w:rsid w:val="001538A6"/>
    <w:rsid w:val="001547CC"/>
    <w:rsid w:val="00156621"/>
    <w:rsid w:val="00156FD3"/>
    <w:rsid w:val="0016349A"/>
    <w:rsid w:val="00163567"/>
    <w:rsid w:val="0016398C"/>
    <w:rsid w:val="00164C91"/>
    <w:rsid w:val="00164FF0"/>
    <w:rsid w:val="00165C10"/>
    <w:rsid w:val="00165CA7"/>
    <w:rsid w:val="0017035A"/>
    <w:rsid w:val="00174E43"/>
    <w:rsid w:val="00175CBA"/>
    <w:rsid w:val="00175EC4"/>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D1D"/>
    <w:rsid w:val="001C5B6A"/>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3A54"/>
    <w:rsid w:val="00213A6B"/>
    <w:rsid w:val="0021429A"/>
    <w:rsid w:val="00214A58"/>
    <w:rsid w:val="00215879"/>
    <w:rsid w:val="00215AC8"/>
    <w:rsid w:val="002165D9"/>
    <w:rsid w:val="00216FE9"/>
    <w:rsid w:val="00217068"/>
    <w:rsid w:val="002176CB"/>
    <w:rsid w:val="0022040C"/>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2DE3"/>
    <w:rsid w:val="00243D99"/>
    <w:rsid w:val="002475F7"/>
    <w:rsid w:val="00250442"/>
    <w:rsid w:val="00251709"/>
    <w:rsid w:val="00252F06"/>
    <w:rsid w:val="00253544"/>
    <w:rsid w:val="002538FC"/>
    <w:rsid w:val="00253F2F"/>
    <w:rsid w:val="00257398"/>
    <w:rsid w:val="00257C47"/>
    <w:rsid w:val="00257C7A"/>
    <w:rsid w:val="00257DFA"/>
    <w:rsid w:val="00261FC8"/>
    <w:rsid w:val="002631C9"/>
    <w:rsid w:val="00263FC8"/>
    <w:rsid w:val="0026423A"/>
    <w:rsid w:val="00264862"/>
    <w:rsid w:val="00266461"/>
    <w:rsid w:val="00266EA1"/>
    <w:rsid w:val="002704D1"/>
    <w:rsid w:val="002728E9"/>
    <w:rsid w:val="00275741"/>
    <w:rsid w:val="00277E65"/>
    <w:rsid w:val="002808F1"/>
    <w:rsid w:val="002808F4"/>
    <w:rsid w:val="00282139"/>
    <w:rsid w:val="00282937"/>
    <w:rsid w:val="00283A56"/>
    <w:rsid w:val="00284663"/>
    <w:rsid w:val="00286807"/>
    <w:rsid w:val="00287CE1"/>
    <w:rsid w:val="00290168"/>
    <w:rsid w:val="002920BA"/>
    <w:rsid w:val="00292585"/>
    <w:rsid w:val="00292850"/>
    <w:rsid w:val="002930A2"/>
    <w:rsid w:val="002932A9"/>
    <w:rsid w:val="0029479B"/>
    <w:rsid w:val="00294E01"/>
    <w:rsid w:val="00295279"/>
    <w:rsid w:val="0029528B"/>
    <w:rsid w:val="00295558"/>
    <w:rsid w:val="002963C2"/>
    <w:rsid w:val="002A0E41"/>
    <w:rsid w:val="002A1074"/>
    <w:rsid w:val="002A1B1B"/>
    <w:rsid w:val="002A2DE3"/>
    <w:rsid w:val="002A407E"/>
    <w:rsid w:val="002A5BDB"/>
    <w:rsid w:val="002A5EF4"/>
    <w:rsid w:val="002A6653"/>
    <w:rsid w:val="002A6D44"/>
    <w:rsid w:val="002A6D83"/>
    <w:rsid w:val="002A7330"/>
    <w:rsid w:val="002B0B12"/>
    <w:rsid w:val="002B1080"/>
    <w:rsid w:val="002B4F2A"/>
    <w:rsid w:val="002B509E"/>
    <w:rsid w:val="002B6790"/>
    <w:rsid w:val="002B7B2B"/>
    <w:rsid w:val="002C0465"/>
    <w:rsid w:val="002C0522"/>
    <w:rsid w:val="002C137F"/>
    <w:rsid w:val="002C19D8"/>
    <w:rsid w:val="002C22D6"/>
    <w:rsid w:val="002C244F"/>
    <w:rsid w:val="002C2B38"/>
    <w:rsid w:val="002C2E73"/>
    <w:rsid w:val="002C45E1"/>
    <w:rsid w:val="002C50EB"/>
    <w:rsid w:val="002C7C65"/>
    <w:rsid w:val="002D0BE1"/>
    <w:rsid w:val="002D1D4C"/>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06087"/>
    <w:rsid w:val="0031015A"/>
    <w:rsid w:val="00310BC0"/>
    <w:rsid w:val="003111AD"/>
    <w:rsid w:val="00311D39"/>
    <w:rsid w:val="003146D7"/>
    <w:rsid w:val="00315D56"/>
    <w:rsid w:val="0031624D"/>
    <w:rsid w:val="003168C0"/>
    <w:rsid w:val="00316C8F"/>
    <w:rsid w:val="003213EF"/>
    <w:rsid w:val="00321426"/>
    <w:rsid w:val="00322CB9"/>
    <w:rsid w:val="00322D72"/>
    <w:rsid w:val="003233B5"/>
    <w:rsid w:val="00324FF7"/>
    <w:rsid w:val="00326828"/>
    <w:rsid w:val="00326AD1"/>
    <w:rsid w:val="00327355"/>
    <w:rsid w:val="00330640"/>
    <w:rsid w:val="003348E9"/>
    <w:rsid w:val="00334E66"/>
    <w:rsid w:val="00334ED5"/>
    <w:rsid w:val="00335837"/>
    <w:rsid w:val="003359AE"/>
    <w:rsid w:val="00335DA6"/>
    <w:rsid w:val="0033622A"/>
    <w:rsid w:val="003362F8"/>
    <w:rsid w:val="00336776"/>
    <w:rsid w:val="00337181"/>
    <w:rsid w:val="00337FE7"/>
    <w:rsid w:val="003403C5"/>
    <w:rsid w:val="00340B09"/>
    <w:rsid w:val="00342272"/>
    <w:rsid w:val="003438DC"/>
    <w:rsid w:val="00343ADB"/>
    <w:rsid w:val="003441A9"/>
    <w:rsid w:val="00347B28"/>
    <w:rsid w:val="00347FAD"/>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670"/>
    <w:rsid w:val="00390F0A"/>
    <w:rsid w:val="00391E0C"/>
    <w:rsid w:val="00392103"/>
    <w:rsid w:val="003921FE"/>
    <w:rsid w:val="003922B1"/>
    <w:rsid w:val="00393462"/>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B74A3"/>
    <w:rsid w:val="003B7EB1"/>
    <w:rsid w:val="003C022D"/>
    <w:rsid w:val="003C02D6"/>
    <w:rsid w:val="003C1537"/>
    <w:rsid w:val="003C26A1"/>
    <w:rsid w:val="003C2CD2"/>
    <w:rsid w:val="003C418E"/>
    <w:rsid w:val="003C48E6"/>
    <w:rsid w:val="003C51E8"/>
    <w:rsid w:val="003C5C47"/>
    <w:rsid w:val="003C6F79"/>
    <w:rsid w:val="003D0A16"/>
    <w:rsid w:val="003D0CEC"/>
    <w:rsid w:val="003D1DCF"/>
    <w:rsid w:val="003D44D3"/>
    <w:rsid w:val="003D5CEB"/>
    <w:rsid w:val="003D5EE7"/>
    <w:rsid w:val="003D69BF"/>
    <w:rsid w:val="003D6F65"/>
    <w:rsid w:val="003E0727"/>
    <w:rsid w:val="003E085E"/>
    <w:rsid w:val="003E08E9"/>
    <w:rsid w:val="003E0EB4"/>
    <w:rsid w:val="003E1621"/>
    <w:rsid w:val="003E1BDF"/>
    <w:rsid w:val="003E1C6A"/>
    <w:rsid w:val="003E2465"/>
    <w:rsid w:val="003E34B8"/>
    <w:rsid w:val="003E3AD2"/>
    <w:rsid w:val="003E4296"/>
    <w:rsid w:val="003E4626"/>
    <w:rsid w:val="003E489B"/>
    <w:rsid w:val="003E5359"/>
    <w:rsid w:val="003E73A2"/>
    <w:rsid w:val="003F0C91"/>
    <w:rsid w:val="003F12B2"/>
    <w:rsid w:val="003F194E"/>
    <w:rsid w:val="003F23FD"/>
    <w:rsid w:val="003F25E2"/>
    <w:rsid w:val="003F2D65"/>
    <w:rsid w:val="003F50C5"/>
    <w:rsid w:val="003F547A"/>
    <w:rsid w:val="00402C32"/>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011B"/>
    <w:rsid w:val="004328FA"/>
    <w:rsid w:val="00432BA2"/>
    <w:rsid w:val="00432EF3"/>
    <w:rsid w:val="00433EDE"/>
    <w:rsid w:val="0043498B"/>
    <w:rsid w:val="00435088"/>
    <w:rsid w:val="004375E7"/>
    <w:rsid w:val="004402BD"/>
    <w:rsid w:val="00441780"/>
    <w:rsid w:val="00442179"/>
    <w:rsid w:val="004431EF"/>
    <w:rsid w:val="00444136"/>
    <w:rsid w:val="00444EA9"/>
    <w:rsid w:val="00445236"/>
    <w:rsid w:val="00445A33"/>
    <w:rsid w:val="00446B90"/>
    <w:rsid w:val="00447B16"/>
    <w:rsid w:val="00447FAF"/>
    <w:rsid w:val="004504D8"/>
    <w:rsid w:val="00450C85"/>
    <w:rsid w:val="00453092"/>
    <w:rsid w:val="0045541B"/>
    <w:rsid w:val="004565BE"/>
    <w:rsid w:val="00456B66"/>
    <w:rsid w:val="0046002D"/>
    <w:rsid w:val="004631F7"/>
    <w:rsid w:val="004648B1"/>
    <w:rsid w:val="00464F5D"/>
    <w:rsid w:val="00466831"/>
    <w:rsid w:val="00467FD9"/>
    <w:rsid w:val="00471374"/>
    <w:rsid w:val="00473175"/>
    <w:rsid w:val="00474686"/>
    <w:rsid w:val="004749CE"/>
    <w:rsid w:val="004766FA"/>
    <w:rsid w:val="00480117"/>
    <w:rsid w:val="00480722"/>
    <w:rsid w:val="004810CC"/>
    <w:rsid w:val="004849A4"/>
    <w:rsid w:val="00485307"/>
    <w:rsid w:val="0048577D"/>
    <w:rsid w:val="0048689A"/>
    <w:rsid w:val="00487948"/>
    <w:rsid w:val="0049117D"/>
    <w:rsid w:val="00491BB8"/>
    <w:rsid w:val="00492FBA"/>
    <w:rsid w:val="00496417"/>
    <w:rsid w:val="004A1B82"/>
    <w:rsid w:val="004A3351"/>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AD5"/>
    <w:rsid w:val="004C738A"/>
    <w:rsid w:val="004C7B7B"/>
    <w:rsid w:val="004D2040"/>
    <w:rsid w:val="004D22DB"/>
    <w:rsid w:val="004D26FA"/>
    <w:rsid w:val="004D2AF4"/>
    <w:rsid w:val="004D64F0"/>
    <w:rsid w:val="004E107B"/>
    <w:rsid w:val="004E19D3"/>
    <w:rsid w:val="004E3477"/>
    <w:rsid w:val="004E5032"/>
    <w:rsid w:val="004E6EFB"/>
    <w:rsid w:val="004E7B38"/>
    <w:rsid w:val="004F1BE5"/>
    <w:rsid w:val="004F2FB8"/>
    <w:rsid w:val="004F424F"/>
    <w:rsid w:val="004F612F"/>
    <w:rsid w:val="004F62BD"/>
    <w:rsid w:val="004F6B82"/>
    <w:rsid w:val="0050183D"/>
    <w:rsid w:val="005022ED"/>
    <w:rsid w:val="0050293A"/>
    <w:rsid w:val="00504A18"/>
    <w:rsid w:val="005054CB"/>
    <w:rsid w:val="0050551E"/>
    <w:rsid w:val="005067BE"/>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5DA1"/>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4525"/>
    <w:rsid w:val="00557B35"/>
    <w:rsid w:val="0056088A"/>
    <w:rsid w:val="0056139B"/>
    <w:rsid w:val="00561CD8"/>
    <w:rsid w:val="00563BAD"/>
    <w:rsid w:val="00563DD0"/>
    <w:rsid w:val="00563DEC"/>
    <w:rsid w:val="0056745E"/>
    <w:rsid w:val="005707EE"/>
    <w:rsid w:val="00570D76"/>
    <w:rsid w:val="005716F3"/>
    <w:rsid w:val="00571EE7"/>
    <w:rsid w:val="005744AF"/>
    <w:rsid w:val="00574BD3"/>
    <w:rsid w:val="00575CEB"/>
    <w:rsid w:val="00576582"/>
    <w:rsid w:val="00576836"/>
    <w:rsid w:val="00576A01"/>
    <w:rsid w:val="0057705A"/>
    <w:rsid w:val="00577372"/>
    <w:rsid w:val="005773B6"/>
    <w:rsid w:val="00577713"/>
    <w:rsid w:val="00577B03"/>
    <w:rsid w:val="0058085F"/>
    <w:rsid w:val="005809E4"/>
    <w:rsid w:val="005816CF"/>
    <w:rsid w:val="005831D0"/>
    <w:rsid w:val="005917B4"/>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377A"/>
    <w:rsid w:val="005B3CF1"/>
    <w:rsid w:val="005B4023"/>
    <w:rsid w:val="005B6D07"/>
    <w:rsid w:val="005B75E6"/>
    <w:rsid w:val="005C00AD"/>
    <w:rsid w:val="005C035E"/>
    <w:rsid w:val="005C0A31"/>
    <w:rsid w:val="005C0DA5"/>
    <w:rsid w:val="005C195E"/>
    <w:rsid w:val="005C1C91"/>
    <w:rsid w:val="005C1F77"/>
    <w:rsid w:val="005C5815"/>
    <w:rsid w:val="005C7EB8"/>
    <w:rsid w:val="005D0E9B"/>
    <w:rsid w:val="005D11B0"/>
    <w:rsid w:val="005D11BF"/>
    <w:rsid w:val="005D335E"/>
    <w:rsid w:val="005D4551"/>
    <w:rsid w:val="005D7BDF"/>
    <w:rsid w:val="005E163C"/>
    <w:rsid w:val="005E5A46"/>
    <w:rsid w:val="005E5E8D"/>
    <w:rsid w:val="005E5F63"/>
    <w:rsid w:val="005E70CC"/>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62B3"/>
    <w:rsid w:val="00606986"/>
    <w:rsid w:val="00606B41"/>
    <w:rsid w:val="00610670"/>
    <w:rsid w:val="00611ED7"/>
    <w:rsid w:val="006125DB"/>
    <w:rsid w:val="00612E62"/>
    <w:rsid w:val="00613981"/>
    <w:rsid w:val="00614BAB"/>
    <w:rsid w:val="00616A55"/>
    <w:rsid w:val="00617147"/>
    <w:rsid w:val="00624BB8"/>
    <w:rsid w:val="0062506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0FCF"/>
    <w:rsid w:val="006510F4"/>
    <w:rsid w:val="00652322"/>
    <w:rsid w:val="00653CE8"/>
    <w:rsid w:val="0065516A"/>
    <w:rsid w:val="006626FC"/>
    <w:rsid w:val="0066570A"/>
    <w:rsid w:val="00665AFE"/>
    <w:rsid w:val="00665D6B"/>
    <w:rsid w:val="0066722D"/>
    <w:rsid w:val="00667379"/>
    <w:rsid w:val="006715D4"/>
    <w:rsid w:val="00671D43"/>
    <w:rsid w:val="00672418"/>
    <w:rsid w:val="00672BC2"/>
    <w:rsid w:val="006753CD"/>
    <w:rsid w:val="00676C7A"/>
    <w:rsid w:val="0068038F"/>
    <w:rsid w:val="006805BF"/>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B26"/>
    <w:rsid w:val="006A0C4A"/>
    <w:rsid w:val="006A11F1"/>
    <w:rsid w:val="006A213F"/>
    <w:rsid w:val="006A3688"/>
    <w:rsid w:val="006A405A"/>
    <w:rsid w:val="006A4E0D"/>
    <w:rsid w:val="006A59DF"/>
    <w:rsid w:val="006A61BA"/>
    <w:rsid w:val="006B029F"/>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395"/>
    <w:rsid w:val="006D0867"/>
    <w:rsid w:val="006D08E1"/>
    <w:rsid w:val="006D1708"/>
    <w:rsid w:val="006D2CFD"/>
    <w:rsid w:val="006D47E9"/>
    <w:rsid w:val="006D5043"/>
    <w:rsid w:val="006D6F58"/>
    <w:rsid w:val="006E39DC"/>
    <w:rsid w:val="006E4B77"/>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07DF2"/>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4B3"/>
    <w:rsid w:val="00730F51"/>
    <w:rsid w:val="00732E2B"/>
    <w:rsid w:val="00733ABE"/>
    <w:rsid w:val="00733CD1"/>
    <w:rsid w:val="007342AA"/>
    <w:rsid w:val="007362EE"/>
    <w:rsid w:val="00736C96"/>
    <w:rsid w:val="00743459"/>
    <w:rsid w:val="0074452F"/>
    <w:rsid w:val="00744A44"/>
    <w:rsid w:val="0074584A"/>
    <w:rsid w:val="00745B04"/>
    <w:rsid w:val="00751441"/>
    <w:rsid w:val="00751D84"/>
    <w:rsid w:val="007549AA"/>
    <w:rsid w:val="00756C65"/>
    <w:rsid w:val="007579FF"/>
    <w:rsid w:val="0076086E"/>
    <w:rsid w:val="007608F3"/>
    <w:rsid w:val="00760F6D"/>
    <w:rsid w:val="00762023"/>
    <w:rsid w:val="00763793"/>
    <w:rsid w:val="007639A1"/>
    <w:rsid w:val="007646F4"/>
    <w:rsid w:val="007659E7"/>
    <w:rsid w:val="00770F51"/>
    <w:rsid w:val="0077106B"/>
    <w:rsid w:val="00771549"/>
    <w:rsid w:val="00772E74"/>
    <w:rsid w:val="0077344E"/>
    <w:rsid w:val="00774126"/>
    <w:rsid w:val="00774233"/>
    <w:rsid w:val="00774CBC"/>
    <w:rsid w:val="00774D80"/>
    <w:rsid w:val="00774FC8"/>
    <w:rsid w:val="0077526B"/>
    <w:rsid w:val="00775D02"/>
    <w:rsid w:val="00776AC5"/>
    <w:rsid w:val="00780189"/>
    <w:rsid w:val="0078047E"/>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42BE"/>
    <w:rsid w:val="007E4537"/>
    <w:rsid w:val="007E67DE"/>
    <w:rsid w:val="007E7002"/>
    <w:rsid w:val="007F09B3"/>
    <w:rsid w:val="007F102D"/>
    <w:rsid w:val="007F1156"/>
    <w:rsid w:val="007F2227"/>
    <w:rsid w:val="007F2647"/>
    <w:rsid w:val="007F29BA"/>
    <w:rsid w:val="007F2D20"/>
    <w:rsid w:val="007F2EC9"/>
    <w:rsid w:val="007F4E67"/>
    <w:rsid w:val="007F5A72"/>
    <w:rsid w:val="007F5B44"/>
    <w:rsid w:val="007F5D13"/>
    <w:rsid w:val="007F637E"/>
    <w:rsid w:val="007F6604"/>
    <w:rsid w:val="007F673D"/>
    <w:rsid w:val="007F765C"/>
    <w:rsid w:val="0080106E"/>
    <w:rsid w:val="00801EED"/>
    <w:rsid w:val="008022CE"/>
    <w:rsid w:val="008024DC"/>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307"/>
    <w:rsid w:val="00830D52"/>
    <w:rsid w:val="008315E5"/>
    <w:rsid w:val="008316A6"/>
    <w:rsid w:val="00831D18"/>
    <w:rsid w:val="00832DD6"/>
    <w:rsid w:val="00833007"/>
    <w:rsid w:val="0083443C"/>
    <w:rsid w:val="00834707"/>
    <w:rsid w:val="008359E9"/>
    <w:rsid w:val="008369EB"/>
    <w:rsid w:val="00836AD3"/>
    <w:rsid w:val="00836F27"/>
    <w:rsid w:val="008373BE"/>
    <w:rsid w:val="00840ACF"/>
    <w:rsid w:val="00841133"/>
    <w:rsid w:val="00841296"/>
    <w:rsid w:val="008426A4"/>
    <w:rsid w:val="00843ABF"/>
    <w:rsid w:val="00843F6C"/>
    <w:rsid w:val="008446A2"/>
    <w:rsid w:val="00844927"/>
    <w:rsid w:val="00844FED"/>
    <w:rsid w:val="00845736"/>
    <w:rsid w:val="00845E01"/>
    <w:rsid w:val="00845F94"/>
    <w:rsid w:val="00846943"/>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6EC"/>
    <w:rsid w:val="00867AC4"/>
    <w:rsid w:val="00867ED7"/>
    <w:rsid w:val="0087080B"/>
    <w:rsid w:val="00870A43"/>
    <w:rsid w:val="00871D41"/>
    <w:rsid w:val="00872155"/>
    <w:rsid w:val="00873254"/>
    <w:rsid w:val="00873411"/>
    <w:rsid w:val="00873DB1"/>
    <w:rsid w:val="00873F1C"/>
    <w:rsid w:val="008751BF"/>
    <w:rsid w:val="00876DFD"/>
    <w:rsid w:val="008770D9"/>
    <w:rsid w:val="00877C96"/>
    <w:rsid w:val="00880A59"/>
    <w:rsid w:val="00883BA7"/>
    <w:rsid w:val="00884AC1"/>
    <w:rsid w:val="008865A3"/>
    <w:rsid w:val="0088730A"/>
    <w:rsid w:val="008901C2"/>
    <w:rsid w:val="00890440"/>
    <w:rsid w:val="0089076F"/>
    <w:rsid w:val="008934B8"/>
    <w:rsid w:val="0089558E"/>
    <w:rsid w:val="0089649D"/>
    <w:rsid w:val="008974A7"/>
    <w:rsid w:val="008A0450"/>
    <w:rsid w:val="008A128C"/>
    <w:rsid w:val="008A140F"/>
    <w:rsid w:val="008A159C"/>
    <w:rsid w:val="008A16F4"/>
    <w:rsid w:val="008A1A35"/>
    <w:rsid w:val="008A3A46"/>
    <w:rsid w:val="008A3F11"/>
    <w:rsid w:val="008A413A"/>
    <w:rsid w:val="008A6E24"/>
    <w:rsid w:val="008B09A4"/>
    <w:rsid w:val="008B0FCA"/>
    <w:rsid w:val="008B1D77"/>
    <w:rsid w:val="008B1FFF"/>
    <w:rsid w:val="008B45EF"/>
    <w:rsid w:val="008B4A92"/>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2A8C"/>
    <w:rsid w:val="008F38B4"/>
    <w:rsid w:val="008F4C35"/>
    <w:rsid w:val="008F58C5"/>
    <w:rsid w:val="008F599E"/>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07BBA"/>
    <w:rsid w:val="00910C94"/>
    <w:rsid w:val="0091300B"/>
    <w:rsid w:val="0091323D"/>
    <w:rsid w:val="00915F9D"/>
    <w:rsid w:val="00916958"/>
    <w:rsid w:val="00917663"/>
    <w:rsid w:val="009178C2"/>
    <w:rsid w:val="00917ABC"/>
    <w:rsid w:val="00921AB6"/>
    <w:rsid w:val="00922EFC"/>
    <w:rsid w:val="00923C7A"/>
    <w:rsid w:val="00925BAA"/>
    <w:rsid w:val="00927F16"/>
    <w:rsid w:val="00927FC5"/>
    <w:rsid w:val="00930639"/>
    <w:rsid w:val="009313C2"/>
    <w:rsid w:val="0093176F"/>
    <w:rsid w:val="00931CFE"/>
    <w:rsid w:val="00934B18"/>
    <w:rsid w:val="00934BEB"/>
    <w:rsid w:val="00935624"/>
    <w:rsid w:val="00936142"/>
    <w:rsid w:val="00936A68"/>
    <w:rsid w:val="00937DDD"/>
    <w:rsid w:val="00943108"/>
    <w:rsid w:val="00943B9A"/>
    <w:rsid w:val="00945E8E"/>
    <w:rsid w:val="00946125"/>
    <w:rsid w:val="009467B6"/>
    <w:rsid w:val="00950FF5"/>
    <w:rsid w:val="0095170F"/>
    <w:rsid w:val="00952231"/>
    <w:rsid w:val="009523F7"/>
    <w:rsid w:val="00952645"/>
    <w:rsid w:val="00952EED"/>
    <w:rsid w:val="0095470C"/>
    <w:rsid w:val="00954AE9"/>
    <w:rsid w:val="0095554F"/>
    <w:rsid w:val="00956452"/>
    <w:rsid w:val="00960852"/>
    <w:rsid w:val="00961280"/>
    <w:rsid w:val="0096153B"/>
    <w:rsid w:val="00962408"/>
    <w:rsid w:val="009627C7"/>
    <w:rsid w:val="00962D84"/>
    <w:rsid w:val="00965CCC"/>
    <w:rsid w:val="00966429"/>
    <w:rsid w:val="00966F7B"/>
    <w:rsid w:val="00966FDC"/>
    <w:rsid w:val="00970DF8"/>
    <w:rsid w:val="00973CCE"/>
    <w:rsid w:val="00973F4D"/>
    <w:rsid w:val="009753BB"/>
    <w:rsid w:val="009753F2"/>
    <w:rsid w:val="00976065"/>
    <w:rsid w:val="009771C9"/>
    <w:rsid w:val="00977E89"/>
    <w:rsid w:val="009802AE"/>
    <w:rsid w:val="00980CE7"/>
    <w:rsid w:val="00980E25"/>
    <w:rsid w:val="00980F3D"/>
    <w:rsid w:val="00981681"/>
    <w:rsid w:val="00981AB0"/>
    <w:rsid w:val="00981CF6"/>
    <w:rsid w:val="00982142"/>
    <w:rsid w:val="009837EB"/>
    <w:rsid w:val="00983F4D"/>
    <w:rsid w:val="00984043"/>
    <w:rsid w:val="0098463E"/>
    <w:rsid w:val="00984B04"/>
    <w:rsid w:val="00985502"/>
    <w:rsid w:val="00986477"/>
    <w:rsid w:val="00987C04"/>
    <w:rsid w:val="00990AD5"/>
    <w:rsid w:val="009915AE"/>
    <w:rsid w:val="00993983"/>
    <w:rsid w:val="00995376"/>
    <w:rsid w:val="00997360"/>
    <w:rsid w:val="009A0301"/>
    <w:rsid w:val="009A063B"/>
    <w:rsid w:val="009A0C65"/>
    <w:rsid w:val="009A294F"/>
    <w:rsid w:val="009A32D3"/>
    <w:rsid w:val="009A4119"/>
    <w:rsid w:val="009A41B1"/>
    <w:rsid w:val="009A4366"/>
    <w:rsid w:val="009A44C9"/>
    <w:rsid w:val="009A5C30"/>
    <w:rsid w:val="009A6CD7"/>
    <w:rsid w:val="009A6D7D"/>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52AE"/>
    <w:rsid w:val="009D71EF"/>
    <w:rsid w:val="009E0821"/>
    <w:rsid w:val="009E0825"/>
    <w:rsid w:val="009E24B3"/>
    <w:rsid w:val="009E3046"/>
    <w:rsid w:val="009E4C6F"/>
    <w:rsid w:val="009E5310"/>
    <w:rsid w:val="009E53DC"/>
    <w:rsid w:val="009E7299"/>
    <w:rsid w:val="009F0696"/>
    <w:rsid w:val="009F099B"/>
    <w:rsid w:val="009F172B"/>
    <w:rsid w:val="009F18F5"/>
    <w:rsid w:val="009F1C9F"/>
    <w:rsid w:val="009F2B83"/>
    <w:rsid w:val="009F3B6F"/>
    <w:rsid w:val="009F3CFA"/>
    <w:rsid w:val="009F5DB1"/>
    <w:rsid w:val="009F6A30"/>
    <w:rsid w:val="009F6E4A"/>
    <w:rsid w:val="00A02B3A"/>
    <w:rsid w:val="00A04118"/>
    <w:rsid w:val="00A05690"/>
    <w:rsid w:val="00A05DCC"/>
    <w:rsid w:val="00A0706A"/>
    <w:rsid w:val="00A0794B"/>
    <w:rsid w:val="00A103E5"/>
    <w:rsid w:val="00A104ED"/>
    <w:rsid w:val="00A10C39"/>
    <w:rsid w:val="00A12397"/>
    <w:rsid w:val="00A13502"/>
    <w:rsid w:val="00A13731"/>
    <w:rsid w:val="00A13E26"/>
    <w:rsid w:val="00A155A4"/>
    <w:rsid w:val="00A15651"/>
    <w:rsid w:val="00A17E13"/>
    <w:rsid w:val="00A213D2"/>
    <w:rsid w:val="00A2179D"/>
    <w:rsid w:val="00A22E25"/>
    <w:rsid w:val="00A22FA6"/>
    <w:rsid w:val="00A23452"/>
    <w:rsid w:val="00A23FCE"/>
    <w:rsid w:val="00A2506A"/>
    <w:rsid w:val="00A26C70"/>
    <w:rsid w:val="00A30133"/>
    <w:rsid w:val="00A302E4"/>
    <w:rsid w:val="00A30C2E"/>
    <w:rsid w:val="00A31FD7"/>
    <w:rsid w:val="00A32238"/>
    <w:rsid w:val="00A3301C"/>
    <w:rsid w:val="00A33074"/>
    <w:rsid w:val="00A3433F"/>
    <w:rsid w:val="00A356B2"/>
    <w:rsid w:val="00A363B3"/>
    <w:rsid w:val="00A36856"/>
    <w:rsid w:val="00A37DD0"/>
    <w:rsid w:val="00A40627"/>
    <w:rsid w:val="00A41856"/>
    <w:rsid w:val="00A41A3B"/>
    <w:rsid w:val="00A427A1"/>
    <w:rsid w:val="00A43FC3"/>
    <w:rsid w:val="00A4565C"/>
    <w:rsid w:val="00A45BBC"/>
    <w:rsid w:val="00A46BE6"/>
    <w:rsid w:val="00A46FC2"/>
    <w:rsid w:val="00A5354E"/>
    <w:rsid w:val="00A53D93"/>
    <w:rsid w:val="00A53F95"/>
    <w:rsid w:val="00A547AC"/>
    <w:rsid w:val="00A5545B"/>
    <w:rsid w:val="00A55667"/>
    <w:rsid w:val="00A57579"/>
    <w:rsid w:val="00A616AB"/>
    <w:rsid w:val="00A624AE"/>
    <w:rsid w:val="00A63A75"/>
    <w:rsid w:val="00A640D0"/>
    <w:rsid w:val="00A64D57"/>
    <w:rsid w:val="00A64F4C"/>
    <w:rsid w:val="00A658F4"/>
    <w:rsid w:val="00A65992"/>
    <w:rsid w:val="00A66649"/>
    <w:rsid w:val="00A6711B"/>
    <w:rsid w:val="00A702D6"/>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0AAA"/>
    <w:rsid w:val="00AA140B"/>
    <w:rsid w:val="00AA18F1"/>
    <w:rsid w:val="00AA388B"/>
    <w:rsid w:val="00AA3FD3"/>
    <w:rsid w:val="00AA47E4"/>
    <w:rsid w:val="00AA4D7E"/>
    <w:rsid w:val="00AA5DAE"/>
    <w:rsid w:val="00AA639D"/>
    <w:rsid w:val="00AA7E88"/>
    <w:rsid w:val="00AB057C"/>
    <w:rsid w:val="00AB1079"/>
    <w:rsid w:val="00AB1924"/>
    <w:rsid w:val="00AB1CFD"/>
    <w:rsid w:val="00AB1E55"/>
    <w:rsid w:val="00AB26EE"/>
    <w:rsid w:val="00AB26F2"/>
    <w:rsid w:val="00AB2AD0"/>
    <w:rsid w:val="00AB2F18"/>
    <w:rsid w:val="00AB4165"/>
    <w:rsid w:val="00AB5367"/>
    <w:rsid w:val="00AB74A3"/>
    <w:rsid w:val="00AC053F"/>
    <w:rsid w:val="00AC0603"/>
    <w:rsid w:val="00AC1DBC"/>
    <w:rsid w:val="00AC4054"/>
    <w:rsid w:val="00AC45A8"/>
    <w:rsid w:val="00AD0208"/>
    <w:rsid w:val="00AD08E4"/>
    <w:rsid w:val="00AD09AB"/>
    <w:rsid w:val="00AD3080"/>
    <w:rsid w:val="00AD53F1"/>
    <w:rsid w:val="00AD6DFA"/>
    <w:rsid w:val="00AD6F37"/>
    <w:rsid w:val="00AE05B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100F9"/>
    <w:rsid w:val="00B105D3"/>
    <w:rsid w:val="00B12747"/>
    <w:rsid w:val="00B12F97"/>
    <w:rsid w:val="00B13060"/>
    <w:rsid w:val="00B1442F"/>
    <w:rsid w:val="00B14A28"/>
    <w:rsid w:val="00B14A5C"/>
    <w:rsid w:val="00B14D66"/>
    <w:rsid w:val="00B20B0B"/>
    <w:rsid w:val="00B2137C"/>
    <w:rsid w:val="00B216D2"/>
    <w:rsid w:val="00B22390"/>
    <w:rsid w:val="00B227F6"/>
    <w:rsid w:val="00B22ABD"/>
    <w:rsid w:val="00B24E87"/>
    <w:rsid w:val="00B2783E"/>
    <w:rsid w:val="00B304C9"/>
    <w:rsid w:val="00B31CC9"/>
    <w:rsid w:val="00B32BBF"/>
    <w:rsid w:val="00B33FF2"/>
    <w:rsid w:val="00B3565D"/>
    <w:rsid w:val="00B365CD"/>
    <w:rsid w:val="00B3716D"/>
    <w:rsid w:val="00B37259"/>
    <w:rsid w:val="00B375C7"/>
    <w:rsid w:val="00B4018C"/>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662"/>
    <w:rsid w:val="00B54D8E"/>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2E5E"/>
    <w:rsid w:val="00B7326A"/>
    <w:rsid w:val="00B7475A"/>
    <w:rsid w:val="00B76194"/>
    <w:rsid w:val="00B77A38"/>
    <w:rsid w:val="00B80DAC"/>
    <w:rsid w:val="00B81466"/>
    <w:rsid w:val="00B815C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68C9"/>
    <w:rsid w:val="00BB0783"/>
    <w:rsid w:val="00BB1E47"/>
    <w:rsid w:val="00BB2392"/>
    <w:rsid w:val="00BB4050"/>
    <w:rsid w:val="00BB47B5"/>
    <w:rsid w:val="00BB4FAA"/>
    <w:rsid w:val="00BB50E3"/>
    <w:rsid w:val="00BB58F1"/>
    <w:rsid w:val="00BB69E1"/>
    <w:rsid w:val="00BB717C"/>
    <w:rsid w:val="00BC05F0"/>
    <w:rsid w:val="00BC1304"/>
    <w:rsid w:val="00BC1490"/>
    <w:rsid w:val="00BC1986"/>
    <w:rsid w:val="00BC3924"/>
    <w:rsid w:val="00BC3E0B"/>
    <w:rsid w:val="00BC3E77"/>
    <w:rsid w:val="00BC4A4A"/>
    <w:rsid w:val="00BC54D1"/>
    <w:rsid w:val="00BC5503"/>
    <w:rsid w:val="00BC5E79"/>
    <w:rsid w:val="00BD01F7"/>
    <w:rsid w:val="00BD360F"/>
    <w:rsid w:val="00BD3B77"/>
    <w:rsid w:val="00BD4201"/>
    <w:rsid w:val="00BD5389"/>
    <w:rsid w:val="00BD54A3"/>
    <w:rsid w:val="00BD5CD2"/>
    <w:rsid w:val="00BD7044"/>
    <w:rsid w:val="00BD71C8"/>
    <w:rsid w:val="00BE0044"/>
    <w:rsid w:val="00BE158F"/>
    <w:rsid w:val="00BE2B27"/>
    <w:rsid w:val="00BE2F04"/>
    <w:rsid w:val="00BE3B23"/>
    <w:rsid w:val="00BE4571"/>
    <w:rsid w:val="00BE4589"/>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34B"/>
    <w:rsid w:val="00C11E08"/>
    <w:rsid w:val="00C12498"/>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87"/>
    <w:rsid w:val="00C65CF8"/>
    <w:rsid w:val="00C67049"/>
    <w:rsid w:val="00C7037F"/>
    <w:rsid w:val="00C706DE"/>
    <w:rsid w:val="00C70897"/>
    <w:rsid w:val="00C70AA9"/>
    <w:rsid w:val="00C70C99"/>
    <w:rsid w:val="00C70D6A"/>
    <w:rsid w:val="00C728D4"/>
    <w:rsid w:val="00C7425A"/>
    <w:rsid w:val="00C80533"/>
    <w:rsid w:val="00C81501"/>
    <w:rsid w:val="00C8689D"/>
    <w:rsid w:val="00C87027"/>
    <w:rsid w:val="00C87086"/>
    <w:rsid w:val="00C87AF9"/>
    <w:rsid w:val="00C90692"/>
    <w:rsid w:val="00C91734"/>
    <w:rsid w:val="00C968EB"/>
    <w:rsid w:val="00C9712B"/>
    <w:rsid w:val="00CA013E"/>
    <w:rsid w:val="00CA0249"/>
    <w:rsid w:val="00CA21E1"/>
    <w:rsid w:val="00CA252B"/>
    <w:rsid w:val="00CA25E2"/>
    <w:rsid w:val="00CA3C6F"/>
    <w:rsid w:val="00CA6E26"/>
    <w:rsid w:val="00CA7DDF"/>
    <w:rsid w:val="00CB0443"/>
    <w:rsid w:val="00CB0D15"/>
    <w:rsid w:val="00CB1955"/>
    <w:rsid w:val="00CB2146"/>
    <w:rsid w:val="00CB2A30"/>
    <w:rsid w:val="00CB39A9"/>
    <w:rsid w:val="00CB4F29"/>
    <w:rsid w:val="00CB6193"/>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3E27"/>
    <w:rsid w:val="00CE54A7"/>
    <w:rsid w:val="00CE5E72"/>
    <w:rsid w:val="00CE6DAC"/>
    <w:rsid w:val="00CE7C6D"/>
    <w:rsid w:val="00CF072C"/>
    <w:rsid w:val="00CF3B1D"/>
    <w:rsid w:val="00CF3C84"/>
    <w:rsid w:val="00CF53AE"/>
    <w:rsid w:val="00D0294F"/>
    <w:rsid w:val="00D02B41"/>
    <w:rsid w:val="00D03A14"/>
    <w:rsid w:val="00D05D5E"/>
    <w:rsid w:val="00D06657"/>
    <w:rsid w:val="00D10966"/>
    <w:rsid w:val="00D11686"/>
    <w:rsid w:val="00D12CF9"/>
    <w:rsid w:val="00D15114"/>
    <w:rsid w:val="00D15C45"/>
    <w:rsid w:val="00D16234"/>
    <w:rsid w:val="00D16320"/>
    <w:rsid w:val="00D16417"/>
    <w:rsid w:val="00D16713"/>
    <w:rsid w:val="00D16E7E"/>
    <w:rsid w:val="00D1705A"/>
    <w:rsid w:val="00D20491"/>
    <w:rsid w:val="00D2049C"/>
    <w:rsid w:val="00D2242B"/>
    <w:rsid w:val="00D23089"/>
    <w:rsid w:val="00D23334"/>
    <w:rsid w:val="00D23581"/>
    <w:rsid w:val="00D23A7E"/>
    <w:rsid w:val="00D23ECD"/>
    <w:rsid w:val="00D240D2"/>
    <w:rsid w:val="00D25A12"/>
    <w:rsid w:val="00D25A73"/>
    <w:rsid w:val="00D25D32"/>
    <w:rsid w:val="00D279B2"/>
    <w:rsid w:val="00D31C91"/>
    <w:rsid w:val="00D31F5D"/>
    <w:rsid w:val="00D32A33"/>
    <w:rsid w:val="00D32BD7"/>
    <w:rsid w:val="00D34CA8"/>
    <w:rsid w:val="00D350BE"/>
    <w:rsid w:val="00D35536"/>
    <w:rsid w:val="00D36CFE"/>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0E6E"/>
    <w:rsid w:val="00D61CD7"/>
    <w:rsid w:val="00D62302"/>
    <w:rsid w:val="00D640F2"/>
    <w:rsid w:val="00D64176"/>
    <w:rsid w:val="00D65DEB"/>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66E"/>
    <w:rsid w:val="00DB4B9A"/>
    <w:rsid w:val="00DB6243"/>
    <w:rsid w:val="00DB6F0C"/>
    <w:rsid w:val="00DB70DC"/>
    <w:rsid w:val="00DB7311"/>
    <w:rsid w:val="00DB79B7"/>
    <w:rsid w:val="00DC0700"/>
    <w:rsid w:val="00DC2484"/>
    <w:rsid w:val="00DC278D"/>
    <w:rsid w:val="00DC2C60"/>
    <w:rsid w:val="00DC3EE6"/>
    <w:rsid w:val="00DC49E3"/>
    <w:rsid w:val="00DC75CE"/>
    <w:rsid w:val="00DD2798"/>
    <w:rsid w:val="00DD350D"/>
    <w:rsid w:val="00DD3893"/>
    <w:rsid w:val="00DD38BD"/>
    <w:rsid w:val="00DD3EE6"/>
    <w:rsid w:val="00DD4E40"/>
    <w:rsid w:val="00DD73A2"/>
    <w:rsid w:val="00DD7E6A"/>
    <w:rsid w:val="00DE008D"/>
    <w:rsid w:val="00DE1023"/>
    <w:rsid w:val="00DE12EF"/>
    <w:rsid w:val="00DE1526"/>
    <w:rsid w:val="00DE16E6"/>
    <w:rsid w:val="00DE2569"/>
    <w:rsid w:val="00DE3238"/>
    <w:rsid w:val="00DE413E"/>
    <w:rsid w:val="00DE4DB0"/>
    <w:rsid w:val="00DE72BB"/>
    <w:rsid w:val="00DE7C2B"/>
    <w:rsid w:val="00DF0868"/>
    <w:rsid w:val="00DF0A93"/>
    <w:rsid w:val="00DF0EA3"/>
    <w:rsid w:val="00DF1773"/>
    <w:rsid w:val="00DF1DE7"/>
    <w:rsid w:val="00DF1F47"/>
    <w:rsid w:val="00DF25FC"/>
    <w:rsid w:val="00DF46FF"/>
    <w:rsid w:val="00DF522F"/>
    <w:rsid w:val="00DF551D"/>
    <w:rsid w:val="00DF6C5C"/>
    <w:rsid w:val="00DF77AC"/>
    <w:rsid w:val="00DF7E0D"/>
    <w:rsid w:val="00E023B3"/>
    <w:rsid w:val="00E02A6D"/>
    <w:rsid w:val="00E0446D"/>
    <w:rsid w:val="00E04DE3"/>
    <w:rsid w:val="00E057B2"/>
    <w:rsid w:val="00E05FF3"/>
    <w:rsid w:val="00E07CC8"/>
    <w:rsid w:val="00E07EB5"/>
    <w:rsid w:val="00E10D5E"/>
    <w:rsid w:val="00E11288"/>
    <w:rsid w:val="00E13481"/>
    <w:rsid w:val="00E1512F"/>
    <w:rsid w:val="00E15446"/>
    <w:rsid w:val="00E16019"/>
    <w:rsid w:val="00E16B75"/>
    <w:rsid w:val="00E16B93"/>
    <w:rsid w:val="00E16FF3"/>
    <w:rsid w:val="00E1753B"/>
    <w:rsid w:val="00E21271"/>
    <w:rsid w:val="00E2288A"/>
    <w:rsid w:val="00E23003"/>
    <w:rsid w:val="00E246F3"/>
    <w:rsid w:val="00E274ED"/>
    <w:rsid w:val="00E31145"/>
    <w:rsid w:val="00E322D2"/>
    <w:rsid w:val="00E329DC"/>
    <w:rsid w:val="00E33196"/>
    <w:rsid w:val="00E33B40"/>
    <w:rsid w:val="00E34056"/>
    <w:rsid w:val="00E3456C"/>
    <w:rsid w:val="00E36DA6"/>
    <w:rsid w:val="00E36E10"/>
    <w:rsid w:val="00E371D3"/>
    <w:rsid w:val="00E37565"/>
    <w:rsid w:val="00E37CA7"/>
    <w:rsid w:val="00E37FED"/>
    <w:rsid w:val="00E40648"/>
    <w:rsid w:val="00E40C3D"/>
    <w:rsid w:val="00E4115A"/>
    <w:rsid w:val="00E42DE6"/>
    <w:rsid w:val="00E43370"/>
    <w:rsid w:val="00E4384E"/>
    <w:rsid w:val="00E447C5"/>
    <w:rsid w:val="00E44DA4"/>
    <w:rsid w:val="00E456AC"/>
    <w:rsid w:val="00E51096"/>
    <w:rsid w:val="00E53EED"/>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77D97"/>
    <w:rsid w:val="00E81828"/>
    <w:rsid w:val="00E83860"/>
    <w:rsid w:val="00E84DAF"/>
    <w:rsid w:val="00E85BB7"/>
    <w:rsid w:val="00E86ECA"/>
    <w:rsid w:val="00E86FBE"/>
    <w:rsid w:val="00E87F92"/>
    <w:rsid w:val="00E90DA6"/>
    <w:rsid w:val="00E90F48"/>
    <w:rsid w:val="00E90F77"/>
    <w:rsid w:val="00E910C9"/>
    <w:rsid w:val="00E92CBA"/>
    <w:rsid w:val="00E943CE"/>
    <w:rsid w:val="00E95790"/>
    <w:rsid w:val="00E95D80"/>
    <w:rsid w:val="00E96F7E"/>
    <w:rsid w:val="00E976C3"/>
    <w:rsid w:val="00E97E25"/>
    <w:rsid w:val="00EA0AE0"/>
    <w:rsid w:val="00EA1B9F"/>
    <w:rsid w:val="00EA234F"/>
    <w:rsid w:val="00EA5723"/>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0CA1"/>
    <w:rsid w:val="00EC15E9"/>
    <w:rsid w:val="00EC18A3"/>
    <w:rsid w:val="00EC31B6"/>
    <w:rsid w:val="00EC5046"/>
    <w:rsid w:val="00EC5C42"/>
    <w:rsid w:val="00EC76CE"/>
    <w:rsid w:val="00ED0EB7"/>
    <w:rsid w:val="00ED1955"/>
    <w:rsid w:val="00ED2019"/>
    <w:rsid w:val="00ED23C9"/>
    <w:rsid w:val="00ED2E2A"/>
    <w:rsid w:val="00ED3E95"/>
    <w:rsid w:val="00ED41FF"/>
    <w:rsid w:val="00ED474D"/>
    <w:rsid w:val="00ED4E60"/>
    <w:rsid w:val="00ED4F87"/>
    <w:rsid w:val="00ED53AE"/>
    <w:rsid w:val="00ED6868"/>
    <w:rsid w:val="00ED692D"/>
    <w:rsid w:val="00ED7D99"/>
    <w:rsid w:val="00EE0569"/>
    <w:rsid w:val="00EE13EB"/>
    <w:rsid w:val="00EE14E5"/>
    <w:rsid w:val="00EE16B6"/>
    <w:rsid w:val="00EE2250"/>
    <w:rsid w:val="00EE30EA"/>
    <w:rsid w:val="00EE4C85"/>
    <w:rsid w:val="00EE5F43"/>
    <w:rsid w:val="00EE6D9C"/>
    <w:rsid w:val="00EE7DCE"/>
    <w:rsid w:val="00EF0A8D"/>
    <w:rsid w:val="00EF16A8"/>
    <w:rsid w:val="00EF1B2F"/>
    <w:rsid w:val="00EF4C4E"/>
    <w:rsid w:val="00F00A03"/>
    <w:rsid w:val="00F00C77"/>
    <w:rsid w:val="00F040F6"/>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2B12"/>
    <w:rsid w:val="00F4420D"/>
    <w:rsid w:val="00F45823"/>
    <w:rsid w:val="00F45AE4"/>
    <w:rsid w:val="00F50D63"/>
    <w:rsid w:val="00F525BA"/>
    <w:rsid w:val="00F548C2"/>
    <w:rsid w:val="00F556BD"/>
    <w:rsid w:val="00F557BD"/>
    <w:rsid w:val="00F55D6F"/>
    <w:rsid w:val="00F5638A"/>
    <w:rsid w:val="00F57FDA"/>
    <w:rsid w:val="00F609AC"/>
    <w:rsid w:val="00F618F7"/>
    <w:rsid w:val="00F61F8E"/>
    <w:rsid w:val="00F6263E"/>
    <w:rsid w:val="00F62B2E"/>
    <w:rsid w:val="00F639A8"/>
    <w:rsid w:val="00F645F1"/>
    <w:rsid w:val="00F65C2D"/>
    <w:rsid w:val="00F6626E"/>
    <w:rsid w:val="00F6683B"/>
    <w:rsid w:val="00F70CF8"/>
    <w:rsid w:val="00F71946"/>
    <w:rsid w:val="00F71FEE"/>
    <w:rsid w:val="00F72506"/>
    <w:rsid w:val="00F72DD5"/>
    <w:rsid w:val="00F737A3"/>
    <w:rsid w:val="00F73A55"/>
    <w:rsid w:val="00F743BB"/>
    <w:rsid w:val="00F7526D"/>
    <w:rsid w:val="00F753B3"/>
    <w:rsid w:val="00F757F3"/>
    <w:rsid w:val="00F801FA"/>
    <w:rsid w:val="00F814A1"/>
    <w:rsid w:val="00F81950"/>
    <w:rsid w:val="00F82661"/>
    <w:rsid w:val="00F83473"/>
    <w:rsid w:val="00F84281"/>
    <w:rsid w:val="00F864D3"/>
    <w:rsid w:val="00F86AD0"/>
    <w:rsid w:val="00F871D4"/>
    <w:rsid w:val="00F871FE"/>
    <w:rsid w:val="00F929EB"/>
    <w:rsid w:val="00F94623"/>
    <w:rsid w:val="00F95363"/>
    <w:rsid w:val="00F9591B"/>
    <w:rsid w:val="00F95FF5"/>
    <w:rsid w:val="00FA2F65"/>
    <w:rsid w:val="00FA361D"/>
    <w:rsid w:val="00FA4185"/>
    <w:rsid w:val="00FA54A3"/>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4632"/>
    <w:rsid w:val="00FE49A1"/>
    <w:rsid w:val="00FE4D83"/>
    <w:rsid w:val="00FE543D"/>
    <w:rsid w:val="00FE5B10"/>
    <w:rsid w:val="00FE7E23"/>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3472">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65734110">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91828904">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30833938">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3166108">
      <w:bodyDiv w:val="1"/>
      <w:marLeft w:val="0"/>
      <w:marRight w:val="0"/>
      <w:marTop w:val="0"/>
      <w:marBottom w:val="0"/>
      <w:divBdr>
        <w:top w:val="none" w:sz="0" w:space="0" w:color="auto"/>
        <w:left w:val="none" w:sz="0" w:space="0" w:color="auto"/>
        <w:bottom w:val="none" w:sz="0" w:space="0" w:color="auto"/>
        <w:right w:val="none" w:sz="0" w:space="0" w:color="auto"/>
      </w:divBdr>
    </w:div>
    <w:div w:id="410393616">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8657862">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9653048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20602550">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8388772">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74283195">
      <w:bodyDiv w:val="1"/>
      <w:marLeft w:val="0"/>
      <w:marRight w:val="0"/>
      <w:marTop w:val="0"/>
      <w:marBottom w:val="0"/>
      <w:divBdr>
        <w:top w:val="none" w:sz="0" w:space="0" w:color="auto"/>
        <w:left w:val="none" w:sz="0" w:space="0" w:color="auto"/>
        <w:bottom w:val="none" w:sz="0" w:space="0" w:color="auto"/>
        <w:right w:val="none" w:sz="0" w:space="0" w:color="auto"/>
      </w:divBdr>
      <w:divsChild>
        <w:div w:id="281425709">
          <w:marLeft w:val="0"/>
          <w:marRight w:val="0"/>
          <w:marTop w:val="0"/>
          <w:marBottom w:val="0"/>
          <w:divBdr>
            <w:top w:val="none" w:sz="0" w:space="0" w:color="auto"/>
            <w:left w:val="none" w:sz="0" w:space="0" w:color="auto"/>
            <w:bottom w:val="none" w:sz="0" w:space="0" w:color="auto"/>
            <w:right w:val="none" w:sz="0" w:space="0" w:color="auto"/>
          </w:divBdr>
        </w:div>
      </w:divsChild>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104424879">
      <w:bodyDiv w:val="1"/>
      <w:marLeft w:val="0"/>
      <w:marRight w:val="0"/>
      <w:marTop w:val="0"/>
      <w:marBottom w:val="0"/>
      <w:divBdr>
        <w:top w:val="none" w:sz="0" w:space="0" w:color="auto"/>
        <w:left w:val="none" w:sz="0" w:space="0" w:color="auto"/>
        <w:bottom w:val="none" w:sz="0" w:space="0" w:color="auto"/>
        <w:right w:val="none" w:sz="0" w:space="0" w:color="auto"/>
      </w:divBdr>
    </w:div>
    <w:div w:id="1130247187">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54101619">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32220735">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501194615">
      <w:bodyDiv w:val="1"/>
      <w:marLeft w:val="0"/>
      <w:marRight w:val="0"/>
      <w:marTop w:val="0"/>
      <w:marBottom w:val="0"/>
      <w:divBdr>
        <w:top w:val="none" w:sz="0" w:space="0" w:color="auto"/>
        <w:left w:val="none" w:sz="0" w:space="0" w:color="auto"/>
        <w:bottom w:val="none" w:sz="0" w:space="0" w:color="auto"/>
        <w:right w:val="none" w:sz="0" w:space="0" w:color="auto"/>
      </w:divBdr>
    </w:div>
    <w:div w:id="1526403722">
      <w:bodyDiv w:val="1"/>
      <w:marLeft w:val="0"/>
      <w:marRight w:val="0"/>
      <w:marTop w:val="0"/>
      <w:marBottom w:val="0"/>
      <w:divBdr>
        <w:top w:val="none" w:sz="0" w:space="0" w:color="auto"/>
        <w:left w:val="none" w:sz="0" w:space="0" w:color="auto"/>
        <w:bottom w:val="none" w:sz="0" w:space="0" w:color="auto"/>
        <w:right w:val="none" w:sz="0" w:space="0" w:color="auto"/>
      </w:divBdr>
    </w:div>
    <w:div w:id="1544903221">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999277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16040704">
      <w:bodyDiv w:val="1"/>
      <w:marLeft w:val="0"/>
      <w:marRight w:val="0"/>
      <w:marTop w:val="0"/>
      <w:marBottom w:val="0"/>
      <w:divBdr>
        <w:top w:val="none" w:sz="0" w:space="0" w:color="auto"/>
        <w:left w:val="none" w:sz="0" w:space="0" w:color="auto"/>
        <w:bottom w:val="none" w:sz="0" w:space="0" w:color="auto"/>
        <w:right w:val="none" w:sz="0" w:space="0" w:color="auto"/>
      </w:divBdr>
    </w:div>
    <w:div w:id="1918979192">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843759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944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RAN2113bise</b:Tag>
    <b:SourceType>ConferenceProceedings</b:SourceType>
    <b:Guid>{4AB2BB62-0F47-4A6D-B397-7FB76523E7F7}</b:Guid>
    <b:Title>RAN2#113bis e-Meeting, Chairman Notes</b:Title>
    <b:RefOrder>1</b:RefOrder>
  </b:Source>
  <b:Source>
    <b:Tag>emaildisc704</b:Tag>
    <b:SourceType>ConferenceProceedings</b:SourceType>
    <b:Guid>{67FBD0DF-7CE5-4931-93D0-C4FB1FB53A8C}</b:Guid>
    <b:Title>R2-2102889, Summary of [POST113-e][704] TX UE centric or RX UE centric DRX configuration determination (OPPO)</b:Title>
    <b:RefOrder>2</b:RefOrder>
  </b:Source>
  <b:Source>
    <b:Tag>DRXalignment114</b:Tag>
    <b:SourceType>ConferenceProceedings</b:SourceType>
    <b:Guid>{CEC5D5C5-BA58-4F27-B06B-F6ACA31EE6D2}</b:Guid>
    <b:Title>R2-2105024, On DRX wake-up time alignment, Intel Corporation</b:Title>
    <b:RefOrder>3</b:RefOrder>
  </b:Source>
</b:Sourc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F1AAE22-EDF0-41C7-A7DC-09648E5AD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4.xml><?xml version="1.0" encoding="utf-8"?>
<ds:datastoreItem xmlns:ds="http://schemas.openxmlformats.org/officeDocument/2006/customXml" ds:itemID="{49BDBD21-B3B6-4F87-865E-01F56F85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3700</Words>
  <Characters>21091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cp:revision>
  <dcterms:created xsi:type="dcterms:W3CDTF">2021-05-11T02:42:00Z</dcterms:created>
  <dcterms:modified xsi:type="dcterms:W3CDTF">2021-05-11T04:25:00Z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