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53B9B7F2" w14:textId="77777777"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lastRenderedPageBreak/>
        <w:t>R2-2100077</w:t>
      </w:r>
      <w:r>
        <w:tab/>
        <w:t>LS Reply on QoS Monitoring for URLLC (S5-204537; contact: Intel)</w:t>
      </w:r>
      <w:r>
        <w:tab/>
        <w:t>SA5</w:t>
      </w:r>
      <w:r>
        <w:tab/>
        <w:t>LS in</w:t>
      </w:r>
      <w:r>
        <w:tab/>
        <w:t>Rel-16</w:t>
      </w:r>
      <w:r>
        <w:tab/>
        <w:t>To:RAN3, SA2</w:t>
      </w:r>
      <w:r>
        <w:tab/>
        <w:t>Cc:RAN2</w:t>
      </w:r>
    </w:p>
    <w:p w14:paraId="27B160E8" w14:textId="61E4FA05" w:rsidR="003B6C29" w:rsidRDefault="003B6C29" w:rsidP="003B6C29">
      <w:pPr>
        <w:pStyle w:val="Doc-title"/>
      </w:pPr>
      <w:r>
        <w:t>R2-2100078</w:t>
      </w:r>
      <w:r>
        <w:tab/>
        <w:t>Reply LS on the user consent for trace reporting (S5-204542; contact: Huawei)</w:t>
      </w:r>
      <w:r>
        <w:tab/>
        <w:t>SA5</w:t>
      </w:r>
      <w:r>
        <w:tab/>
        <w:t>LS in</w:t>
      </w:r>
      <w:r>
        <w:tab/>
        <w:t>Rel-16</w:t>
      </w:r>
      <w:r>
        <w:tab/>
        <w:t>NR_SON_MDT-Core</w:t>
      </w:r>
      <w:r>
        <w:tab/>
        <w:t>To:RAN2, RAN3, SA3</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77777777" w:rsidR="00142241" w:rsidRPr="00142241" w:rsidRDefault="00142241" w:rsidP="00142241">
      <w:pPr>
        <w:pStyle w:val="Doc-text2"/>
      </w:pPr>
      <w:r w:rsidRPr="00142241">
        <w:t>-     All the agreed changes will be merged into one CR.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219C7FB7" w:rsidR="00142241" w:rsidRDefault="00142241" w:rsidP="00142241">
      <w:pPr>
        <w:pStyle w:val="Doc-text2"/>
      </w:pPr>
      <w:r w:rsidRPr="00142241">
        <w:t>      Intended outcome: Agreeable CR</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77777777" w:rsidR="00142241" w:rsidRPr="00142241" w:rsidRDefault="00142241" w:rsidP="00142241">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34B25D97" w:rsidR="00DE65C8" w:rsidRDefault="00DE65C8" w:rsidP="00DE65C8">
      <w:pPr>
        <w:pStyle w:val="Doc-text2"/>
      </w:pPr>
      <w:r w:rsidRPr="00142241">
        <w:t>      Intended outcome: Agree</w:t>
      </w:r>
      <w:r>
        <w:t>d</w:t>
      </w:r>
      <w:r w:rsidRPr="00142241">
        <w:t xml:space="preserve"> CR</w:t>
      </w:r>
    </w:p>
    <w:p w14:paraId="4FB07517" w14:textId="77777777" w:rsidR="00DE65C8" w:rsidRPr="00D34BDD" w:rsidRDefault="00DE65C8" w:rsidP="00DE65C8">
      <w:pPr>
        <w:pStyle w:val="Doc-text2"/>
      </w:pPr>
      <w:r>
        <w:tab/>
      </w:r>
      <w:r w:rsidRPr="00D34BDD">
        <w:t>Deadline: Thursday 01/02/2021</w:t>
      </w:r>
    </w:p>
    <w:p w14:paraId="4D34D56E" w14:textId="77777777" w:rsidR="00DE65C8" w:rsidRPr="00DE65C8" w:rsidRDefault="00DE65C8" w:rsidP="00DE65C8">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7F724C">
        <w:rPr>
          <w:highlight w:val="red"/>
        </w:rPr>
        <w:t>Potential easily agreed ones</w:t>
      </w:r>
      <w:r>
        <w:t>:</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 xml:space="preserve">The </w:t>
      </w:r>
      <w:r>
        <w:t xml:space="preserve">second </w:t>
      </w:r>
      <w:r>
        <w:t>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 xml:space="preserve">The change is in principle agreed and </w:t>
      </w:r>
      <w:r>
        <w:t>will be merged into the big CR provided by email discussion 80</w:t>
      </w:r>
      <w:r>
        <w:t>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B797336" w:rsidR="00DD32D6" w:rsidRPr="00DD32D6" w:rsidRDefault="00DD32D6" w:rsidP="00DD32D6">
      <w:pPr>
        <w:pStyle w:val="Doc-text2"/>
        <w:ind w:left="0" w:firstLine="0"/>
        <w:rPr>
          <w:i/>
        </w:rPr>
      </w:pPr>
      <w:r w:rsidRPr="000A64D4">
        <w:rPr>
          <w:i/>
          <w:sz w:val="21"/>
        </w:rPr>
        <w:t>Straightforward</w:t>
      </w:r>
      <w:r w:rsidR="000A64D4">
        <w:rPr>
          <w:i/>
          <w:sz w:val="21"/>
        </w:rPr>
        <w:t xml:space="preserve"> ones:</w:t>
      </w:r>
      <w:r w:rsidRPr="000A64D4">
        <w:rPr>
          <w:i/>
          <w:sz w:val="21"/>
        </w:rPr>
        <w:t xml:space="preserve"> </w:t>
      </w:r>
    </w:p>
    <w:p w14:paraId="2CAE943B" w14:textId="77777777"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lastRenderedPageBreak/>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7F724C">
        <w:rPr>
          <w:highlight w:val="red"/>
        </w:rPr>
        <w:t>Ones needed and also needing discussion</w:t>
      </w:r>
      <w:r>
        <w:t>…</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15C02D93" w:rsidR="0000572B" w:rsidRP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11FD1492" w14:textId="08A129D6"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7F724C">
        <w:rPr>
          <w:highlight w:val="red"/>
        </w:rPr>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lastRenderedPageBreak/>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6A967752" w:rsidR="00B4225E" w:rsidRPr="00B4225E" w:rsidRDefault="00B4225E" w:rsidP="00B4225E">
      <w:pPr>
        <w:pStyle w:val="Doc-text2"/>
      </w:pPr>
      <w:r>
        <w:t>=&gt;</w:t>
      </w:r>
      <w:r>
        <w:tab/>
        <w:t>The first change is 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lastRenderedPageBreak/>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4F2A6A95" w:rsidR="00176DDC" w:rsidRDefault="00176DDC" w:rsidP="00176DDC">
      <w:pPr>
        <w:pStyle w:val="EmailDiscussion2"/>
      </w:pPr>
      <w:r>
        <w:tab/>
        <w:t>Intended outcome:</w:t>
      </w:r>
      <w:r w:rsidR="00935892">
        <w:t xml:space="preserve"> Agreeable CR</w:t>
      </w:r>
    </w:p>
    <w:p w14:paraId="1C8720FF" w14:textId="12609F81" w:rsidR="00176DDC" w:rsidRDefault="00176DDC" w:rsidP="00176DDC">
      <w:pPr>
        <w:pStyle w:val="EmailDiscussion2"/>
      </w:pPr>
      <w:r>
        <w:tab/>
        <w:t xml:space="preserve">Deadline: Thursday </w:t>
      </w:r>
      <w:r w:rsidR="00935892">
        <w:t>28</w:t>
      </w:r>
      <w:r>
        <w:t>/0</w:t>
      </w:r>
      <w:r w:rsidR="00935892">
        <w:t>2</w:t>
      </w:r>
      <w:r>
        <w:t>/20</w:t>
      </w:r>
      <w:r w:rsidR="00935892">
        <w:t>21</w:t>
      </w: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58F3E2C4" w14:textId="77777777" w:rsidR="00935892" w:rsidRDefault="00935892" w:rsidP="00935892">
      <w:pPr>
        <w:pStyle w:val="EmailDiscussion2"/>
      </w:pPr>
      <w:r>
        <w:tab/>
        <w:t>Intended outcome: Agreeable CR</w:t>
      </w:r>
    </w:p>
    <w:p w14:paraId="1F4F5046" w14:textId="77777777" w:rsidR="00935892" w:rsidRPr="00176DDC" w:rsidRDefault="00935892" w:rsidP="00935892">
      <w:pPr>
        <w:pStyle w:val="EmailDiscussion2"/>
      </w:pPr>
      <w:r>
        <w:tab/>
        <w:t>Deadline: Thursday 28/02/2021</w:t>
      </w:r>
    </w:p>
    <w:p w14:paraId="71E67AD5" w14:textId="77777777" w:rsidR="00935892" w:rsidRPr="00176DDC" w:rsidRDefault="00935892"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7777777" w:rsidR="00D34BDD" w:rsidRPr="00D34BDD" w:rsidRDefault="00D34BDD" w:rsidP="00D34BDD">
      <w:pPr>
        <w:pStyle w:val="Doc-text2"/>
      </w:pPr>
      <w:r w:rsidRPr="00D34BDD">
        <w:t>      Intended outcome: Agreeable CR</w:t>
      </w:r>
    </w:p>
    <w:p w14:paraId="141DDA58" w14:textId="77777777" w:rsidR="00D34BDD" w:rsidRPr="00D34BDD" w:rsidRDefault="00D34BDD" w:rsidP="00D34BDD">
      <w:pPr>
        <w:pStyle w:val="Doc-text2"/>
      </w:pPr>
      <w:r w:rsidRPr="00D34BDD">
        <w:t>      Deadline: Thursday 28/01/2021</w:t>
      </w:r>
    </w:p>
    <w:p w14:paraId="5243B0BE" w14:textId="77777777" w:rsidR="001405E0" w:rsidRDefault="001405E0"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bookmarkStart w:id="4" w:name="_GoBack"/>
      <w:bookmarkEnd w:id="4"/>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lastRenderedPageBreak/>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701D72B9" w14:textId="77777777" w:rsidR="00594E24" w:rsidRDefault="00594E24" w:rsidP="00594E24">
      <w:pPr>
        <w:pStyle w:val="EmailDiscussion2"/>
      </w:pPr>
      <w:r>
        <w:tab/>
        <w:t>Intended outcome: Agreeable CR</w:t>
      </w: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1A87AB9A" w14:textId="77777777" w:rsidR="003B6C29" w:rsidRDefault="003B6C29" w:rsidP="003B6C29">
      <w:pPr>
        <w:pStyle w:val="Doc-title"/>
      </w:pPr>
      <w:r>
        <w:t>R2-2100587</w:t>
      </w:r>
      <w:r>
        <w:tab/>
        <w:t>Immediate MDT with MR-DC and Intermediate MDT for early measurements</w:t>
      </w:r>
      <w:r>
        <w:tab/>
        <w:t>Samsung Telecommunications</w:t>
      </w:r>
      <w:r>
        <w:tab/>
        <w:t>discussion</w:t>
      </w:r>
      <w:r>
        <w:tab/>
        <w:t>Rel-17</w:t>
      </w:r>
      <w:r>
        <w:tab/>
        <w:t>NR_ENDC_SON_MDT_enh-Core</w:t>
      </w:r>
    </w:p>
    <w:p w14:paraId="61CEF39B" w14:textId="77777777" w:rsidR="003B6C29" w:rsidRDefault="003B6C29" w:rsidP="003B6C29">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5B647825" w14:textId="77777777" w:rsidR="003B6C29" w:rsidRDefault="003B6C29" w:rsidP="003B6C29">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3862006E" w14:textId="77777777" w:rsidR="003B6C29" w:rsidRDefault="003B6C29" w:rsidP="003B6C29">
      <w:pPr>
        <w:pStyle w:val="Heading3"/>
      </w:pPr>
      <w:r>
        <w:t>8.13.1</w:t>
      </w:r>
      <w:r>
        <w:tab/>
        <w:t>Organizational</w:t>
      </w:r>
    </w:p>
    <w:p w14:paraId="22B73F66" w14:textId="77777777" w:rsidR="003B6C29" w:rsidRDefault="003B6C29" w:rsidP="003B6C29">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6B07F1D0" w14:textId="77777777" w:rsidR="003B6C29" w:rsidRDefault="003B6C29" w:rsidP="003B6C29">
      <w:pPr>
        <w:pStyle w:val="Doc-title"/>
      </w:pPr>
      <w:r>
        <w:t>R2-2100036</w:t>
      </w:r>
      <w:r>
        <w:tab/>
        <w:t>LS on UE based solution related to Logged MDT (R3-207176; contact: Ericsson)</w:t>
      </w:r>
      <w:r>
        <w:tab/>
        <w:t>RAN3</w:t>
      </w:r>
      <w:r>
        <w:tab/>
        <w:t>LS in</w:t>
      </w:r>
      <w:r>
        <w:tab/>
        <w:t>Rel-16</w:t>
      </w:r>
      <w:r>
        <w:tab/>
        <w:t>TEI16</w:t>
      </w:r>
      <w:r>
        <w:tab/>
        <w:t>To:RAN2</w:t>
      </w:r>
    </w:p>
    <w:p w14:paraId="2AD49686" w14:textId="77777777"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389F6421" w14:textId="7777777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55D10A79" w14:textId="77777777" w:rsidR="003B6C29" w:rsidRDefault="003B6C29" w:rsidP="003B6C29">
      <w:pPr>
        <w:pStyle w:val="Doc-title"/>
      </w:pPr>
      <w:r>
        <w:t>R2-2101424</w:t>
      </w:r>
      <w:r>
        <w:tab/>
        <w:t>On UE based solution related to Logged MDT (reply LS to R3-207176)</w:t>
      </w:r>
      <w:r>
        <w:tab/>
        <w:t>Ericsson</w:t>
      </w:r>
      <w:r>
        <w:tab/>
        <w:t>discussion</w:t>
      </w:r>
    </w:p>
    <w:p w14:paraId="4F8B9E8B" w14:textId="77777777" w:rsidR="003B6C29" w:rsidRDefault="003B6C29" w:rsidP="003B6C29">
      <w:pPr>
        <w:pStyle w:val="Heading3"/>
      </w:pPr>
      <w:r>
        <w:t>8.13.2</w:t>
      </w:r>
      <w:r>
        <w:tab/>
        <w:t>SON</w:t>
      </w:r>
    </w:p>
    <w:p w14:paraId="3A4E2B7D" w14:textId="77777777"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lastRenderedPageBreak/>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lastRenderedPageBreak/>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0887C765" w14:textId="77777777" w:rsidR="003B6C29" w:rsidRDefault="003B6C29" w:rsidP="003B6C29">
      <w:pPr>
        <w:pStyle w:val="Doc-title"/>
      </w:pPr>
      <w:r>
        <w:t>R2-2101451</w:t>
      </w:r>
      <w:r>
        <w:tab/>
        <w:t>[Post112-e][853][NR R17 SON/MDT] R17 Information needed in UE report for CHO cases (Ericsson)</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lastRenderedPageBreak/>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77777777" w:rsidR="003B6C29" w:rsidRDefault="003B6C29" w:rsidP="003B6C29">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lastRenderedPageBreak/>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0529ED9A" w14:textId="77777777" w:rsidR="003B6C29" w:rsidRDefault="003B6C29" w:rsidP="003B6C29">
      <w:pPr>
        <w:pStyle w:val="Doc-title"/>
      </w:pPr>
      <w:r>
        <w:t>R2-2100288</w:t>
      </w:r>
      <w:r>
        <w:tab/>
        <w:t>Discussion on L2 measurements for split bearers</w:t>
      </w:r>
      <w:r>
        <w:tab/>
        <w:t>China Telecommunication</w:t>
      </w:r>
      <w:r>
        <w:tab/>
        <w:t>discussion</w:t>
      </w:r>
      <w:r>
        <w:tab/>
        <w:t>Rel-17</w:t>
      </w:r>
    </w:p>
    <w:p w14:paraId="348CD52F" w14:textId="77777777" w:rsidR="003B6C29" w:rsidRDefault="003B6C29" w:rsidP="003B6C29">
      <w:pPr>
        <w:pStyle w:val="Doc-title"/>
      </w:pPr>
      <w:r>
        <w:t>R2-2100703</w:t>
      </w:r>
      <w:r>
        <w:tab/>
        <w:t>Report of [Post112-e][852][NR R17 SONMDT]  R17 L2M enhancement (vivo)</w:t>
      </w:r>
      <w:r>
        <w:tab/>
        <w:t>vivo</w:t>
      </w:r>
      <w:r>
        <w:tab/>
        <w:t>report</w:t>
      </w:r>
      <w:r>
        <w:tab/>
        <w:t>Rel-17</w:t>
      </w:r>
      <w:r>
        <w:tab/>
        <w:t>NR_ENDC_SON_MDT_enh-Core</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4D41CF58" w:rsidR="00EC5CC5" w:rsidRPr="002874D0" w:rsidRDefault="0026643E" w:rsidP="0026643E">
      <w:pPr>
        <w:pStyle w:val="Doc-text2"/>
      </w:pPr>
      <w:r>
        <w:t>R2-2102131 - 2150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9351" w14:textId="77777777" w:rsidR="00571663" w:rsidRDefault="00571663">
      <w:r>
        <w:separator/>
      </w:r>
    </w:p>
    <w:p w14:paraId="198A8503" w14:textId="77777777" w:rsidR="00571663" w:rsidRDefault="00571663"/>
  </w:endnote>
  <w:endnote w:type="continuationSeparator" w:id="0">
    <w:p w14:paraId="70723C7B" w14:textId="77777777" w:rsidR="00571663" w:rsidRDefault="00571663">
      <w:r>
        <w:continuationSeparator/>
      </w:r>
    </w:p>
    <w:p w14:paraId="698739AF" w14:textId="77777777" w:rsidR="00571663" w:rsidRDefault="00571663"/>
  </w:endnote>
  <w:endnote w:type="continuationNotice" w:id="1">
    <w:p w14:paraId="0174A1BA" w14:textId="77777777" w:rsidR="00571663" w:rsidRDefault="00571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75B4" w14:textId="77777777" w:rsidR="00571663" w:rsidRDefault="00571663">
      <w:r>
        <w:separator/>
      </w:r>
    </w:p>
    <w:p w14:paraId="088B8277" w14:textId="77777777" w:rsidR="00571663" w:rsidRDefault="00571663"/>
  </w:footnote>
  <w:footnote w:type="continuationSeparator" w:id="0">
    <w:p w14:paraId="2F2374BD" w14:textId="77777777" w:rsidR="00571663" w:rsidRDefault="00571663">
      <w:r>
        <w:continuationSeparator/>
      </w:r>
    </w:p>
    <w:p w14:paraId="7E424601" w14:textId="77777777" w:rsidR="00571663" w:rsidRDefault="00571663"/>
  </w:footnote>
  <w:footnote w:type="continuationNotice" w:id="1">
    <w:p w14:paraId="2E5258D5" w14:textId="77777777" w:rsidR="00571663" w:rsidRDefault="005716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6.5pt;height:11.7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9259-D826-774C-9F0F-06B6CD64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21764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3</cp:revision>
  <cp:lastPrinted>2018-01-21T20:31:00Z</cp:lastPrinted>
  <dcterms:created xsi:type="dcterms:W3CDTF">2021-01-25T14:16:00Z</dcterms:created>
  <dcterms:modified xsi:type="dcterms:W3CDTF">2021-01-25T14:21:00Z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