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428CD1" w14:textId="300CE86E" w:rsidR="000610FD" w:rsidRPr="00B266B0" w:rsidRDefault="000610FD" w:rsidP="000610FD">
      <w:pPr>
        <w:pStyle w:val="Header"/>
        <w:tabs>
          <w:tab w:val="right" w:pos="9639"/>
        </w:tabs>
        <w:rPr>
          <w:bCs/>
          <w:i/>
          <w:noProof w:val="0"/>
          <w:sz w:val="24"/>
          <w:szCs w:val="24"/>
        </w:rPr>
      </w:pPr>
      <w:bookmarkStart w:id="0" w:name="page1"/>
      <w:bookmarkStart w:id="1" w:name="_GoBack"/>
      <w:bookmarkEnd w:id="1"/>
      <w:r w:rsidRPr="003A41EF">
        <w:rPr>
          <w:bCs/>
          <w:noProof w:val="0"/>
          <w:sz w:val="24"/>
          <w:szCs w:val="24"/>
        </w:rPr>
        <w:t xml:space="preserve">3GPP TSG-RAN WG2 Meeting </w:t>
      </w:r>
      <w:r>
        <w:rPr>
          <w:bCs/>
          <w:noProof w:val="0"/>
          <w:sz w:val="24"/>
          <w:szCs w:val="24"/>
        </w:rPr>
        <w:t>#111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20</w:t>
      </w:r>
      <w:r w:rsidR="00050F83">
        <w:rPr>
          <w:bCs/>
          <w:noProof w:val="0"/>
          <w:sz w:val="24"/>
          <w:szCs w:val="24"/>
        </w:rPr>
        <w:t>07375</w:t>
      </w:r>
    </w:p>
    <w:p w14:paraId="39211924" w14:textId="5EFF9EA0" w:rsidR="000610FD" w:rsidRPr="00465587" w:rsidRDefault="000610FD" w:rsidP="000610FD">
      <w:pPr>
        <w:pStyle w:val="Header"/>
        <w:tabs>
          <w:tab w:val="right" w:pos="9639"/>
        </w:tabs>
        <w:rPr>
          <w:rFonts w:eastAsia="SimSun"/>
          <w:bCs/>
          <w:sz w:val="24"/>
          <w:szCs w:val="24"/>
          <w:lang w:eastAsia="zh-CN"/>
        </w:rPr>
      </w:pPr>
      <w:r>
        <w:rPr>
          <w:rFonts w:eastAsia="SimSun"/>
          <w:bCs/>
          <w:sz w:val="24"/>
          <w:szCs w:val="24"/>
          <w:lang w:eastAsia="zh-CN"/>
        </w:rPr>
        <w:t>Elbonia</w:t>
      </w:r>
      <w:r w:rsidRPr="006574C0">
        <w:rPr>
          <w:rFonts w:eastAsia="SimSun"/>
          <w:bCs/>
          <w:sz w:val="24"/>
          <w:szCs w:val="24"/>
          <w:lang w:eastAsia="zh-CN"/>
        </w:rPr>
        <w:t xml:space="preserve">, </w:t>
      </w:r>
      <w:r>
        <w:rPr>
          <w:rFonts w:eastAsia="SimSun"/>
          <w:bCs/>
          <w:sz w:val="24"/>
          <w:szCs w:val="24"/>
          <w:lang w:eastAsia="zh-CN"/>
        </w:rPr>
        <w:t>17</w:t>
      </w:r>
      <w:r w:rsidRPr="006574C0">
        <w:rPr>
          <w:rFonts w:eastAsia="SimSun"/>
          <w:bCs/>
          <w:sz w:val="24"/>
          <w:szCs w:val="24"/>
          <w:lang w:eastAsia="zh-CN"/>
        </w:rPr>
        <w:t xml:space="preserve"> – </w:t>
      </w:r>
      <w:r>
        <w:rPr>
          <w:rFonts w:eastAsia="SimSun"/>
          <w:bCs/>
          <w:sz w:val="24"/>
          <w:szCs w:val="24"/>
          <w:lang w:eastAsia="zh-CN"/>
        </w:rPr>
        <w:t>28</w:t>
      </w:r>
      <w:r w:rsidRPr="006574C0">
        <w:rPr>
          <w:rFonts w:eastAsia="SimSun"/>
          <w:bCs/>
          <w:sz w:val="24"/>
          <w:szCs w:val="24"/>
          <w:lang w:eastAsia="zh-CN"/>
        </w:rPr>
        <w:t xml:space="preserve"> </w:t>
      </w:r>
      <w:r>
        <w:rPr>
          <w:rFonts w:eastAsia="SimSun"/>
          <w:bCs/>
          <w:sz w:val="24"/>
          <w:szCs w:val="24"/>
          <w:lang w:eastAsia="zh-CN"/>
        </w:rPr>
        <w:t>August</w:t>
      </w:r>
      <w:r w:rsidRPr="006574C0">
        <w:rPr>
          <w:rFonts w:eastAsia="SimSun"/>
          <w:bCs/>
          <w:sz w:val="24"/>
          <w:szCs w:val="24"/>
          <w:lang w:eastAsia="zh-CN"/>
        </w:rPr>
        <w:t xml:space="preserve"> 20</w:t>
      </w:r>
      <w:r>
        <w:rPr>
          <w:rFonts w:eastAsia="SimSun"/>
          <w:bCs/>
          <w:sz w:val="24"/>
          <w:szCs w:val="24"/>
          <w:lang w:eastAsia="zh-CN"/>
        </w:rPr>
        <w:t>20</w:t>
      </w:r>
      <w:r>
        <w:rPr>
          <w:rFonts w:eastAsia="SimSun"/>
          <w:noProof w:val="0"/>
          <w:sz w:val="24"/>
          <w:szCs w:val="24"/>
          <w:lang w:eastAsia="zh-CN"/>
        </w:rPr>
        <w:tab/>
      </w:r>
      <w:r w:rsidRPr="00DE78CC">
        <w:rPr>
          <w:bCs/>
          <w:i/>
          <w:iCs/>
          <w:sz w:val="24"/>
        </w:rPr>
        <w:t>R2-200</w:t>
      </w:r>
      <w:r>
        <w:rPr>
          <w:bCs/>
          <w:i/>
          <w:iCs/>
          <w:sz w:val="24"/>
        </w:rPr>
        <w:t>4906</w:t>
      </w:r>
    </w:p>
    <w:p w14:paraId="20CEBA55" w14:textId="77777777" w:rsidR="00A65C19" w:rsidRPr="00B266B0" w:rsidRDefault="00A65C19" w:rsidP="00A65C19">
      <w:pPr>
        <w:pStyle w:val="Header"/>
        <w:rPr>
          <w:bCs/>
          <w:noProof w:val="0"/>
          <w:sz w:val="24"/>
        </w:rPr>
      </w:pPr>
    </w:p>
    <w:p w14:paraId="35CF0068" w14:textId="1FBC04B7" w:rsidR="00A65C19" w:rsidRPr="00B266B0" w:rsidRDefault="00A65C19" w:rsidP="00A65C19">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Pr="00AE35F5">
        <w:rPr>
          <w:rFonts w:cs="Arial"/>
          <w:b/>
          <w:bCs/>
          <w:sz w:val="24"/>
        </w:rPr>
        <w:t>6.1</w:t>
      </w:r>
      <w:r w:rsidR="000610FD">
        <w:rPr>
          <w:rFonts w:cs="Arial"/>
          <w:b/>
          <w:bCs/>
          <w:sz w:val="24"/>
        </w:rPr>
        <w:t>5</w:t>
      </w:r>
    </w:p>
    <w:p w14:paraId="614F7217" w14:textId="77777777" w:rsidR="00A65C19" w:rsidRPr="00B266B0" w:rsidRDefault="00A65C19" w:rsidP="00A65C19">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3FD8D42B" w14:textId="52E1A936" w:rsidR="00A65C19" w:rsidRDefault="00A65C19" w:rsidP="00A65C19">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610FD">
        <w:rPr>
          <w:rFonts w:ascii="Arial" w:hAnsi="Arial" w:cs="Arial"/>
          <w:b/>
          <w:bCs/>
          <w:sz w:val="24"/>
        </w:rPr>
        <w:t xml:space="preserve">Finalization of </w:t>
      </w:r>
      <w:r w:rsidR="00DE58BE" w:rsidRPr="00DE58BE">
        <w:rPr>
          <w:rFonts w:ascii="Arial" w:hAnsi="Arial" w:cs="Arial"/>
          <w:b/>
          <w:bCs/>
          <w:sz w:val="24"/>
        </w:rPr>
        <w:t xml:space="preserve">UE FR2 MPE </w:t>
      </w:r>
      <w:r w:rsidR="000610FD">
        <w:rPr>
          <w:rFonts w:ascii="Arial" w:hAnsi="Arial" w:cs="Arial"/>
          <w:b/>
          <w:bCs/>
          <w:sz w:val="24"/>
        </w:rPr>
        <w:t>P-MPR reporting</w:t>
      </w:r>
    </w:p>
    <w:p w14:paraId="7C503A1A" w14:textId="576BA343" w:rsidR="00A65C19" w:rsidRPr="00B266B0" w:rsidRDefault="00A65C19" w:rsidP="00A65C19">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DE58BE" w:rsidRPr="00DE78CC">
        <w:rPr>
          <w:rFonts w:ascii="Arial" w:hAnsi="Arial" w:cs="Arial"/>
          <w:b/>
          <w:bCs/>
          <w:sz w:val="24"/>
        </w:rPr>
        <w:t>NR_RF_FR2_req_enh</w:t>
      </w:r>
      <w:r w:rsidR="00DE58BE" w:rsidRPr="00081A1B">
        <w:rPr>
          <w:rFonts w:ascii="Arial" w:hAnsi="Arial" w:cs="Arial"/>
          <w:b/>
          <w:bCs/>
          <w:sz w:val="24"/>
        </w:rPr>
        <w:t xml:space="preserve"> - Release 16</w:t>
      </w:r>
    </w:p>
    <w:p w14:paraId="2CD1F866" w14:textId="77777777" w:rsidR="00A65C19" w:rsidRPr="00B266B0" w:rsidRDefault="00A65C19" w:rsidP="00A65C19">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bookmarkEnd w:id="0"/>
    <w:p w14:paraId="3899BE8E" w14:textId="77777777" w:rsidR="00AD407E" w:rsidRPr="00AE35F5" w:rsidRDefault="00AD407E" w:rsidP="006E7485">
      <w:pPr>
        <w:pStyle w:val="Heading1"/>
        <w:numPr>
          <w:ilvl w:val="0"/>
          <w:numId w:val="14"/>
        </w:numPr>
        <w:ind w:left="851" w:hanging="851"/>
        <w:jc w:val="both"/>
      </w:pPr>
      <w:r w:rsidRPr="00AE35F5">
        <w:t>Introduction</w:t>
      </w:r>
    </w:p>
    <w:p w14:paraId="75D1D24F" w14:textId="098B5A07" w:rsidR="00E5193C" w:rsidRPr="00DE78CC" w:rsidRDefault="00736F67" w:rsidP="00823C5A">
      <w:pPr>
        <w:ind w:right="-22"/>
        <w:jc w:val="both"/>
        <w:rPr>
          <w:i/>
          <w:iCs/>
        </w:rPr>
      </w:pPr>
      <w:r w:rsidRPr="00AE35F5">
        <w:rPr>
          <w:rFonts w:eastAsia="Calibri"/>
        </w:rPr>
        <w:t xml:space="preserve">RAN2 received </w:t>
      </w:r>
      <w:r w:rsidR="007D0866" w:rsidRPr="00AE35F5">
        <w:rPr>
          <w:rFonts w:eastAsia="Calibri"/>
        </w:rPr>
        <w:t>two</w:t>
      </w:r>
      <w:r w:rsidRPr="00AE35F5">
        <w:rPr>
          <w:rFonts w:eastAsia="Calibri"/>
        </w:rPr>
        <w:t xml:space="preserve"> LS</w:t>
      </w:r>
      <w:r w:rsidR="007D0866" w:rsidRPr="00AE35F5">
        <w:rPr>
          <w:rFonts w:eastAsia="Calibri"/>
        </w:rPr>
        <w:t>s</w:t>
      </w:r>
      <w:r w:rsidRPr="00AE35F5">
        <w:rPr>
          <w:rFonts w:eastAsia="Calibri"/>
        </w:rPr>
        <w:t xml:space="preserve"> </w:t>
      </w:r>
      <w:r w:rsidR="00D3463C" w:rsidRPr="00AE35F5">
        <w:rPr>
          <w:rFonts w:eastAsia="Calibri"/>
        </w:rPr>
        <w:t>from RAN4 on FR2 UE MPE enhancement</w:t>
      </w:r>
      <w:r w:rsidR="0031207C" w:rsidRPr="00AE35F5">
        <w:rPr>
          <w:rFonts w:eastAsia="Calibri"/>
        </w:rPr>
        <w:t>s</w:t>
      </w:r>
      <w:r w:rsidR="00485D89" w:rsidRPr="00AE35F5">
        <w:rPr>
          <w:rFonts w:eastAsia="Calibri"/>
        </w:rPr>
        <w:t xml:space="preserve"> to </w:t>
      </w:r>
      <w:r w:rsidR="00485D89" w:rsidRPr="00DE78CC">
        <w:t>avoid radio link failures and connection releases due to significant and unpredictable UE P-MPR</w:t>
      </w:r>
      <w:r w:rsidR="002D7D4A" w:rsidRPr="00DE78CC">
        <w:t xml:space="preserve"> in [</w:t>
      </w:r>
      <w:r w:rsidR="00F355C8" w:rsidRPr="00081A1B">
        <w:t>2</w:t>
      </w:r>
      <w:r w:rsidR="002D7D4A" w:rsidRPr="00081A1B">
        <w:t>]</w:t>
      </w:r>
      <w:r w:rsidR="007D0866" w:rsidRPr="00081A1B">
        <w:t xml:space="preserve"> and [</w:t>
      </w:r>
      <w:r w:rsidR="00806B2D" w:rsidRPr="00081A1B">
        <w:t>8</w:t>
      </w:r>
      <w:r w:rsidR="007D0866" w:rsidRPr="00081A1B">
        <w:t>]</w:t>
      </w:r>
      <w:r w:rsidR="00E5193C" w:rsidRPr="00081A1B">
        <w:t xml:space="preserve"> in RAN2#109bis-e, and in RAN2#110-e there </w:t>
      </w:r>
      <w:r w:rsidR="00823C5A">
        <w:t>were</w:t>
      </w:r>
      <w:r w:rsidR="00E5193C" w:rsidRPr="00081A1B">
        <w:t xml:space="preserve"> two more LSs incoming. As per the discussion in RAN2#1</w:t>
      </w:r>
      <w:r w:rsidR="00823C5A">
        <w:t>10</w:t>
      </w:r>
      <w:r w:rsidR="00E5193C" w:rsidRPr="00081A1B">
        <w:t xml:space="preserve">-e, </w:t>
      </w:r>
      <w:r w:rsidR="00823C5A">
        <w:t>the following were concluded</w:t>
      </w:r>
    </w:p>
    <w:p w14:paraId="56416CB8" w14:textId="77777777" w:rsidR="00A60D56" w:rsidRPr="00A60D56" w:rsidRDefault="00A76B28" w:rsidP="00A60D56">
      <w:pPr>
        <w:spacing w:after="0"/>
        <w:ind w:left="1259" w:hanging="1259"/>
        <w:rPr>
          <w:rFonts w:ascii="Arial" w:hAnsi="Arial"/>
          <w:i/>
          <w:iCs/>
          <w:noProof/>
          <w:lang w:eastAsia="ja-JP"/>
        </w:rPr>
      </w:pPr>
      <w:hyperlink r:id="rId14" w:history="1">
        <w:r w:rsidR="00A60D56" w:rsidRPr="00A60D56">
          <w:rPr>
            <w:rFonts w:ascii="Arial" w:hAnsi="Arial"/>
            <w:i/>
            <w:iCs/>
            <w:noProof/>
            <w:color w:val="0000FF"/>
            <w:u w:val="single"/>
            <w:lang w:eastAsia="ja-JP"/>
          </w:rPr>
          <w:t>R2-2006300</w:t>
        </w:r>
      </w:hyperlink>
      <w:r w:rsidR="00A60D56" w:rsidRPr="00A60D56">
        <w:rPr>
          <w:rFonts w:ascii="Arial" w:hAnsi="Arial"/>
          <w:i/>
          <w:iCs/>
          <w:noProof/>
          <w:lang w:eastAsia="ja-JP"/>
        </w:rPr>
        <w:tab/>
        <w:t>[AT110e][030][Other] FR2 MPE (interdigital)</w:t>
      </w:r>
      <w:r w:rsidR="00A60D56" w:rsidRPr="00A60D56">
        <w:rPr>
          <w:rFonts w:ascii="Arial" w:hAnsi="Arial"/>
          <w:i/>
          <w:iCs/>
          <w:noProof/>
          <w:lang w:eastAsia="ja-JP"/>
        </w:rPr>
        <w:tab/>
        <w:t>InterDigital</w:t>
      </w:r>
      <w:r w:rsidR="00A60D56" w:rsidRPr="00A60D56">
        <w:rPr>
          <w:rFonts w:ascii="Arial" w:hAnsi="Arial"/>
          <w:i/>
          <w:iCs/>
          <w:noProof/>
          <w:lang w:eastAsia="ja-JP"/>
        </w:rPr>
        <w:tab/>
        <w:t>discussion</w:t>
      </w:r>
    </w:p>
    <w:p w14:paraId="26F4B19A" w14:textId="77777777" w:rsidR="00A60D56" w:rsidRPr="00A60D56" w:rsidRDefault="00A60D56" w:rsidP="00A60D56">
      <w:pPr>
        <w:tabs>
          <w:tab w:val="num" w:pos="1619"/>
        </w:tabs>
        <w:overflowPunct/>
        <w:autoSpaceDE/>
        <w:autoSpaceDN/>
        <w:adjustRightInd/>
        <w:spacing w:before="60" w:after="0"/>
        <w:ind w:left="1619" w:hanging="360"/>
        <w:textAlignment w:val="auto"/>
        <w:rPr>
          <w:rFonts w:ascii="Arial" w:hAnsi="Arial"/>
          <w:b/>
          <w:i/>
          <w:iCs/>
          <w:lang w:val="en-US" w:eastAsia="ja-JP"/>
        </w:rPr>
      </w:pPr>
      <w:r w:rsidRPr="00A60D56">
        <w:rPr>
          <w:rFonts w:ascii="Arial" w:hAnsi="Arial"/>
          <w:b/>
          <w:i/>
          <w:iCs/>
          <w:lang w:val="en-US" w:eastAsia="ja-JP"/>
        </w:rPr>
        <w:t xml:space="preserve">[030] R2 understanding of R4 agreement: UE triggers MPE reporting if </w:t>
      </w:r>
      <w:r w:rsidRPr="00A60D56">
        <w:rPr>
          <w:rFonts w:ascii="Arial" w:hAnsi="Arial"/>
          <w:b/>
          <w:i/>
          <w:iCs/>
          <w:lang w:val="fr-FR" w:eastAsia="ja-JP"/>
        </w:rPr>
        <w:t xml:space="preserve">at least one cell of the MAC entity with a P-MPR </w:t>
      </w:r>
      <w:r w:rsidRPr="00A60D56">
        <w:rPr>
          <w:rFonts w:ascii="Arial" w:hAnsi="Arial" w:cs="Arial"/>
          <w:b/>
          <w:i/>
          <w:iCs/>
          <w:lang w:val="fr-FR" w:eastAsia="ja-JP"/>
        </w:rPr>
        <w:t>≥</w:t>
      </w:r>
      <w:r w:rsidRPr="00A60D56">
        <w:rPr>
          <w:rFonts w:ascii="Arial" w:hAnsi="Arial"/>
          <w:b/>
          <w:i/>
          <w:iCs/>
          <w:lang w:val="fr-FR" w:eastAsia="ja-JP"/>
        </w:rPr>
        <w:t xml:space="preserve"> </w:t>
      </w:r>
      <w:r w:rsidRPr="00A60D56">
        <w:rPr>
          <w:rFonts w:ascii="Arial" w:hAnsi="Arial"/>
          <w:b/>
          <w:i/>
          <w:iCs/>
          <w:lang w:val="en-US" w:eastAsia="ja-JP"/>
        </w:rPr>
        <w:t xml:space="preserve">a configurable </w:t>
      </w:r>
      <w:r w:rsidRPr="00A60D56">
        <w:rPr>
          <w:rFonts w:ascii="Arial" w:hAnsi="Arial"/>
          <w:b/>
          <w:i/>
          <w:iCs/>
          <w:lang w:val="fr-FR" w:eastAsia="ja-JP"/>
        </w:rPr>
        <w:t xml:space="preserve">threshold (per </w:t>
      </w:r>
      <w:r w:rsidRPr="00CF7563">
        <w:rPr>
          <w:rFonts w:ascii="Arial" w:hAnsi="Arial"/>
          <w:b/>
          <w:i/>
          <w:iCs/>
          <w:lang w:eastAsia="ja-JP"/>
        </w:rPr>
        <w:t>cell</w:t>
      </w:r>
      <w:r w:rsidRPr="00A60D56">
        <w:rPr>
          <w:rFonts w:ascii="Arial" w:hAnsi="Arial"/>
          <w:b/>
          <w:i/>
          <w:iCs/>
          <w:lang w:val="fr-FR" w:eastAsia="ja-JP"/>
        </w:rPr>
        <w:t xml:space="preserve">). </w:t>
      </w:r>
    </w:p>
    <w:p w14:paraId="144E23DC" w14:textId="77777777" w:rsidR="00A60D56" w:rsidRPr="00A60D56" w:rsidRDefault="00A60D56" w:rsidP="00A60D56">
      <w:pPr>
        <w:tabs>
          <w:tab w:val="num" w:pos="1619"/>
        </w:tabs>
        <w:overflowPunct/>
        <w:autoSpaceDE/>
        <w:autoSpaceDN/>
        <w:adjustRightInd/>
        <w:spacing w:before="60" w:after="0"/>
        <w:ind w:left="1619" w:hanging="360"/>
        <w:textAlignment w:val="auto"/>
        <w:rPr>
          <w:rFonts w:ascii="Arial" w:hAnsi="Arial"/>
          <w:b/>
          <w:i/>
          <w:iCs/>
          <w:lang w:val="en-US" w:eastAsia="ja-JP"/>
        </w:rPr>
      </w:pPr>
      <w:r w:rsidRPr="00A60D56">
        <w:rPr>
          <w:rFonts w:ascii="Arial" w:hAnsi="Arial"/>
          <w:b/>
          <w:i/>
          <w:iCs/>
          <w:lang w:val="en-US" w:eastAsia="ja-JP"/>
        </w:rPr>
        <w:t xml:space="preserve">[030] R2 understanding of R4 agreement: P-MPR reporting has a separate prohibit timer. A separate value is configured for MPE reporting procedure per MAC entity. </w:t>
      </w:r>
    </w:p>
    <w:p w14:paraId="14C26A45" w14:textId="77777777" w:rsidR="00A60D56" w:rsidRPr="00A60D56" w:rsidRDefault="00A60D56" w:rsidP="00A60D56">
      <w:pPr>
        <w:tabs>
          <w:tab w:val="num" w:pos="1619"/>
        </w:tabs>
        <w:overflowPunct/>
        <w:autoSpaceDE/>
        <w:autoSpaceDN/>
        <w:adjustRightInd/>
        <w:spacing w:before="60" w:after="0"/>
        <w:ind w:left="1619" w:hanging="360"/>
        <w:textAlignment w:val="auto"/>
        <w:rPr>
          <w:rFonts w:ascii="Arial" w:hAnsi="Arial"/>
          <w:b/>
          <w:i/>
          <w:iCs/>
          <w:lang w:val="en-US" w:eastAsia="ja-JP"/>
        </w:rPr>
      </w:pPr>
      <w:r w:rsidRPr="00A60D56">
        <w:rPr>
          <w:rFonts w:ascii="Arial" w:hAnsi="Arial"/>
          <w:b/>
          <w:i/>
          <w:iCs/>
          <w:lang w:val="en-US" w:eastAsia="ja-JP"/>
        </w:rPr>
        <w:t>[030] Support a per MAC entity RRC configuration, whereby the MAC entity reports MPE related P-MPR only when such parameter or IE is configured</w:t>
      </w:r>
      <w:r w:rsidRPr="00A60D56">
        <w:rPr>
          <w:rFonts w:ascii="Arial" w:hAnsi="Arial"/>
          <w:b/>
          <w:i/>
          <w:iCs/>
          <w:lang w:val="fr-FR" w:eastAsia="ja-JP"/>
        </w:rPr>
        <w:t xml:space="preserve"> (10/10)</w:t>
      </w:r>
    </w:p>
    <w:p w14:paraId="01738727" w14:textId="77777777" w:rsidR="00A60D56" w:rsidRPr="00A60D56" w:rsidRDefault="00A60D56" w:rsidP="00A60D56">
      <w:pPr>
        <w:tabs>
          <w:tab w:val="num" w:pos="1619"/>
        </w:tabs>
        <w:overflowPunct/>
        <w:autoSpaceDE/>
        <w:autoSpaceDN/>
        <w:adjustRightInd/>
        <w:spacing w:before="60" w:after="0"/>
        <w:ind w:left="1619" w:hanging="360"/>
        <w:textAlignment w:val="auto"/>
        <w:rPr>
          <w:rFonts w:ascii="Arial" w:hAnsi="Arial"/>
          <w:b/>
          <w:i/>
          <w:iCs/>
          <w:lang w:val="fr-FR" w:eastAsia="ja-JP"/>
        </w:rPr>
      </w:pPr>
      <w:r w:rsidRPr="00A60D56">
        <w:rPr>
          <w:rFonts w:ascii="Arial" w:hAnsi="Arial"/>
          <w:b/>
          <w:i/>
          <w:iCs/>
          <w:lang w:val="en-US" w:eastAsia="ja-JP"/>
        </w:rPr>
        <w:t xml:space="preserve">[030] For P-MPR threshold for absolute triggering, a separate value is configured for MPE reporting procedure per MAC entity </w:t>
      </w:r>
      <w:r w:rsidRPr="00A60D56">
        <w:rPr>
          <w:rFonts w:ascii="Arial" w:hAnsi="Arial"/>
          <w:b/>
          <w:i/>
          <w:iCs/>
          <w:lang w:val="fr-FR" w:eastAsia="ja-JP"/>
        </w:rPr>
        <w:t>(9/10).</w:t>
      </w:r>
    </w:p>
    <w:p w14:paraId="48148B7B" w14:textId="77777777" w:rsidR="00A60D56" w:rsidRPr="00A60D56" w:rsidRDefault="00A60D56" w:rsidP="00A60D56">
      <w:pPr>
        <w:tabs>
          <w:tab w:val="num" w:pos="1619"/>
        </w:tabs>
        <w:overflowPunct/>
        <w:autoSpaceDE/>
        <w:autoSpaceDN/>
        <w:adjustRightInd/>
        <w:spacing w:before="60" w:after="0"/>
        <w:ind w:left="1619" w:hanging="360"/>
        <w:textAlignment w:val="auto"/>
        <w:rPr>
          <w:rFonts w:ascii="Arial" w:hAnsi="Arial"/>
          <w:b/>
          <w:i/>
          <w:iCs/>
          <w:lang w:val="fr-FR" w:eastAsia="ja-JP"/>
        </w:rPr>
      </w:pPr>
      <w:r w:rsidRPr="00A60D56">
        <w:rPr>
          <w:rFonts w:ascii="Arial" w:hAnsi="Arial"/>
          <w:b/>
          <w:i/>
          <w:iCs/>
          <w:lang w:val="en-US" w:eastAsia="ja-JP"/>
        </w:rPr>
        <w:t>[030] FR2 MPE-related P-MPR reporting is an optional per-UE capability</w:t>
      </w:r>
      <w:r w:rsidRPr="00A60D56">
        <w:rPr>
          <w:rFonts w:ascii="Arial" w:hAnsi="Arial"/>
          <w:b/>
          <w:i/>
          <w:iCs/>
          <w:lang w:val="fr-FR" w:eastAsia="ja-JP"/>
        </w:rPr>
        <w:t xml:space="preserve"> </w:t>
      </w:r>
    </w:p>
    <w:p w14:paraId="1F5E81EB" w14:textId="77777777" w:rsidR="00823C5A" w:rsidRPr="00081A1B" w:rsidRDefault="00823C5A" w:rsidP="00823C5A">
      <w:pPr>
        <w:ind w:right="-22"/>
        <w:jc w:val="both"/>
      </w:pPr>
    </w:p>
    <w:p w14:paraId="7BBAFEFC" w14:textId="3C77DE71" w:rsidR="00A60D56" w:rsidRPr="00823C5A" w:rsidRDefault="00823C5A" w:rsidP="00FE2EE1">
      <w:pPr>
        <w:ind w:right="-22"/>
        <w:jc w:val="both"/>
        <w:rPr>
          <w:rFonts w:eastAsia="Calibri"/>
        </w:rPr>
      </w:pPr>
      <w:r w:rsidRPr="00081A1B">
        <w:t xml:space="preserve"> In this contribution we discuss how to progress with the UE FR2 MPE enhancements based on the latest RAN4 LSs.</w:t>
      </w:r>
      <w:r w:rsidRPr="00081A1B">
        <w:rPr>
          <w:rFonts w:eastAsia="Calibri"/>
        </w:rPr>
        <w:t xml:space="preserve"> </w:t>
      </w:r>
    </w:p>
    <w:p w14:paraId="3BAA4F2B" w14:textId="77777777" w:rsidR="00AD407E" w:rsidRPr="00081A1B" w:rsidRDefault="0041057D" w:rsidP="006E7485">
      <w:pPr>
        <w:pStyle w:val="Heading1"/>
        <w:numPr>
          <w:ilvl w:val="0"/>
          <w:numId w:val="14"/>
        </w:numPr>
        <w:ind w:left="851" w:hanging="851"/>
        <w:jc w:val="both"/>
      </w:pPr>
      <w:r w:rsidRPr="00081A1B">
        <w:t xml:space="preserve">RAN4 decisions on </w:t>
      </w:r>
      <w:r w:rsidR="00563B7F" w:rsidRPr="00081A1B">
        <w:t xml:space="preserve">FR2 </w:t>
      </w:r>
      <w:r w:rsidR="00D3463C" w:rsidRPr="00081A1B">
        <w:t xml:space="preserve">UE </w:t>
      </w:r>
      <w:r w:rsidR="00563B7F" w:rsidRPr="00081A1B">
        <w:t xml:space="preserve">MPE </w:t>
      </w:r>
      <w:r w:rsidR="00697672" w:rsidRPr="00081A1B">
        <w:t>E</w:t>
      </w:r>
      <w:r w:rsidR="00563B7F" w:rsidRPr="00081A1B">
        <w:t>nhancements</w:t>
      </w:r>
    </w:p>
    <w:p w14:paraId="0FABE7FC" w14:textId="77777777" w:rsidR="0031207C" w:rsidRPr="00081A1B" w:rsidRDefault="0031207C" w:rsidP="00EB36FE">
      <w:pPr>
        <w:jc w:val="both"/>
      </w:pPr>
      <w:r w:rsidRPr="00081A1B">
        <w:t xml:space="preserve">RAN4 is developing FR2 UE MPE (Maximum Permissible Exposure) enhancements methods under the Rel-16 WID on NR RF Requirement Enhancements for FR2 in [1]. This work item has the following FR2 MPE objectives including RAN2 secondary responsibility.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31207C" w:rsidRPr="00081A1B" w14:paraId="40D2C851" w14:textId="77777777" w:rsidTr="00EE339D">
        <w:tc>
          <w:tcPr>
            <w:tcW w:w="9771" w:type="dxa"/>
            <w:shd w:val="clear" w:color="auto" w:fill="auto"/>
          </w:tcPr>
          <w:p w14:paraId="50EF6D56" w14:textId="77777777" w:rsidR="0031207C" w:rsidRPr="00081A1B" w:rsidRDefault="0031207C" w:rsidP="00EE339D">
            <w:pPr>
              <w:pStyle w:val="tah0"/>
              <w:numPr>
                <w:ilvl w:val="0"/>
                <w:numId w:val="19"/>
              </w:numPr>
              <w:rPr>
                <w:rFonts w:ascii="Times New Roman" w:hAnsi="Times New Roman"/>
                <w:sz w:val="20"/>
                <w:szCs w:val="20"/>
                <w:lang w:val="en-GB"/>
              </w:rPr>
            </w:pPr>
            <w:r w:rsidRPr="00081A1B">
              <w:rPr>
                <w:rFonts w:ascii="Times New Roman" w:hAnsi="Times New Roman"/>
                <w:sz w:val="20"/>
                <w:szCs w:val="20"/>
                <w:lang w:val="en-GB"/>
              </w:rPr>
              <w:t>Enhancements methods for avoiding radio link failures and connection releases due to significant and unpredictable UE P-MPRs due to the FR2 UE RF exposure compliance reasons [RAN4, RAN1, RAN2]</w:t>
            </w:r>
          </w:p>
          <w:p w14:paraId="0C425E54" w14:textId="77777777" w:rsidR="0031207C" w:rsidRPr="00081A1B" w:rsidRDefault="0031207C" w:rsidP="00EE339D">
            <w:pPr>
              <w:pStyle w:val="tah0"/>
              <w:numPr>
                <w:ilvl w:val="1"/>
                <w:numId w:val="19"/>
              </w:numPr>
              <w:rPr>
                <w:rFonts w:ascii="Times New Roman" w:hAnsi="Times New Roman"/>
                <w:sz w:val="20"/>
                <w:szCs w:val="20"/>
                <w:lang w:val="en-GB"/>
              </w:rPr>
            </w:pPr>
            <w:r w:rsidRPr="00081A1B">
              <w:rPr>
                <w:rFonts w:ascii="Times New Roman" w:hAnsi="Times New Roman"/>
                <w:sz w:val="20"/>
                <w:szCs w:val="20"/>
                <w:lang w:val="en-GB"/>
              </w:rPr>
              <w:t>This work is started after RAN#84 when the Rel-15 requirements are completed</w:t>
            </w:r>
          </w:p>
          <w:p w14:paraId="69296713" w14:textId="77777777" w:rsidR="0031207C" w:rsidRPr="00081A1B" w:rsidRDefault="0031207C" w:rsidP="00EE339D">
            <w:pPr>
              <w:pStyle w:val="tah0"/>
              <w:numPr>
                <w:ilvl w:val="1"/>
                <w:numId w:val="19"/>
              </w:numPr>
              <w:rPr>
                <w:rFonts w:ascii="Times New Roman" w:hAnsi="Times New Roman"/>
                <w:sz w:val="20"/>
                <w:szCs w:val="20"/>
                <w:lang w:val="en-GB"/>
              </w:rPr>
            </w:pPr>
            <w:r w:rsidRPr="00081A1B">
              <w:rPr>
                <w:rFonts w:ascii="Times New Roman" w:hAnsi="Times New Roman"/>
                <w:sz w:val="20"/>
                <w:szCs w:val="20"/>
                <w:lang w:val="en-GB"/>
              </w:rPr>
              <w:t xml:space="preserve">RAN4 will provide further details on the RAN4 agreed solution(s) to RAN1/RAN2 before RAN1/RAN2 start their work if RAN1/RAN2 help is needed. </w:t>
            </w:r>
          </w:p>
          <w:p w14:paraId="74642455" w14:textId="77777777" w:rsidR="0031207C" w:rsidRPr="00081A1B" w:rsidRDefault="0031207C" w:rsidP="00EE339D">
            <w:pPr>
              <w:pStyle w:val="tah0"/>
              <w:numPr>
                <w:ilvl w:val="1"/>
                <w:numId w:val="19"/>
              </w:numPr>
              <w:rPr>
                <w:lang w:val="en-GB"/>
              </w:rPr>
            </w:pPr>
            <w:r w:rsidRPr="00081A1B">
              <w:rPr>
                <w:rFonts w:ascii="Times New Roman" w:hAnsi="Times New Roman"/>
                <w:sz w:val="20"/>
                <w:szCs w:val="20"/>
                <w:lang w:val="en-GB"/>
              </w:rPr>
              <w:t>This objective does not aim to propose the same alternatives which were not agreed (i.e. Alt1, Alt2 and Alt3 not agreed in RAN1#98 under Rel-16 NR eMIMO work item)</w:t>
            </w:r>
          </w:p>
        </w:tc>
      </w:tr>
    </w:tbl>
    <w:p w14:paraId="715B9394" w14:textId="77777777" w:rsidR="0031207C" w:rsidRPr="00081A1B" w:rsidRDefault="0031207C" w:rsidP="00EB36FE">
      <w:pPr>
        <w:jc w:val="both"/>
      </w:pPr>
    </w:p>
    <w:p w14:paraId="613991E5" w14:textId="0C29E725" w:rsidR="001C3350" w:rsidRPr="00AE35F5" w:rsidRDefault="000D2E51" w:rsidP="00EB36FE">
      <w:pPr>
        <w:jc w:val="both"/>
      </w:pPr>
      <w:r w:rsidRPr="00081A1B">
        <w:t>In the RAN4 LS to RAN2 in [</w:t>
      </w:r>
      <w:r w:rsidR="00F355C8" w:rsidRPr="00081A1B">
        <w:t>2</w:t>
      </w:r>
      <w:r w:rsidRPr="00081A1B">
        <w:t xml:space="preserve">] RAN4 indicated </w:t>
      </w:r>
      <w:r w:rsidR="00F355C8" w:rsidRPr="00081A1B">
        <w:t>to RAN2 that it is expecting RAN2’s help to develop MAC-CE based signal</w:t>
      </w:r>
      <w:r w:rsidR="00DE78CC">
        <w:t>l</w:t>
      </w:r>
      <w:r w:rsidR="00F355C8" w:rsidRPr="00AE35F5">
        <w:t>ing for MPE solutions.</w:t>
      </w:r>
      <w:r w:rsidR="001C3350" w:rsidRPr="00AE35F5">
        <w:t xml:space="preserve"> In the second RAN4 LS on FR2 MPE enhancements in [</w:t>
      </w:r>
      <w:r w:rsidR="00806B2D" w:rsidRPr="00AE35F5">
        <w:t>8</w:t>
      </w:r>
      <w:r w:rsidR="001C3350" w:rsidRPr="00AE35F5">
        <w:t xml:space="preserve">] RAN4 provided further details for the needed </w:t>
      </w:r>
      <w:r w:rsidR="00DE78CC" w:rsidRPr="00DE78CC">
        <w:t>signalling</w:t>
      </w:r>
      <w:r w:rsidR="001C3350" w:rsidRPr="00AE35F5">
        <w:t xml:space="preserve"> as follows;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F355C8" w:rsidRPr="00DE78CC" w14:paraId="7744B124" w14:textId="77777777" w:rsidTr="00EE339D">
        <w:tc>
          <w:tcPr>
            <w:tcW w:w="9771" w:type="dxa"/>
            <w:shd w:val="clear" w:color="auto" w:fill="auto"/>
          </w:tcPr>
          <w:p w14:paraId="789EE537" w14:textId="77777777" w:rsidR="001C3350" w:rsidRPr="00234F4F" w:rsidRDefault="001C3350" w:rsidP="001C3350">
            <w:bookmarkStart w:id="2" w:name="_Hlk40865811"/>
            <w:r w:rsidRPr="00DE78CC">
              <w:lastRenderedPageBreak/>
              <w:t xml:space="preserve">RAN4 has agreed further details on Rel-16 FR2 MPE enhancement solutions to mitigate RLF due to sudden RAN4 would like to ask RAN2 to </w:t>
            </w:r>
            <w:r w:rsidRPr="00234F4F">
              <w:rPr>
                <w:highlight w:val="green"/>
              </w:rPr>
              <w:t>develop the following Rel-16 FR2 MPE signalling based on MAC-CE to ensure sufficiently short signalling delays:</w:t>
            </w:r>
          </w:p>
          <w:p w14:paraId="02CC65D2" w14:textId="77777777" w:rsidR="001C3350" w:rsidRPr="00DE78CC" w:rsidRDefault="001C3350" w:rsidP="001C3350">
            <w:pPr>
              <w:numPr>
                <w:ilvl w:val="0"/>
                <w:numId w:val="33"/>
              </w:numPr>
              <w:overflowPunct/>
              <w:autoSpaceDE/>
              <w:autoSpaceDN/>
              <w:adjustRightInd/>
              <w:spacing w:after="0"/>
              <w:textAlignment w:val="auto"/>
              <w:rPr>
                <w:highlight w:val="green"/>
              </w:rPr>
            </w:pPr>
            <w:r w:rsidRPr="00AE35F5">
              <w:rPr>
                <w:highlight w:val="green"/>
              </w:rPr>
              <w:t xml:space="preserve">at least UE’s P-MPR based event-triggered reporting including also reporting of the actual P-MPR level that UE needs for FR2 MPE reasons. </w:t>
            </w:r>
          </w:p>
          <w:p w14:paraId="766AE00F" w14:textId="77777777" w:rsidR="001C3350" w:rsidRPr="00DE78CC" w:rsidRDefault="001C3350" w:rsidP="001C3350">
            <w:pPr>
              <w:numPr>
                <w:ilvl w:val="0"/>
                <w:numId w:val="33"/>
              </w:numPr>
              <w:overflowPunct/>
              <w:autoSpaceDE/>
              <w:autoSpaceDN/>
              <w:adjustRightInd/>
              <w:spacing w:after="0"/>
              <w:textAlignment w:val="auto"/>
              <w:rPr>
                <w:highlight w:val="green"/>
              </w:rPr>
            </w:pPr>
            <w:r w:rsidRPr="00AE35F5">
              <w:rPr>
                <w:highlight w:val="green"/>
              </w:rPr>
              <w:t xml:space="preserve">Network configurable P-MPR reporting threshold </w:t>
            </w:r>
          </w:p>
          <w:p w14:paraId="7D22972F" w14:textId="77777777" w:rsidR="001C3350" w:rsidRPr="00DE78CC" w:rsidRDefault="001C3350" w:rsidP="001C3350">
            <w:pPr>
              <w:numPr>
                <w:ilvl w:val="0"/>
                <w:numId w:val="33"/>
              </w:numPr>
              <w:overflowPunct/>
              <w:autoSpaceDE/>
              <w:autoSpaceDN/>
              <w:adjustRightInd/>
              <w:spacing w:after="0"/>
              <w:textAlignment w:val="auto"/>
              <w:rPr>
                <w:highlight w:val="green"/>
              </w:rPr>
            </w:pPr>
            <w:r w:rsidRPr="00AE35F5">
              <w:rPr>
                <w:highlight w:val="green"/>
              </w:rPr>
              <w:t>A prohibit timer is enabled to be configured by network to trigger the P-MPR reporting</w:t>
            </w:r>
          </w:p>
          <w:p w14:paraId="330EE108" w14:textId="77777777" w:rsidR="001C3350" w:rsidRPr="00AE35F5" w:rsidRDefault="001C3350" w:rsidP="001C3350">
            <w:pPr>
              <w:numPr>
                <w:ilvl w:val="0"/>
                <w:numId w:val="33"/>
              </w:numPr>
              <w:overflowPunct/>
              <w:autoSpaceDE/>
              <w:autoSpaceDN/>
              <w:adjustRightInd/>
              <w:spacing w:after="0"/>
              <w:textAlignment w:val="auto"/>
              <w:rPr>
                <w:highlight w:val="green"/>
              </w:rPr>
            </w:pPr>
            <w:r w:rsidRPr="00DE78CC">
              <w:rPr>
                <w:highlight w:val="green"/>
              </w:rPr>
              <w:t>P-MPR reporting range and reporting granularity are still under discussion in RAN4.</w:t>
            </w:r>
          </w:p>
          <w:p w14:paraId="5CDBCC97" w14:textId="77777777" w:rsidR="001C3350" w:rsidRPr="00AE35F5" w:rsidRDefault="001C3350" w:rsidP="001C3350">
            <w:pPr>
              <w:overflowPunct/>
              <w:autoSpaceDE/>
              <w:autoSpaceDN/>
              <w:adjustRightInd/>
              <w:spacing w:after="0"/>
              <w:ind w:left="720"/>
              <w:textAlignment w:val="auto"/>
            </w:pPr>
          </w:p>
        </w:tc>
      </w:tr>
      <w:bookmarkEnd w:id="2"/>
    </w:tbl>
    <w:p w14:paraId="214CAEB0" w14:textId="77777777" w:rsidR="00F355C8" w:rsidRPr="00AE35F5" w:rsidRDefault="00F355C8" w:rsidP="00EB36FE">
      <w:pPr>
        <w:jc w:val="both"/>
      </w:pPr>
    </w:p>
    <w:p w14:paraId="0944572B" w14:textId="6E226AB9" w:rsidR="001C3350" w:rsidRPr="00AE35F5" w:rsidRDefault="009750BE" w:rsidP="00EB36FE">
      <w:pPr>
        <w:jc w:val="both"/>
      </w:pPr>
      <w:r w:rsidRPr="00AE35F5">
        <w:t>As noted in [</w:t>
      </w:r>
      <w:r w:rsidR="00806B2D" w:rsidRPr="00AE35F5">
        <w:t>8</w:t>
      </w:r>
      <w:r w:rsidRPr="00AE35F5">
        <w:t xml:space="preserve">], </w:t>
      </w:r>
      <w:r w:rsidR="001C3350" w:rsidRPr="00AE35F5">
        <w:t xml:space="preserve">RAN4 </w:t>
      </w:r>
      <w:r w:rsidR="00DE78CC" w:rsidRPr="00DE78CC">
        <w:t>was</w:t>
      </w:r>
      <w:r w:rsidR="001C3350" w:rsidRPr="00AE35F5">
        <w:t xml:space="preserve"> expected to provide the remaining details for the FR2 MPE enhancement </w:t>
      </w:r>
      <w:r w:rsidR="002E35FD" w:rsidRPr="002E35FD">
        <w:t>signalling</w:t>
      </w:r>
      <w:r w:rsidR="001C3350" w:rsidRPr="00AE35F5">
        <w:t xml:space="preserve"> in its next April e-meeting</w:t>
      </w:r>
      <w:r w:rsidR="000F50C4" w:rsidRPr="00AE35F5">
        <w:t xml:space="preserve">, and as consequence, </w:t>
      </w:r>
      <w:r w:rsidR="00E77E6E" w:rsidRPr="00AE35F5">
        <w:t xml:space="preserve">the WF </w:t>
      </w:r>
      <w:hyperlink r:id="rId15" w:history="1">
        <w:r w:rsidR="00AF1212" w:rsidRPr="00AE35F5">
          <w:rPr>
            <w:rStyle w:val="Hyperlink"/>
          </w:rPr>
          <w:t>R4-2005734</w:t>
        </w:r>
      </w:hyperlink>
      <w:r w:rsidR="00AF1212" w:rsidRPr="00AE35F5">
        <w:t xml:space="preserve"> was agreed and </w:t>
      </w:r>
      <w:r w:rsidR="000F50C4" w:rsidRPr="00AE35F5">
        <w:t xml:space="preserve">the LS in R2-2004341 [10] was </w:t>
      </w:r>
      <w:r w:rsidR="00AF1212" w:rsidRPr="00AE35F5">
        <w:t>sent to RAN2</w:t>
      </w:r>
      <w:r w:rsidR="000F50C4" w:rsidRPr="00AE35F5">
        <w:t xml:space="preserve"> stating the following</w:t>
      </w:r>
      <w:r w:rsidR="00DA7A22" w:rsidRPr="00AE35F5">
        <w:t xml:space="preserve"> on the details of the solution</w:t>
      </w:r>
      <w:r w:rsidR="000F50C4" w:rsidRPr="00AE35F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0F50C4" w:rsidRPr="00DE78CC" w14:paraId="0B59515B" w14:textId="77777777" w:rsidTr="00754E33">
        <w:tc>
          <w:tcPr>
            <w:tcW w:w="9771" w:type="dxa"/>
            <w:shd w:val="clear" w:color="auto" w:fill="auto"/>
          </w:tcPr>
          <w:p w14:paraId="02708C8D" w14:textId="77777777" w:rsidR="000F50C4" w:rsidRPr="00234F4F" w:rsidRDefault="000F50C4" w:rsidP="000F50C4">
            <w:r w:rsidRPr="00DE78CC">
              <w:t>In addition to the previous details provided for the Rel-16 FR2 MPE enhancement signalling RAN4 would like to ask RAN2 to take the following additional details into account when developing MAC-CE based signalling for the FR2 MPE enhancements:</w:t>
            </w:r>
          </w:p>
          <w:p w14:paraId="32CCA4F0" w14:textId="77777777" w:rsidR="000F50C4" w:rsidRPr="00DE78CC" w:rsidRDefault="000F50C4" w:rsidP="000F50C4">
            <w:pPr>
              <w:numPr>
                <w:ilvl w:val="0"/>
                <w:numId w:val="33"/>
              </w:numPr>
              <w:rPr>
                <w:highlight w:val="yellow"/>
              </w:rPr>
            </w:pPr>
            <w:r w:rsidRPr="00DE78CC">
              <w:rPr>
                <w:highlight w:val="green"/>
              </w:rPr>
              <w:t>Network configured threshold for event-triggered FR2 MPE P-MPR reporting is defined based P-MPR being higher than a configurable threshold.</w:t>
            </w:r>
            <w:r w:rsidRPr="00DE78CC">
              <w:t xml:space="preserve"> </w:t>
            </w:r>
            <w:r w:rsidRPr="00DE78CC">
              <w:rPr>
                <w:highlight w:val="yellow"/>
              </w:rPr>
              <w:t>Whether an additionally relative threshold will be defined is still under discussion in RAN4 and RAN4 will inform RAN2 the outcome in the following meeting</w:t>
            </w:r>
          </w:p>
          <w:p w14:paraId="6FE04901" w14:textId="77777777" w:rsidR="000F50C4" w:rsidRPr="00DE78CC" w:rsidRDefault="000F50C4" w:rsidP="000F50C4">
            <w:pPr>
              <w:numPr>
                <w:ilvl w:val="0"/>
                <w:numId w:val="33"/>
              </w:numPr>
            </w:pPr>
            <w:r w:rsidRPr="00DE78CC">
              <w:rPr>
                <w:highlight w:val="green"/>
              </w:rPr>
              <w:t>P-MPR reporting range and reporting granularity will be defined in the next RAN4 meeting using [2…5] bits.</w:t>
            </w:r>
            <w:r w:rsidRPr="00DE78CC">
              <w:t xml:space="preserve"> </w:t>
            </w:r>
            <w:r w:rsidRPr="00DE78CC">
              <w:rPr>
                <w:highlight w:val="yellow"/>
              </w:rPr>
              <w:t>RAN4 will inform RAN2 the exact reporting range and reporting granularity in its next meeting.</w:t>
            </w:r>
          </w:p>
          <w:p w14:paraId="1475EEDD" w14:textId="7FBFC936" w:rsidR="000F50C4" w:rsidRPr="00DE78CC" w:rsidRDefault="000F50C4" w:rsidP="000F50C4">
            <w:pPr>
              <w:numPr>
                <w:ilvl w:val="0"/>
                <w:numId w:val="33"/>
              </w:numPr>
            </w:pPr>
            <w:r w:rsidRPr="00DE78CC">
              <w:rPr>
                <w:highlight w:val="green"/>
              </w:rPr>
              <w:t>P-MPR is reported by the UE after or on the grant and the exact details are up to UE implementation</w:t>
            </w:r>
            <w:r w:rsidRPr="00DE78CC">
              <w:t>.</w:t>
            </w:r>
          </w:p>
        </w:tc>
      </w:tr>
    </w:tbl>
    <w:p w14:paraId="335BF97C" w14:textId="2E6A7D86" w:rsidR="000F50C4" w:rsidRPr="00AE35F5" w:rsidRDefault="000F50C4" w:rsidP="00EB36FE">
      <w:pPr>
        <w:jc w:val="both"/>
      </w:pPr>
    </w:p>
    <w:p w14:paraId="465E54AC" w14:textId="67099216" w:rsidR="000F50C4" w:rsidRDefault="000F50C4" w:rsidP="00EB36FE">
      <w:pPr>
        <w:jc w:val="both"/>
      </w:pPr>
      <w:r w:rsidRPr="00AE35F5">
        <w:t>Hence, RAN4 clarifies that the number of bits for the P-MPR reporting range is 2-5</w:t>
      </w:r>
      <w:r w:rsidR="00360313" w:rsidRPr="00AE35F5">
        <w:t>,</w:t>
      </w:r>
      <w:r w:rsidRPr="00AE35F5">
        <w:t xml:space="preserve"> </w:t>
      </w:r>
      <w:r w:rsidR="003F53DA" w:rsidRPr="00AE35F5">
        <w:t>with presumably something in between the extremes, i.e. 3 or 4 bits</w:t>
      </w:r>
      <w:r w:rsidR="00897575" w:rsidRPr="00AE35F5">
        <w:t xml:space="preserve"> as the RAN4 agreed WF in </w:t>
      </w:r>
      <w:hyperlink r:id="rId16" w:history="1">
        <w:r w:rsidR="00897575" w:rsidRPr="00AE35F5">
          <w:rPr>
            <w:rStyle w:val="Hyperlink"/>
          </w:rPr>
          <w:t>R4-2005734</w:t>
        </w:r>
      </w:hyperlink>
      <w:r w:rsidR="00897575" w:rsidRPr="00AE35F5">
        <w:t xml:space="preserve"> </w:t>
      </w:r>
      <w:r w:rsidR="00FD11CB" w:rsidRPr="00AE35F5">
        <w:t xml:space="preserve">[11] </w:t>
      </w:r>
      <w:r w:rsidR="00897575" w:rsidRPr="00AE35F5">
        <w:t>encourages a compromise Option 1 (5 bits) and Option 2 (2 bits).</w:t>
      </w:r>
      <w:r w:rsidR="001F3657" w:rsidRPr="00AE35F5">
        <w:t xml:space="preserve"> Once RAN4 decides on the </w:t>
      </w:r>
      <w:r w:rsidR="000B5895">
        <w:t>number</w:t>
      </w:r>
      <w:r w:rsidR="001F3657" w:rsidRPr="00AE35F5">
        <w:t xml:space="preserve"> of bits</w:t>
      </w:r>
      <w:r w:rsidR="008A133B" w:rsidRPr="00AE35F5">
        <w:t xml:space="preserve"> (as is expected to happen during their next meeting)</w:t>
      </w:r>
      <w:r w:rsidR="001F3657" w:rsidRPr="00AE35F5">
        <w:t xml:space="preserve">, they will </w:t>
      </w:r>
      <w:r w:rsidR="003F53DA" w:rsidRPr="00AE35F5">
        <w:t>inform RAN2</w:t>
      </w:r>
      <w:r w:rsidR="006A36EC" w:rsidRPr="00AE35F5">
        <w:t xml:space="preserve"> </w:t>
      </w:r>
      <w:r w:rsidR="008A133B" w:rsidRPr="00AE35F5">
        <w:t>via LS</w:t>
      </w:r>
      <w:r w:rsidR="00CB09A0" w:rsidRPr="00AE35F5">
        <w:t xml:space="preserve">, but in the meantime RAN2 has to consider that more than </w:t>
      </w:r>
      <w:r w:rsidR="00983E07">
        <w:t>2-4</w:t>
      </w:r>
      <w:r w:rsidR="00CB09A0" w:rsidRPr="00AE35F5">
        <w:t xml:space="preserve"> bits </w:t>
      </w:r>
      <w:r w:rsidR="00983E07">
        <w:t xml:space="preserve">will </w:t>
      </w:r>
      <w:r w:rsidR="00CB09A0" w:rsidRPr="00AE35F5">
        <w:t>be needed for the P-MPR reporting</w:t>
      </w:r>
      <w:r w:rsidR="003F53DA" w:rsidRPr="00AE35F5">
        <w:t>. Additionally, it is clarified that absolute threshold is used for the MPE event (just as informed before), but relative comparisons may or may not be defined in addition. Finally, it seems RAN2 need not concern on the details of when UE applies the P-MPR as that is left up to UE implementation.</w:t>
      </w:r>
    </w:p>
    <w:p w14:paraId="7C6ECA17" w14:textId="400531E5" w:rsidR="00823C5A" w:rsidRPr="00A026E3" w:rsidRDefault="00823C5A" w:rsidP="00EB36FE">
      <w:pPr>
        <w:jc w:val="both"/>
        <w:rPr>
          <w:b/>
          <w:bCs/>
        </w:rPr>
      </w:pPr>
      <w:r w:rsidRPr="00A026E3">
        <w:rPr>
          <w:b/>
          <w:bCs/>
        </w:rPr>
        <w:t>Observation 1: Until RAN4 indicates otherwise, RAN2 has to assume 4 bits for the P-MPR reporting as this allows all possible value ranges.</w:t>
      </w:r>
    </w:p>
    <w:p w14:paraId="188A3A04" w14:textId="1654007B" w:rsidR="00806B2D" w:rsidRPr="00AE35F5" w:rsidRDefault="00D0513F" w:rsidP="00806B2D">
      <w:pPr>
        <w:pStyle w:val="Heading1"/>
        <w:numPr>
          <w:ilvl w:val="0"/>
          <w:numId w:val="14"/>
        </w:numPr>
        <w:ind w:left="851" w:hanging="851"/>
        <w:jc w:val="both"/>
      </w:pPr>
      <w:r w:rsidRPr="00AE35F5">
        <w:t xml:space="preserve">FR2 MPE </w:t>
      </w:r>
      <w:r w:rsidR="00A02A9E" w:rsidRPr="00AE35F5">
        <w:t>P-MPR</w:t>
      </w:r>
      <w:r w:rsidR="000B36C9" w:rsidRPr="00AE35F5">
        <w:t xml:space="preserve"> </w:t>
      </w:r>
      <w:r w:rsidRPr="00AE35F5">
        <w:t>reporting</w:t>
      </w:r>
    </w:p>
    <w:p w14:paraId="7677177C" w14:textId="02CA8005" w:rsidR="00983E07" w:rsidRDefault="00983E07" w:rsidP="00983E07">
      <w:pPr>
        <w:pStyle w:val="Heading2"/>
        <w:rPr>
          <w:rFonts w:eastAsia="Calibri"/>
        </w:rPr>
      </w:pPr>
      <w:r>
        <w:rPr>
          <w:rFonts w:eastAsia="Calibri"/>
        </w:rPr>
        <w:t>3.1</w:t>
      </w:r>
      <w:r>
        <w:rPr>
          <w:rFonts w:eastAsia="Calibri"/>
        </w:rPr>
        <w:tab/>
        <w:t>RRC signalling</w:t>
      </w:r>
    </w:p>
    <w:p w14:paraId="2F18EE97" w14:textId="6FE9C6A8" w:rsidR="00823C5A" w:rsidRDefault="00823C5A" w:rsidP="008A244F">
      <w:pPr>
        <w:jc w:val="both"/>
        <w:rPr>
          <w:rFonts w:eastAsia="Calibri"/>
        </w:rPr>
      </w:pPr>
      <w:r>
        <w:rPr>
          <w:rFonts w:eastAsia="Calibri"/>
        </w:rPr>
        <w:t>Given the decisions RAN2#110e made, the following are taken as agreements for this discussion:</w:t>
      </w:r>
    </w:p>
    <w:p w14:paraId="6C631679" w14:textId="4B4CAA64" w:rsidR="00983E07" w:rsidRDefault="00983E07" w:rsidP="00983E07">
      <w:pPr>
        <w:pStyle w:val="ListParagraph"/>
        <w:numPr>
          <w:ilvl w:val="0"/>
          <w:numId w:val="42"/>
        </w:numPr>
        <w:jc w:val="both"/>
        <w:rPr>
          <w:rFonts w:eastAsia="Calibri"/>
        </w:rPr>
      </w:pPr>
      <w:r>
        <w:rPr>
          <w:rFonts w:eastAsia="Calibri"/>
        </w:rPr>
        <w:t>A</w:t>
      </w:r>
      <w:r w:rsidR="00823C5A" w:rsidRPr="00983E07">
        <w:rPr>
          <w:rFonts w:eastAsia="Calibri"/>
        </w:rPr>
        <w:t xml:space="preserve">n </w:t>
      </w:r>
      <w:r w:rsidRPr="00983E07">
        <w:rPr>
          <w:rFonts w:eastAsia="Calibri"/>
        </w:rPr>
        <w:t xml:space="preserve">absolute </w:t>
      </w:r>
      <w:r>
        <w:rPr>
          <w:rFonts w:eastAsia="Calibri"/>
        </w:rPr>
        <w:t xml:space="preserve">P-MPR </w:t>
      </w:r>
      <w:r w:rsidRPr="00983E07">
        <w:rPr>
          <w:rFonts w:eastAsia="Calibri"/>
        </w:rPr>
        <w:t xml:space="preserve">threshold </w:t>
      </w:r>
      <w:r>
        <w:rPr>
          <w:rFonts w:eastAsia="Calibri"/>
        </w:rPr>
        <w:t xml:space="preserve">is introduced </w:t>
      </w:r>
      <w:r w:rsidRPr="00983E07">
        <w:rPr>
          <w:rFonts w:eastAsia="Calibri"/>
        </w:rPr>
        <w:t xml:space="preserve">for triggering </w:t>
      </w:r>
      <w:r w:rsidR="00823C5A" w:rsidRPr="00983E07">
        <w:rPr>
          <w:rFonts w:eastAsia="Calibri"/>
        </w:rPr>
        <w:t>MPE reporting</w:t>
      </w:r>
      <w:r w:rsidRPr="00983E07">
        <w:rPr>
          <w:rFonts w:eastAsia="Calibri"/>
        </w:rPr>
        <w:t xml:space="preserve"> when </w:t>
      </w:r>
      <w:r w:rsidR="00823C5A" w:rsidRPr="00983E07">
        <w:rPr>
          <w:rFonts w:eastAsia="Calibri"/>
        </w:rPr>
        <w:t>at least one cell of the MAC entity with a P-MPR ≥ a configurable threshold (per cell</w:t>
      </w:r>
      <w:r>
        <w:rPr>
          <w:rFonts w:eastAsia="Calibri"/>
        </w:rPr>
        <w:t>, per MAC entity</w:t>
      </w:r>
      <w:r w:rsidR="00823C5A" w:rsidRPr="00983E07">
        <w:rPr>
          <w:rFonts w:eastAsia="Calibri"/>
        </w:rPr>
        <w:t xml:space="preserve">). </w:t>
      </w:r>
    </w:p>
    <w:p w14:paraId="0C718F29" w14:textId="37304E1A" w:rsidR="00823C5A" w:rsidRDefault="00983E07" w:rsidP="00983E07">
      <w:pPr>
        <w:pStyle w:val="ListParagraph"/>
        <w:numPr>
          <w:ilvl w:val="0"/>
          <w:numId w:val="42"/>
        </w:numPr>
        <w:jc w:val="both"/>
        <w:rPr>
          <w:rFonts w:eastAsia="Calibri"/>
        </w:rPr>
      </w:pPr>
      <w:r>
        <w:rPr>
          <w:rFonts w:eastAsia="Calibri"/>
        </w:rPr>
        <w:t>A</w:t>
      </w:r>
      <w:r w:rsidR="00823C5A" w:rsidRPr="00983E07">
        <w:rPr>
          <w:rFonts w:eastAsia="Calibri"/>
        </w:rPr>
        <w:t xml:space="preserve"> separate prohibit timer</w:t>
      </w:r>
      <w:r>
        <w:rPr>
          <w:rFonts w:eastAsia="Calibri"/>
        </w:rPr>
        <w:t xml:space="preserve"> is configured for the MPE reporting </w:t>
      </w:r>
      <w:r w:rsidR="00823C5A" w:rsidRPr="00983E07">
        <w:rPr>
          <w:rFonts w:eastAsia="Calibri"/>
        </w:rPr>
        <w:t xml:space="preserve">procedure per MAC entity. </w:t>
      </w:r>
    </w:p>
    <w:p w14:paraId="760CB754" w14:textId="77777777" w:rsidR="00983E07" w:rsidRDefault="00983E07" w:rsidP="00983E07">
      <w:pPr>
        <w:pStyle w:val="ListParagraph"/>
        <w:numPr>
          <w:ilvl w:val="0"/>
          <w:numId w:val="42"/>
        </w:numPr>
        <w:jc w:val="both"/>
        <w:rPr>
          <w:rFonts w:eastAsia="Calibri"/>
        </w:rPr>
      </w:pPr>
      <w:r>
        <w:rPr>
          <w:rFonts w:eastAsia="Calibri"/>
        </w:rPr>
        <w:t>UE only reports MPE P-MPR when configured to do so (per MAC entity)</w:t>
      </w:r>
    </w:p>
    <w:p w14:paraId="6A4C4BD7" w14:textId="191C6E8F" w:rsidR="00823C5A" w:rsidRPr="00983E07" w:rsidRDefault="00983E07" w:rsidP="00983E07">
      <w:pPr>
        <w:pStyle w:val="ListParagraph"/>
        <w:numPr>
          <w:ilvl w:val="0"/>
          <w:numId w:val="42"/>
        </w:numPr>
        <w:jc w:val="both"/>
        <w:rPr>
          <w:rFonts w:eastAsia="Calibri"/>
        </w:rPr>
      </w:pPr>
      <w:r>
        <w:rPr>
          <w:rFonts w:eastAsia="Calibri"/>
        </w:rPr>
        <w:t xml:space="preserve">A single-bit optional UE capability is introduced for the </w:t>
      </w:r>
      <w:r w:rsidR="00823C5A" w:rsidRPr="00983E07">
        <w:rPr>
          <w:rFonts w:eastAsia="Calibri"/>
        </w:rPr>
        <w:t xml:space="preserve">FR2 MPE-related P-MPR reporting </w:t>
      </w:r>
    </w:p>
    <w:p w14:paraId="0FC205A8" w14:textId="77777777" w:rsidR="00983E07" w:rsidRDefault="00983E07" w:rsidP="008A244F">
      <w:pPr>
        <w:jc w:val="both"/>
        <w:rPr>
          <w:rFonts w:eastAsia="Calibri"/>
        </w:rPr>
      </w:pPr>
      <w:r>
        <w:rPr>
          <w:rFonts w:eastAsia="Calibri"/>
        </w:rPr>
        <w:t>Out of these, we note that the item 4) is considered under the general UE capability discussion, so the CR introducing those will handle both the capability description and the signalling. However, all other points 1-3 are still relevant and need to be captured in a CR. The signalling aspects seem clear: Network needs to configure the prohibit timer and the absolute P-MPR threshold for the MPE report triggering.</w:t>
      </w:r>
    </w:p>
    <w:p w14:paraId="215FC238" w14:textId="260215EE" w:rsidR="00983E07" w:rsidRPr="00AE35F5" w:rsidRDefault="00983E07" w:rsidP="00983E07">
      <w:pPr>
        <w:jc w:val="both"/>
        <w:rPr>
          <w:rFonts w:eastAsia="Calibri"/>
          <w:b/>
          <w:bCs/>
        </w:rPr>
      </w:pPr>
      <w:r w:rsidRPr="00AE35F5">
        <w:rPr>
          <w:rFonts w:eastAsia="Calibri"/>
          <w:b/>
          <w:bCs/>
        </w:rPr>
        <w:t xml:space="preserve">Proposal </w:t>
      </w:r>
      <w:r>
        <w:rPr>
          <w:rFonts w:eastAsia="Calibri"/>
          <w:b/>
          <w:bCs/>
        </w:rPr>
        <w:t>1</w:t>
      </w:r>
      <w:r w:rsidRPr="00AE35F5">
        <w:rPr>
          <w:rFonts w:eastAsia="Calibri"/>
          <w:b/>
          <w:bCs/>
        </w:rPr>
        <w:t xml:space="preserve">:  </w:t>
      </w:r>
      <w:r>
        <w:rPr>
          <w:rFonts w:eastAsia="Calibri"/>
          <w:b/>
          <w:bCs/>
        </w:rPr>
        <w:t xml:space="preserve">RRC signalling </w:t>
      </w:r>
      <w:r w:rsidRPr="00AE35F5">
        <w:rPr>
          <w:rFonts w:eastAsia="Calibri"/>
          <w:b/>
          <w:bCs/>
        </w:rPr>
        <w:t xml:space="preserve">for the FR2 MPE P-MPR reporting </w:t>
      </w:r>
      <w:r>
        <w:rPr>
          <w:rFonts w:eastAsia="Calibri"/>
          <w:b/>
          <w:bCs/>
        </w:rPr>
        <w:t xml:space="preserve">includes prohibit timer and P-MPR absolute threshold for triggering the report. </w:t>
      </w:r>
    </w:p>
    <w:p w14:paraId="20ECE604" w14:textId="59E4876C" w:rsidR="00983E07" w:rsidRDefault="00983E07" w:rsidP="00983E07">
      <w:pPr>
        <w:pStyle w:val="Heading2"/>
        <w:rPr>
          <w:rFonts w:eastAsia="Calibri"/>
        </w:rPr>
      </w:pPr>
      <w:r>
        <w:rPr>
          <w:rFonts w:eastAsia="Calibri"/>
        </w:rPr>
        <w:lastRenderedPageBreak/>
        <w:t>3.2</w:t>
      </w:r>
      <w:r>
        <w:rPr>
          <w:rFonts w:eastAsia="Calibri"/>
        </w:rPr>
        <w:tab/>
        <w:t>MAC procedures</w:t>
      </w:r>
    </w:p>
    <w:p w14:paraId="5C352B43" w14:textId="4F1F5045" w:rsidR="00983E07" w:rsidRDefault="00983E07" w:rsidP="008A244F">
      <w:pPr>
        <w:jc w:val="both"/>
        <w:rPr>
          <w:rFonts w:eastAsia="Calibri"/>
        </w:rPr>
      </w:pPr>
      <w:r>
        <w:rPr>
          <w:rFonts w:eastAsia="Calibri"/>
        </w:rPr>
        <w:t>The main contentious point during RAN2#110e on MAC details was on whether to reuse PHR MAC CEs (i.e. single- and multi-entry PHR) or whether to create a new MAC CE for the FR2 MPE P-MPR reporting. Unfortunately, the situation has been quite deadlocked and rife with misunderstandings, so the following table attempts to summarize the main arguments from both camps:</w:t>
      </w:r>
    </w:p>
    <w:tbl>
      <w:tblPr>
        <w:tblStyle w:val="TableGrid"/>
        <w:tblW w:w="0" w:type="auto"/>
        <w:tblLook w:val="04A0" w:firstRow="1" w:lastRow="0" w:firstColumn="1" w:lastColumn="0" w:noHBand="0" w:noVBand="1"/>
      </w:tblPr>
      <w:tblGrid>
        <w:gridCol w:w="1980"/>
        <w:gridCol w:w="3402"/>
        <w:gridCol w:w="4239"/>
      </w:tblGrid>
      <w:tr w:rsidR="00983E07" w:rsidRPr="00983E07" w14:paraId="7AAA99B6" w14:textId="77777777" w:rsidTr="00983E07">
        <w:tc>
          <w:tcPr>
            <w:tcW w:w="1980" w:type="dxa"/>
          </w:tcPr>
          <w:p w14:paraId="3CB5FDD7" w14:textId="1B23A67C" w:rsidR="00983E07" w:rsidRPr="00983E07" w:rsidRDefault="00983E07" w:rsidP="008A244F">
            <w:pPr>
              <w:jc w:val="both"/>
              <w:rPr>
                <w:rFonts w:eastAsia="Calibri"/>
                <w:b/>
                <w:bCs/>
                <w:u w:val="single"/>
              </w:rPr>
            </w:pPr>
            <w:r w:rsidRPr="00983E07">
              <w:rPr>
                <w:rFonts w:eastAsia="Calibri"/>
                <w:b/>
                <w:bCs/>
                <w:u w:val="single"/>
              </w:rPr>
              <w:t>New MAC CE vs. reused MAC CE</w:t>
            </w:r>
          </w:p>
        </w:tc>
        <w:tc>
          <w:tcPr>
            <w:tcW w:w="3402" w:type="dxa"/>
          </w:tcPr>
          <w:p w14:paraId="2CD7E5D1" w14:textId="16204B8F" w:rsidR="00983E07" w:rsidRPr="00983E07" w:rsidRDefault="00983E07" w:rsidP="008A244F">
            <w:pPr>
              <w:jc w:val="both"/>
              <w:rPr>
                <w:rFonts w:eastAsia="Calibri"/>
                <w:b/>
                <w:bCs/>
                <w:u w:val="single"/>
              </w:rPr>
            </w:pPr>
            <w:r w:rsidRPr="00983E07">
              <w:rPr>
                <w:rFonts w:eastAsia="Calibri"/>
                <w:b/>
                <w:bCs/>
                <w:u w:val="single"/>
              </w:rPr>
              <w:t>New MAC CE</w:t>
            </w:r>
          </w:p>
        </w:tc>
        <w:tc>
          <w:tcPr>
            <w:tcW w:w="4239" w:type="dxa"/>
          </w:tcPr>
          <w:p w14:paraId="71984C0E" w14:textId="34989A7F" w:rsidR="00983E07" w:rsidRPr="00983E07" w:rsidRDefault="00983E07" w:rsidP="008A244F">
            <w:pPr>
              <w:jc w:val="both"/>
              <w:rPr>
                <w:rFonts w:eastAsia="Calibri"/>
                <w:b/>
                <w:bCs/>
                <w:u w:val="single"/>
              </w:rPr>
            </w:pPr>
            <w:r w:rsidRPr="00983E07">
              <w:rPr>
                <w:rFonts w:eastAsia="Calibri"/>
                <w:b/>
                <w:bCs/>
                <w:u w:val="single"/>
              </w:rPr>
              <w:t>Reuse PHR MAC CEs</w:t>
            </w:r>
          </w:p>
        </w:tc>
      </w:tr>
      <w:tr w:rsidR="00983E07" w14:paraId="1D43184A" w14:textId="77777777" w:rsidTr="00983E07">
        <w:tc>
          <w:tcPr>
            <w:tcW w:w="1980" w:type="dxa"/>
          </w:tcPr>
          <w:p w14:paraId="7DD7D938" w14:textId="0BB51D07" w:rsidR="00983E07" w:rsidRPr="00983E07" w:rsidRDefault="00983E07" w:rsidP="008A244F">
            <w:pPr>
              <w:jc w:val="both"/>
              <w:rPr>
                <w:rFonts w:eastAsia="Calibri"/>
                <w:b/>
                <w:bCs/>
                <w:u w:val="single"/>
              </w:rPr>
            </w:pPr>
            <w:r w:rsidRPr="00983E07">
              <w:rPr>
                <w:rFonts w:eastAsia="Calibri"/>
                <w:b/>
                <w:bCs/>
                <w:u w:val="single"/>
              </w:rPr>
              <w:t>Pros</w:t>
            </w:r>
          </w:p>
        </w:tc>
        <w:tc>
          <w:tcPr>
            <w:tcW w:w="3402" w:type="dxa"/>
          </w:tcPr>
          <w:p w14:paraId="4A13CB36" w14:textId="7467B77F" w:rsidR="00983E07" w:rsidRDefault="00983E07" w:rsidP="008A244F">
            <w:pPr>
              <w:jc w:val="both"/>
              <w:rPr>
                <w:rFonts w:eastAsia="Calibri"/>
              </w:rPr>
            </w:pPr>
            <w:r>
              <w:rPr>
                <w:rFonts w:eastAsia="Calibri"/>
              </w:rPr>
              <w:t>- Lean design, minimized size</w:t>
            </w:r>
          </w:p>
          <w:p w14:paraId="39ACB938" w14:textId="2E35E220" w:rsidR="00983E07" w:rsidRDefault="00983E07" w:rsidP="008A244F">
            <w:pPr>
              <w:jc w:val="both"/>
              <w:rPr>
                <w:rFonts w:eastAsia="Calibri"/>
              </w:rPr>
            </w:pPr>
            <w:r>
              <w:rPr>
                <w:rFonts w:eastAsia="Calibri"/>
              </w:rPr>
              <w:t>- No modification required to existing PHR procedures (e.g. no interaction with PHR prohibit timer)</w:t>
            </w:r>
          </w:p>
          <w:p w14:paraId="67D268C1" w14:textId="77777777" w:rsidR="00A026E3" w:rsidRDefault="00983E07" w:rsidP="008A244F">
            <w:pPr>
              <w:jc w:val="both"/>
              <w:rPr>
                <w:rFonts w:eastAsia="Calibri"/>
              </w:rPr>
            </w:pPr>
            <w:r>
              <w:rPr>
                <w:rFonts w:eastAsia="Calibri"/>
              </w:rPr>
              <w:t xml:space="preserve">- </w:t>
            </w:r>
            <w:r w:rsidR="00A026E3">
              <w:rPr>
                <w:rFonts w:eastAsia="Calibri"/>
              </w:rPr>
              <w:t>Easier to extend later on (e.g. with relative threshold triggering)</w:t>
            </w:r>
          </w:p>
          <w:p w14:paraId="5CB52E28" w14:textId="18447161" w:rsidR="00A026E3" w:rsidRDefault="00A026E3" w:rsidP="008A244F">
            <w:pPr>
              <w:jc w:val="both"/>
              <w:rPr>
                <w:rFonts w:eastAsia="Calibri"/>
              </w:rPr>
            </w:pPr>
            <w:r>
              <w:rPr>
                <w:rFonts w:eastAsia="Calibri"/>
              </w:rPr>
              <w:t>- Allows for more easily specifying SR triggering (similar to BFR) when the new MAC CE is triggered</w:t>
            </w:r>
            <w:r w:rsidR="00CF7563">
              <w:rPr>
                <w:rFonts w:eastAsia="Calibri"/>
              </w:rPr>
              <w:t>,</w:t>
            </w:r>
            <w:r>
              <w:rPr>
                <w:rFonts w:eastAsia="Calibri"/>
              </w:rPr>
              <w:t xml:space="preserve"> and no SR is pending</w:t>
            </w:r>
          </w:p>
        </w:tc>
        <w:tc>
          <w:tcPr>
            <w:tcW w:w="4239" w:type="dxa"/>
          </w:tcPr>
          <w:p w14:paraId="66E345FE" w14:textId="77777777" w:rsidR="00983E07" w:rsidRDefault="00A026E3" w:rsidP="008A244F">
            <w:pPr>
              <w:jc w:val="both"/>
              <w:rPr>
                <w:rFonts w:eastAsia="Calibri"/>
              </w:rPr>
            </w:pPr>
            <w:r>
              <w:rPr>
                <w:rFonts w:eastAsia="Calibri"/>
              </w:rPr>
              <w:t>- Allows UE to report more information to network (as PHR may also be anyway triggered due to MPE reporting)</w:t>
            </w:r>
          </w:p>
          <w:p w14:paraId="2E0C81EA" w14:textId="77777777" w:rsidR="00A026E3" w:rsidRDefault="00A026E3" w:rsidP="008A244F">
            <w:pPr>
              <w:jc w:val="both"/>
              <w:rPr>
                <w:rFonts w:eastAsia="Calibri"/>
              </w:rPr>
            </w:pPr>
            <w:r>
              <w:rPr>
                <w:rFonts w:eastAsia="Calibri"/>
              </w:rPr>
              <w:t>-  May not need to consider changes to multiplexing priority rules</w:t>
            </w:r>
          </w:p>
          <w:p w14:paraId="2DB89544" w14:textId="51EDF64D" w:rsidR="00A026E3" w:rsidRDefault="00A026E3" w:rsidP="008A244F">
            <w:pPr>
              <w:jc w:val="both"/>
              <w:rPr>
                <w:rFonts w:eastAsia="Calibri"/>
              </w:rPr>
            </w:pPr>
            <w:r>
              <w:rPr>
                <w:rFonts w:eastAsia="Calibri"/>
              </w:rPr>
              <w:t>- PHR size may be kept in check if only 2 bits are used for the P-MPR</w:t>
            </w:r>
          </w:p>
        </w:tc>
      </w:tr>
      <w:tr w:rsidR="00983E07" w14:paraId="22179259" w14:textId="77777777" w:rsidTr="00983E07">
        <w:tc>
          <w:tcPr>
            <w:tcW w:w="1980" w:type="dxa"/>
          </w:tcPr>
          <w:p w14:paraId="32078668" w14:textId="61591CCF" w:rsidR="00983E07" w:rsidRPr="00983E07" w:rsidRDefault="00983E07" w:rsidP="008A244F">
            <w:pPr>
              <w:jc w:val="both"/>
              <w:rPr>
                <w:rFonts w:eastAsia="Calibri"/>
                <w:b/>
                <w:bCs/>
                <w:u w:val="single"/>
              </w:rPr>
            </w:pPr>
            <w:r w:rsidRPr="00983E07">
              <w:rPr>
                <w:rFonts w:eastAsia="Calibri"/>
                <w:b/>
                <w:bCs/>
                <w:u w:val="single"/>
              </w:rPr>
              <w:t>Cons</w:t>
            </w:r>
          </w:p>
        </w:tc>
        <w:tc>
          <w:tcPr>
            <w:tcW w:w="3402" w:type="dxa"/>
          </w:tcPr>
          <w:p w14:paraId="4CEC86FA" w14:textId="6435CC48" w:rsidR="00983E07" w:rsidRDefault="00A026E3" w:rsidP="008A244F">
            <w:pPr>
              <w:jc w:val="both"/>
              <w:rPr>
                <w:rFonts w:eastAsia="Calibri"/>
              </w:rPr>
            </w:pPr>
            <w:r>
              <w:rPr>
                <w:rFonts w:eastAsia="Calibri"/>
              </w:rPr>
              <w:t>- Requires defining multiplexing priority for the new MAC CE</w:t>
            </w:r>
          </w:p>
          <w:p w14:paraId="65BC0E1C" w14:textId="5EE4188B" w:rsidR="00A026E3" w:rsidRDefault="00A026E3" w:rsidP="008A244F">
            <w:pPr>
              <w:jc w:val="both"/>
              <w:rPr>
                <w:rFonts w:eastAsia="Calibri"/>
              </w:rPr>
            </w:pPr>
            <w:r>
              <w:rPr>
                <w:rFonts w:eastAsia="Calibri"/>
              </w:rPr>
              <w:t>- Less information transmitted to network via the new MAC CE alone (i.e. PHR may still be required in some cases)</w:t>
            </w:r>
          </w:p>
        </w:tc>
        <w:tc>
          <w:tcPr>
            <w:tcW w:w="4239" w:type="dxa"/>
          </w:tcPr>
          <w:p w14:paraId="62886AB8" w14:textId="77777777" w:rsidR="00983E07" w:rsidRDefault="00A026E3" w:rsidP="008A244F">
            <w:pPr>
              <w:jc w:val="both"/>
              <w:rPr>
                <w:rFonts w:eastAsia="Calibri"/>
              </w:rPr>
            </w:pPr>
            <w:r>
              <w:rPr>
                <w:rFonts w:eastAsia="Calibri"/>
              </w:rPr>
              <w:t>- More difficult to specify (as the existing PHR triggering is impacted)</w:t>
            </w:r>
          </w:p>
          <w:p w14:paraId="0CA6EA73" w14:textId="77777777" w:rsidR="00A026E3" w:rsidRDefault="00A026E3" w:rsidP="008A244F">
            <w:pPr>
              <w:jc w:val="both"/>
              <w:rPr>
                <w:rFonts w:eastAsia="Calibri"/>
              </w:rPr>
            </w:pPr>
            <w:r>
              <w:rPr>
                <w:rFonts w:eastAsia="Calibri"/>
              </w:rPr>
              <w:t>- Clearly larger MAC CEs for conveying the MPE information, delaying the transmission of the information to network (which may lead to RLF)</w:t>
            </w:r>
          </w:p>
          <w:p w14:paraId="7A762933" w14:textId="1184483B" w:rsidR="00A026E3" w:rsidRDefault="00A026E3" w:rsidP="008A244F">
            <w:pPr>
              <w:jc w:val="both"/>
              <w:rPr>
                <w:rFonts w:eastAsia="Calibri"/>
              </w:rPr>
            </w:pPr>
            <w:r>
              <w:rPr>
                <w:rFonts w:eastAsia="Calibri"/>
              </w:rPr>
              <w:t>- No size advantage in case more than 2 bits are needed for P-MPR (since another octet per serving cell will be needed)</w:t>
            </w:r>
          </w:p>
        </w:tc>
      </w:tr>
    </w:tbl>
    <w:p w14:paraId="7F574759" w14:textId="77777777" w:rsidR="00983E07" w:rsidRDefault="00983E07" w:rsidP="008A244F">
      <w:pPr>
        <w:jc w:val="both"/>
        <w:rPr>
          <w:rFonts w:eastAsia="Calibri"/>
        </w:rPr>
      </w:pPr>
    </w:p>
    <w:p w14:paraId="60D72AE3" w14:textId="03CD1AEC" w:rsidR="00A026E3" w:rsidRPr="00A026E3" w:rsidRDefault="00A026E3" w:rsidP="008A244F">
      <w:pPr>
        <w:jc w:val="both"/>
        <w:rPr>
          <w:rFonts w:eastAsia="Calibri"/>
          <w:b/>
          <w:bCs/>
        </w:rPr>
      </w:pPr>
      <w:r w:rsidRPr="00A026E3">
        <w:rPr>
          <w:rFonts w:eastAsia="Calibri"/>
          <w:b/>
          <w:bCs/>
        </w:rPr>
        <w:t xml:space="preserve">Observation 2: The benefit of new MAC CE is that it’s easier to specify the functionality without (inadvertently) causing any modifications to existing PHR triggering. </w:t>
      </w:r>
    </w:p>
    <w:p w14:paraId="04EF9154" w14:textId="228C3FF0" w:rsidR="00A026E3" w:rsidRPr="00A026E3" w:rsidRDefault="00A026E3" w:rsidP="008A244F">
      <w:pPr>
        <w:jc w:val="both"/>
        <w:rPr>
          <w:rFonts w:eastAsia="Calibri"/>
          <w:b/>
          <w:bCs/>
        </w:rPr>
      </w:pPr>
      <w:r w:rsidRPr="00A026E3">
        <w:rPr>
          <w:rFonts w:eastAsia="Calibri"/>
          <w:b/>
          <w:bCs/>
        </w:rPr>
        <w:t>Observation 3: The benefit of reusing PHR is that the MAC CE would contain more information to be transmitted to network at once.</w:t>
      </w:r>
    </w:p>
    <w:p w14:paraId="1D44FD49" w14:textId="450722C1" w:rsidR="00A026E3" w:rsidRDefault="00A026E3" w:rsidP="008A244F">
      <w:pPr>
        <w:jc w:val="both"/>
        <w:rPr>
          <w:rFonts w:eastAsia="Calibri"/>
        </w:rPr>
      </w:pPr>
      <w:r>
        <w:rPr>
          <w:rFonts w:eastAsia="Calibri"/>
        </w:rPr>
        <w:t>Based on these, we still think that a new MAC CE is far more robust design as it avoids any and all pitfalls with modifying existing PHR procedures. So far the argument</w:t>
      </w:r>
      <w:r w:rsidR="00CF7563">
        <w:rPr>
          <w:rFonts w:eastAsia="Calibri"/>
        </w:rPr>
        <w:t>s</w:t>
      </w:r>
      <w:r>
        <w:rPr>
          <w:rFonts w:eastAsia="Calibri"/>
        </w:rPr>
        <w:t xml:space="preserve"> made have all been indicating that because the PHR is </w:t>
      </w:r>
      <w:r w:rsidR="00CF7563">
        <w:rPr>
          <w:rFonts w:eastAsia="Calibri"/>
        </w:rPr>
        <w:t xml:space="preserve">likely </w:t>
      </w:r>
      <w:r>
        <w:rPr>
          <w:rFonts w:eastAsia="Calibri"/>
        </w:rPr>
        <w:t xml:space="preserve">anyway triggered, </w:t>
      </w:r>
      <w:r w:rsidR="00CF7563">
        <w:rPr>
          <w:rFonts w:eastAsia="Calibri"/>
        </w:rPr>
        <w:t>the PHR format should also be reused</w:t>
      </w:r>
      <w:r>
        <w:rPr>
          <w:rFonts w:eastAsia="Calibri"/>
        </w:rPr>
        <w:t xml:space="preserve">. However, </w:t>
      </w:r>
      <w:r w:rsidR="00CF7563">
        <w:rPr>
          <w:rFonts w:eastAsia="Calibri"/>
        </w:rPr>
        <w:t xml:space="preserve">these arguments </w:t>
      </w:r>
      <w:r>
        <w:rPr>
          <w:rFonts w:eastAsia="Calibri"/>
        </w:rPr>
        <w:t xml:space="preserve">ignore two </w:t>
      </w:r>
      <w:r w:rsidR="00CF7563">
        <w:rPr>
          <w:rFonts w:eastAsia="Calibri"/>
        </w:rPr>
        <w:t>aspects</w:t>
      </w:r>
      <w:r>
        <w:rPr>
          <w:rFonts w:eastAsia="Calibri"/>
        </w:rPr>
        <w:t xml:space="preserve">: 1) Modifying existing procedures is always error-prone and may cause ripple effects to non-MPE usage and 2) when both MPE and PHR are triggered, the MPE report can still be sent much faster as stand-alone report since it can be smaller, allowing network to react to it. Therefore, the downside of having “less information” is not true: UE will send the information to network as soon as possible, but if there is only a single (large) MAC CE to be sent, it may take </w:t>
      </w:r>
      <w:r>
        <w:rPr>
          <w:rFonts w:eastAsia="Calibri"/>
          <w:b/>
          <w:bCs/>
        </w:rPr>
        <w:t>longer</w:t>
      </w:r>
      <w:r>
        <w:rPr>
          <w:rFonts w:eastAsia="Calibri"/>
        </w:rPr>
        <w:t xml:space="preserve"> for the information to reach the network than with separate MPE MAC CE and PHR MAC CE, which could be sent independently. Therefore, there are two cases:</w:t>
      </w:r>
    </w:p>
    <w:p w14:paraId="448FB868" w14:textId="6944FBA3" w:rsidR="00A026E3" w:rsidRPr="00A026E3" w:rsidRDefault="00A026E3" w:rsidP="00A026E3">
      <w:pPr>
        <w:pStyle w:val="ListParagraph"/>
        <w:numPr>
          <w:ilvl w:val="0"/>
          <w:numId w:val="43"/>
        </w:numPr>
        <w:jc w:val="both"/>
        <w:rPr>
          <w:rFonts w:eastAsia="Calibri"/>
        </w:rPr>
      </w:pPr>
      <w:r>
        <w:rPr>
          <w:rFonts w:eastAsia="Calibri"/>
          <w:b/>
          <w:bCs/>
        </w:rPr>
        <w:t xml:space="preserve">UL grant size </w:t>
      </w:r>
      <w:r w:rsidRPr="00A026E3">
        <w:rPr>
          <w:rFonts w:eastAsia="Calibri"/>
          <w:b/>
          <w:bCs/>
        </w:rPr>
        <w:t>is large enough to transmit both PHR and MPE information:</w:t>
      </w:r>
      <w:r>
        <w:rPr>
          <w:rFonts w:eastAsia="Calibri"/>
        </w:rPr>
        <w:t xml:space="preserve"> In this case, assuming that both PHR and MPE trigger, UE will transmit both at the same time in both cases. The only exception is when the MAC CE header overhead pushes the “separate” case over the limit, in which case UE should first transmit MPE MAC CE and then PHR MAC CE </w:t>
      </w:r>
      <w:r w:rsidRPr="00A026E3">
        <w:rPr>
          <w:rFonts w:eastAsia="Calibri"/>
          <w:b/>
          <w:bCs/>
        </w:rPr>
        <w:t>=&gt; No benefit from joint MAC CE</w:t>
      </w:r>
      <w:r>
        <w:rPr>
          <w:rFonts w:eastAsia="Calibri"/>
          <w:b/>
          <w:bCs/>
        </w:rPr>
        <w:t xml:space="preserve"> over separate MAC CEs</w:t>
      </w:r>
      <w:r w:rsidRPr="00A026E3">
        <w:rPr>
          <w:rFonts w:eastAsia="Calibri"/>
          <w:b/>
          <w:bCs/>
        </w:rPr>
        <w:t>.</w:t>
      </w:r>
    </w:p>
    <w:p w14:paraId="01598322" w14:textId="0FB70182" w:rsidR="00A026E3" w:rsidRPr="00A026E3" w:rsidRDefault="00A026E3" w:rsidP="00A026E3">
      <w:pPr>
        <w:pStyle w:val="ListParagraph"/>
        <w:numPr>
          <w:ilvl w:val="0"/>
          <w:numId w:val="43"/>
        </w:numPr>
        <w:jc w:val="both"/>
        <w:rPr>
          <w:rFonts w:eastAsia="Calibri"/>
        </w:rPr>
      </w:pPr>
      <w:r>
        <w:rPr>
          <w:rFonts w:eastAsia="Calibri"/>
          <w:b/>
          <w:bCs/>
        </w:rPr>
        <w:t xml:space="preserve">UL grant size doesn’t allow for both MPE and PHR to be sent at the same time: </w:t>
      </w:r>
      <w:r>
        <w:rPr>
          <w:rFonts w:eastAsia="Calibri"/>
        </w:rPr>
        <w:t xml:space="preserve">In this case, UE needs to choose either MPE or PHR MAC CE. Given that the MPE is more urgent (as it may lead to RLF), this would mean that UE cannot send the “combined” PHR (i.e. with P-MPR information) to network quickly, whereas with separate reporting the MPE report can reach network faster so appropriate actions can be taken </w:t>
      </w:r>
      <w:r w:rsidRPr="00A026E3">
        <w:rPr>
          <w:rFonts w:eastAsia="Calibri"/>
          <w:b/>
          <w:bCs/>
        </w:rPr>
        <w:t>=&gt; Separate MAC CEs are beneficial</w:t>
      </w:r>
      <w:r>
        <w:rPr>
          <w:rFonts w:eastAsia="Calibri"/>
          <w:b/>
          <w:bCs/>
        </w:rPr>
        <w:t xml:space="preserve"> compared to joint MAC CE</w:t>
      </w:r>
      <w:r w:rsidRPr="00A026E3">
        <w:rPr>
          <w:rFonts w:eastAsia="Calibri"/>
          <w:b/>
          <w:bCs/>
        </w:rPr>
        <w:t>.</w:t>
      </w:r>
    </w:p>
    <w:p w14:paraId="16F2DD71" w14:textId="295CA39A" w:rsidR="00A026E3" w:rsidRDefault="00A026E3" w:rsidP="008A244F">
      <w:pPr>
        <w:jc w:val="both"/>
        <w:rPr>
          <w:rFonts w:eastAsia="Calibri"/>
        </w:rPr>
      </w:pPr>
      <w:r>
        <w:rPr>
          <w:rFonts w:eastAsia="Calibri"/>
        </w:rPr>
        <w:lastRenderedPageBreak/>
        <w:t xml:space="preserve">Additionally, the issue of specification difficulty bears consideration: While it is always true that any new features are always subject to errors at inception, modifying existing procedures carries a risk of inadvertently doing something that breaks the existing feature in some way. In contrast, defining a </w:t>
      </w:r>
      <w:r>
        <w:rPr>
          <w:rFonts w:eastAsia="Calibri"/>
          <w:b/>
          <w:bCs/>
        </w:rPr>
        <w:t>new</w:t>
      </w:r>
      <w:r>
        <w:rPr>
          <w:rFonts w:eastAsia="Calibri"/>
        </w:rPr>
        <w:t xml:space="preserve"> procedure allows existing procedures to be unmodified, and any errors in the new procedure definition does not affect existing functionalities. Therefore, it is more robust to create a new MAC CE in this case, given that the rules for how MPE reporting works may still be modified in later releases, this increasing the risk of breaking PHR functionality.</w:t>
      </w:r>
    </w:p>
    <w:p w14:paraId="61FD1F63" w14:textId="2CC4FCF5" w:rsidR="00A026E3" w:rsidRPr="00A026E3" w:rsidRDefault="00A026E3" w:rsidP="008A244F">
      <w:pPr>
        <w:jc w:val="both"/>
        <w:rPr>
          <w:rFonts w:eastAsia="Calibri"/>
          <w:b/>
          <w:bCs/>
        </w:rPr>
      </w:pPr>
      <w:r w:rsidRPr="00A026E3">
        <w:rPr>
          <w:rFonts w:eastAsia="Calibri"/>
          <w:b/>
          <w:bCs/>
        </w:rPr>
        <w:t>Observation 4: The benefit of reusing PHR are almost non-existent and carry a risk of creating errors for the legacy PHR reporting procedures.</w:t>
      </w:r>
    </w:p>
    <w:p w14:paraId="4126BD57" w14:textId="248979CA" w:rsidR="00A026E3" w:rsidRPr="00A026E3" w:rsidRDefault="00A026E3" w:rsidP="008A244F">
      <w:pPr>
        <w:jc w:val="both"/>
        <w:rPr>
          <w:rFonts w:eastAsia="Calibri"/>
          <w:b/>
          <w:bCs/>
        </w:rPr>
      </w:pPr>
      <w:r w:rsidRPr="00A026E3">
        <w:rPr>
          <w:rFonts w:eastAsia="Calibri"/>
          <w:b/>
          <w:bCs/>
        </w:rPr>
        <w:t>Proposal 1: Adopt new MAC CE for FR2 MPE P-MPR reporting.</w:t>
      </w:r>
    </w:p>
    <w:p w14:paraId="3010EF6A" w14:textId="491DCA88" w:rsidR="00CE5947" w:rsidRPr="00AE35F5" w:rsidRDefault="00F2495B" w:rsidP="00F2495B">
      <w:pPr>
        <w:jc w:val="both"/>
        <w:rPr>
          <w:rFonts w:eastAsia="Calibri"/>
        </w:rPr>
      </w:pPr>
      <w:r w:rsidRPr="00AE35F5">
        <w:rPr>
          <w:rFonts w:eastAsia="Calibri"/>
        </w:rPr>
        <w:t>Based on the RAN4 decisions, UE should report the MPE situation when the applied P-MPR is expected to become larger than a given threshold.</w:t>
      </w:r>
      <w:r w:rsidR="00D57107" w:rsidRPr="00AE35F5">
        <w:rPr>
          <w:rFonts w:eastAsia="Calibri"/>
        </w:rPr>
        <w:t xml:space="preserve"> This would be based on the RRC configuration</w:t>
      </w:r>
      <w:r w:rsidR="00CE5947" w:rsidRPr="00AE35F5">
        <w:rPr>
          <w:rFonts w:eastAsia="Calibri"/>
        </w:rPr>
        <w:t xml:space="preserve">. Similar to RRM reporting, it would also be possible to specify a periodic reporting of MPE situation, but as this has not been requested by RAN4 </w:t>
      </w:r>
      <w:r w:rsidR="004D7C65" w:rsidRPr="00AE35F5">
        <w:rPr>
          <w:rFonts w:eastAsia="Calibri"/>
        </w:rPr>
        <w:t xml:space="preserve">yet (it is still under discussion, </w:t>
      </w:r>
      <w:r w:rsidR="00CE5947" w:rsidRPr="00AE35F5">
        <w:rPr>
          <w:rFonts w:eastAsia="Calibri"/>
        </w:rPr>
        <w:t xml:space="preserve">and would </w:t>
      </w:r>
      <w:r w:rsidR="004D7C65" w:rsidRPr="00AE35F5">
        <w:rPr>
          <w:rFonts w:eastAsia="Calibri"/>
        </w:rPr>
        <w:t xml:space="preserve">definitely </w:t>
      </w:r>
      <w:r w:rsidR="00CE5947" w:rsidRPr="00AE35F5">
        <w:rPr>
          <w:rFonts w:eastAsia="Calibri"/>
        </w:rPr>
        <w:t xml:space="preserve">cause more MAC CE signalling), we would propose to only consider event-based </w:t>
      </w:r>
      <w:r w:rsidR="00373D95" w:rsidRPr="00AE35F5">
        <w:rPr>
          <w:rFonts w:eastAsia="Calibri"/>
        </w:rPr>
        <w:t xml:space="preserve">FR2 MPE </w:t>
      </w:r>
      <w:r w:rsidR="00A02A9E" w:rsidRPr="00AE35F5">
        <w:rPr>
          <w:rFonts w:eastAsia="Calibri"/>
        </w:rPr>
        <w:t>P-MPR report</w:t>
      </w:r>
      <w:r w:rsidR="00CE5947" w:rsidRPr="00AE35F5">
        <w:rPr>
          <w:rFonts w:eastAsia="Calibri"/>
        </w:rPr>
        <w:t>ing</w:t>
      </w:r>
      <w:r w:rsidR="004D7C65" w:rsidRPr="00AE35F5">
        <w:rPr>
          <w:rFonts w:eastAsia="Calibri"/>
        </w:rPr>
        <w:t xml:space="preserve"> unless RAN4 indicates otherwise</w:t>
      </w:r>
      <w:r w:rsidR="00CE5947" w:rsidRPr="00AE35F5">
        <w:rPr>
          <w:rFonts w:eastAsia="Calibri"/>
        </w:rPr>
        <w:t>.</w:t>
      </w:r>
    </w:p>
    <w:p w14:paraId="2CC3EB6B" w14:textId="7059BC57" w:rsidR="00C9687C" w:rsidRPr="00AE35F5" w:rsidRDefault="00CE5947" w:rsidP="00F2495B">
      <w:pPr>
        <w:jc w:val="both"/>
        <w:rPr>
          <w:rFonts w:eastAsia="Calibri"/>
          <w:b/>
          <w:bCs/>
        </w:rPr>
      </w:pPr>
      <w:r w:rsidRPr="00AE35F5">
        <w:rPr>
          <w:rFonts w:eastAsia="Calibri"/>
          <w:b/>
          <w:bCs/>
        </w:rPr>
        <w:t xml:space="preserve">Proposal </w:t>
      </w:r>
      <w:r w:rsidR="00A026E3">
        <w:rPr>
          <w:rFonts w:eastAsia="Calibri"/>
          <w:b/>
          <w:bCs/>
        </w:rPr>
        <w:t>2</w:t>
      </w:r>
      <w:r w:rsidRPr="00AE35F5">
        <w:rPr>
          <w:rFonts w:eastAsia="Calibri"/>
          <w:b/>
          <w:bCs/>
        </w:rPr>
        <w:t xml:space="preserve">: Define </w:t>
      </w:r>
      <w:r w:rsidR="00A026E3">
        <w:rPr>
          <w:rFonts w:eastAsia="Calibri"/>
          <w:b/>
          <w:bCs/>
        </w:rPr>
        <w:t xml:space="preserve">the </w:t>
      </w:r>
      <w:r w:rsidRPr="00AE35F5">
        <w:rPr>
          <w:rFonts w:eastAsia="Calibri"/>
          <w:b/>
          <w:bCs/>
        </w:rPr>
        <w:t xml:space="preserve">event-based </w:t>
      </w:r>
      <w:r w:rsidR="00373D95" w:rsidRPr="00AE35F5">
        <w:rPr>
          <w:rFonts w:eastAsia="Calibri"/>
          <w:b/>
          <w:bCs/>
        </w:rPr>
        <w:t xml:space="preserve">FR2 MPE </w:t>
      </w:r>
      <w:r w:rsidR="00A02A9E" w:rsidRPr="00AE35F5">
        <w:rPr>
          <w:rFonts w:eastAsia="Calibri"/>
          <w:b/>
          <w:bCs/>
        </w:rPr>
        <w:t>P-MPR report</w:t>
      </w:r>
      <w:r w:rsidRPr="00AE35F5">
        <w:rPr>
          <w:rFonts w:eastAsia="Calibri"/>
          <w:b/>
          <w:bCs/>
        </w:rPr>
        <w:t xml:space="preserve">ing in MAC that triggers when P-MPR &gt; P-MPR_Threshold (MPE event occurs) or when P-MPR &lt; P-MPR_Threshold (e.g. similar to </w:t>
      </w:r>
      <w:r w:rsidRPr="00AE35F5">
        <w:rPr>
          <w:rFonts w:eastAsia="Calibri"/>
          <w:b/>
          <w:bCs/>
          <w:i/>
          <w:iCs/>
        </w:rPr>
        <w:t>reportOnLeave</w:t>
      </w:r>
      <w:r w:rsidRPr="00AE35F5">
        <w:rPr>
          <w:rFonts w:eastAsia="Calibri"/>
          <w:b/>
          <w:bCs/>
        </w:rPr>
        <w:t xml:space="preserve"> for RRM).</w:t>
      </w:r>
    </w:p>
    <w:p w14:paraId="1B1281F7" w14:textId="13C1E921" w:rsidR="00845D55" w:rsidRPr="00AE35F5" w:rsidRDefault="00845D55" w:rsidP="00845D55">
      <w:pPr>
        <w:jc w:val="both"/>
        <w:rPr>
          <w:rFonts w:eastAsia="Calibri"/>
        </w:rPr>
      </w:pPr>
      <w:r w:rsidRPr="00AE35F5">
        <w:rPr>
          <w:rFonts w:eastAsia="Calibri"/>
        </w:rPr>
        <w:t>We would also note that one particular network reaction to the MPE event is to release the SCG entirely, in which case the MPE information could no longer be conveyed to the network in case the MPE event ceases to be valid. Therefore, we think that it should be possible to configure either RRC or MAC entity to report when the MPE event stops being valid. Even if the UE is not currently configured with FR2 serving cells, it will still have to monitor the MPE events due to regulatory requirements, so the information would be available to the UE.</w:t>
      </w:r>
    </w:p>
    <w:p w14:paraId="032E14CF" w14:textId="1871B92E" w:rsidR="00845D55" w:rsidRPr="00AE35F5" w:rsidRDefault="00845D55" w:rsidP="00F2495B">
      <w:pPr>
        <w:jc w:val="both"/>
        <w:rPr>
          <w:rFonts w:eastAsia="Calibri"/>
          <w:b/>
          <w:bCs/>
        </w:rPr>
      </w:pPr>
      <w:r w:rsidRPr="00AE35F5">
        <w:rPr>
          <w:rFonts w:eastAsia="Calibri"/>
          <w:b/>
          <w:bCs/>
        </w:rPr>
        <w:t xml:space="preserve">Proposal </w:t>
      </w:r>
      <w:r w:rsidR="00A026E3">
        <w:rPr>
          <w:rFonts w:eastAsia="Calibri"/>
          <w:b/>
          <w:bCs/>
        </w:rPr>
        <w:t>3</w:t>
      </w:r>
      <w:r w:rsidRPr="00AE35F5">
        <w:rPr>
          <w:rFonts w:eastAsia="Calibri"/>
          <w:b/>
          <w:bCs/>
        </w:rPr>
        <w:t>: Allow network to request UE to report the FR2 MPE status even when not configured with FR2 serving cells.</w:t>
      </w:r>
    </w:p>
    <w:p w14:paraId="3C92F06D" w14:textId="5F344162" w:rsidR="007660A0" w:rsidRPr="00AE35F5" w:rsidRDefault="00F656B4" w:rsidP="007660A0">
      <w:pPr>
        <w:jc w:val="both"/>
        <w:rPr>
          <w:rFonts w:eastAsia="Calibri"/>
        </w:rPr>
      </w:pPr>
      <w:r w:rsidRPr="00AE35F5">
        <w:rPr>
          <w:rFonts w:eastAsia="Calibri"/>
        </w:rPr>
        <w:t>We also note that w</w:t>
      </w:r>
      <w:r w:rsidR="007660A0" w:rsidRPr="00AE35F5">
        <w:rPr>
          <w:rFonts w:eastAsia="Calibri"/>
        </w:rPr>
        <w:t xml:space="preserve">hen the MAC CE about P-MPR is triggered, </w:t>
      </w:r>
      <w:r w:rsidRPr="00AE35F5">
        <w:rPr>
          <w:rFonts w:eastAsia="Calibri"/>
        </w:rPr>
        <w:t xml:space="preserve">UE only sends the MAC CE when it has a valid UL grant and BSR (and hence SR) is not triggered by only a MAC CE. Hence, it may be that the FR2 MPE P-MPR reporting is delayed because of this. Similar to the </w:t>
      </w:r>
      <w:r w:rsidR="007660A0" w:rsidRPr="00AE35F5">
        <w:rPr>
          <w:rFonts w:eastAsia="Calibri"/>
        </w:rPr>
        <w:t>BFR/LBT MAC CEs introduced in Rel-16</w:t>
      </w:r>
      <w:r w:rsidRPr="00AE35F5">
        <w:rPr>
          <w:rFonts w:eastAsia="Calibri"/>
        </w:rPr>
        <w:t>, this can be handled by allowing the FR2 MPE P-MPR reporting MAC CE</w:t>
      </w:r>
      <w:r w:rsidR="007660A0" w:rsidRPr="00AE35F5">
        <w:rPr>
          <w:rFonts w:eastAsia="Calibri"/>
        </w:rPr>
        <w:t xml:space="preserve"> </w:t>
      </w:r>
      <w:r w:rsidRPr="00AE35F5">
        <w:rPr>
          <w:rFonts w:eastAsia="Calibri"/>
        </w:rPr>
        <w:t xml:space="preserve">to also </w:t>
      </w:r>
      <w:r w:rsidR="007660A0" w:rsidRPr="00AE35F5">
        <w:rPr>
          <w:rFonts w:eastAsia="Calibri"/>
        </w:rPr>
        <w:t>trigger</w:t>
      </w:r>
      <w:r w:rsidRPr="00AE35F5">
        <w:rPr>
          <w:rFonts w:eastAsia="Calibri"/>
        </w:rPr>
        <w:t xml:space="preserve"> an</w:t>
      </w:r>
      <w:r w:rsidR="007660A0" w:rsidRPr="00AE35F5">
        <w:rPr>
          <w:rFonts w:eastAsia="Calibri"/>
        </w:rPr>
        <w:t xml:space="preserve"> SR</w:t>
      </w:r>
      <w:r w:rsidRPr="00AE35F5">
        <w:rPr>
          <w:rFonts w:eastAsia="Calibri"/>
        </w:rPr>
        <w:t xml:space="preserve"> (or random access in case SR resources are not configured).</w:t>
      </w:r>
      <w:r w:rsidR="003207EB" w:rsidRPr="00AE35F5">
        <w:rPr>
          <w:rFonts w:eastAsia="Calibri"/>
        </w:rPr>
        <w:t xml:space="preserve"> There could even be an additional threshold provided for the triggering of the SR </w:t>
      </w:r>
      <w:r w:rsidR="00F36265" w:rsidRPr="00AE35F5">
        <w:rPr>
          <w:rFonts w:eastAsia="Calibri"/>
        </w:rPr>
        <w:t>since the P-MPR threshold might be put to a lower value to get an “early warning” from the UE. This could also allow UE to apply smaller P-MPR initially while sending the report and then applying larger P-MPR once the initial report has been sent.</w:t>
      </w:r>
      <w:r w:rsidR="00050F83">
        <w:rPr>
          <w:rFonts w:eastAsia="Calibri"/>
        </w:rPr>
        <w:t xml:space="preserve"> During RAN2#110e, most companies seemed to tie this into the PHR triggering, and no technical reasons were given despite the RAN4 request to have the report sent “sufficiently quickly” . Since the FR2 MPE requirements triggering P-MPR may lead to even RLF (in case PCell is in FR2) very quickly, it’s imperative that the report is sent quickly. </w:t>
      </w:r>
      <w:r w:rsidR="00650627">
        <w:rPr>
          <w:rFonts w:eastAsia="Calibri"/>
        </w:rPr>
        <w:t>Since the current SR triggering depends on UP traffic and BSR</w:t>
      </w:r>
      <w:r w:rsidR="009A3479">
        <w:rPr>
          <w:rFonts w:eastAsia="Calibri"/>
        </w:rPr>
        <w:t>/SR</w:t>
      </w:r>
      <w:r w:rsidR="00650627">
        <w:rPr>
          <w:rFonts w:eastAsia="Calibri"/>
        </w:rPr>
        <w:t xml:space="preserve"> prohibit timers can also be large</w:t>
      </w:r>
      <w:r w:rsidR="009A3479">
        <w:rPr>
          <w:rFonts w:eastAsia="Calibri"/>
        </w:rPr>
        <w:t>, this could lead to unnecessary delay and require network to use aggressive parameters that decrease UE power consumption. Therefore, we still think it would be beneficial to allow SR to be triggered (if necessary) when the MPE report needs to be sent.</w:t>
      </w:r>
    </w:p>
    <w:p w14:paraId="0A71365B" w14:textId="7D92BE15" w:rsidR="00F656B4" w:rsidRPr="00AE35F5" w:rsidRDefault="00F656B4" w:rsidP="007660A0">
      <w:pPr>
        <w:jc w:val="both"/>
        <w:rPr>
          <w:rFonts w:eastAsia="Calibri"/>
          <w:b/>
          <w:bCs/>
        </w:rPr>
      </w:pPr>
      <w:r w:rsidRPr="00AE35F5">
        <w:rPr>
          <w:rFonts w:eastAsia="Calibri"/>
          <w:b/>
          <w:bCs/>
        </w:rPr>
        <w:t xml:space="preserve">Proposal </w:t>
      </w:r>
      <w:r w:rsidR="00A026E3">
        <w:rPr>
          <w:rFonts w:eastAsia="Calibri"/>
          <w:b/>
          <w:bCs/>
        </w:rPr>
        <w:t>4</w:t>
      </w:r>
      <w:r w:rsidRPr="00AE35F5">
        <w:rPr>
          <w:rFonts w:eastAsia="Calibri"/>
          <w:b/>
          <w:bCs/>
        </w:rPr>
        <w:t>: Allow FR2 MPE P-MPR MAC CE to trigger SR</w:t>
      </w:r>
      <w:r w:rsidR="00F36265" w:rsidRPr="00AE35F5">
        <w:rPr>
          <w:rFonts w:eastAsia="Calibri"/>
          <w:b/>
          <w:bCs/>
        </w:rPr>
        <w:t xml:space="preserve"> if the P-MPR value &gt; SR_threshold</w:t>
      </w:r>
      <w:r w:rsidRPr="00AE35F5">
        <w:rPr>
          <w:rFonts w:eastAsia="Calibri"/>
          <w:b/>
          <w:bCs/>
        </w:rPr>
        <w:t>.</w:t>
      </w:r>
    </w:p>
    <w:p w14:paraId="25D9BDF4" w14:textId="3DCD2F8A" w:rsidR="00F44D97" w:rsidRDefault="00F44D97" w:rsidP="00845D55">
      <w:pPr>
        <w:jc w:val="both"/>
        <w:rPr>
          <w:rFonts w:eastAsia="Calibri"/>
        </w:rPr>
      </w:pPr>
      <w:r>
        <w:rPr>
          <w:rFonts w:eastAsia="Calibri"/>
        </w:rPr>
        <w:t>Similarly, there was a discussion on multiplexing priority during RAN2#110e</w:t>
      </w:r>
      <w:r w:rsidR="00CF7563">
        <w:rPr>
          <w:rFonts w:eastAsia="Calibri"/>
        </w:rPr>
        <w:t>,</w:t>
      </w:r>
      <w:r>
        <w:rPr>
          <w:rFonts w:eastAsia="Calibri"/>
        </w:rPr>
        <w:t xml:space="preserve"> but the discussion never converged as the exact MAC CE details </w:t>
      </w:r>
      <w:r w:rsidR="00D61B90">
        <w:rPr>
          <w:rFonts w:eastAsia="Calibri"/>
        </w:rPr>
        <w:t>were not discussed</w:t>
      </w:r>
      <w:r w:rsidR="00087102">
        <w:rPr>
          <w:rFonts w:eastAsia="Calibri"/>
        </w:rPr>
        <w:t>.</w:t>
      </w:r>
      <w:r w:rsidR="00D61B90">
        <w:rPr>
          <w:rFonts w:eastAsia="Calibri"/>
        </w:rPr>
        <w:t xml:space="preserve"> </w:t>
      </w:r>
      <w:r w:rsidR="00087102">
        <w:rPr>
          <w:rFonts w:eastAsia="Calibri"/>
        </w:rPr>
        <w:t>W</w:t>
      </w:r>
      <w:r w:rsidR="00D61B90">
        <w:rPr>
          <w:rFonts w:eastAsia="Calibri"/>
        </w:rPr>
        <w:t>e think that the multiplexing priority of MPE P-MPR reporting should be higher than that of PHR</w:t>
      </w:r>
      <w:r w:rsidR="00087102">
        <w:rPr>
          <w:rFonts w:eastAsia="Calibri"/>
        </w:rPr>
        <w:t xml:space="preserve"> to allow sending the MAC CE quickly.</w:t>
      </w:r>
    </w:p>
    <w:p w14:paraId="4E90F765" w14:textId="7AECDB23" w:rsidR="00087102" w:rsidRPr="00087102" w:rsidRDefault="00087102" w:rsidP="00845D55">
      <w:pPr>
        <w:jc w:val="both"/>
        <w:rPr>
          <w:rFonts w:eastAsia="Calibri"/>
          <w:b/>
          <w:bCs/>
        </w:rPr>
      </w:pPr>
      <w:r w:rsidRPr="00AE35F5">
        <w:rPr>
          <w:rFonts w:eastAsia="Calibri"/>
          <w:b/>
          <w:bCs/>
        </w:rPr>
        <w:t xml:space="preserve">Proposal </w:t>
      </w:r>
      <w:r>
        <w:rPr>
          <w:rFonts w:eastAsia="Calibri"/>
          <w:b/>
          <w:bCs/>
        </w:rPr>
        <w:t>5</w:t>
      </w:r>
      <w:r w:rsidRPr="00AE35F5">
        <w:rPr>
          <w:rFonts w:eastAsia="Calibri"/>
          <w:b/>
          <w:bCs/>
        </w:rPr>
        <w:t xml:space="preserve">: </w:t>
      </w:r>
      <w:r>
        <w:rPr>
          <w:rFonts w:eastAsia="Calibri"/>
          <w:b/>
          <w:bCs/>
        </w:rPr>
        <w:t>Use higher multiplexing priority for the MAC CE containing MPE information</w:t>
      </w:r>
      <w:r w:rsidR="0086789C">
        <w:rPr>
          <w:rFonts w:eastAsia="Calibri"/>
          <w:b/>
          <w:bCs/>
        </w:rPr>
        <w:t xml:space="preserve"> </w:t>
      </w:r>
      <w:r w:rsidR="0086789C">
        <w:rPr>
          <w:rFonts w:eastAsia="Calibri"/>
          <w:b/>
          <w:bCs/>
        </w:rPr>
        <w:t>than for PHR MAC CE</w:t>
      </w:r>
      <w:r>
        <w:rPr>
          <w:rFonts w:eastAsia="Calibri"/>
          <w:b/>
          <w:bCs/>
        </w:rPr>
        <w:t>.</w:t>
      </w:r>
    </w:p>
    <w:p w14:paraId="4532B965" w14:textId="0F36013A" w:rsidR="00845D55" w:rsidRPr="00AE35F5" w:rsidRDefault="00845D55" w:rsidP="00845D55">
      <w:pPr>
        <w:jc w:val="both"/>
        <w:rPr>
          <w:rFonts w:eastAsia="Calibri"/>
        </w:rPr>
      </w:pPr>
      <w:r w:rsidRPr="00AE35F5">
        <w:rPr>
          <w:rFonts w:eastAsia="Calibri"/>
        </w:rPr>
        <w:t xml:space="preserve">To illustrate how these </w:t>
      </w:r>
      <w:r w:rsidR="003207EB" w:rsidRPr="00AE35F5">
        <w:rPr>
          <w:rFonts w:eastAsia="Calibri"/>
        </w:rPr>
        <w:t xml:space="preserve">proposals can be captured in specifications, </w:t>
      </w:r>
      <w:r w:rsidRPr="00AE35F5">
        <w:rPr>
          <w:rFonts w:eastAsia="Calibri"/>
        </w:rPr>
        <w:t xml:space="preserve">we have provided </w:t>
      </w:r>
      <w:r w:rsidR="003207EB" w:rsidRPr="00AE35F5">
        <w:rPr>
          <w:rFonts w:eastAsia="Calibri"/>
        </w:rPr>
        <w:t>example CRs</w:t>
      </w:r>
      <w:r w:rsidR="000350F5">
        <w:rPr>
          <w:rFonts w:eastAsia="Calibri"/>
        </w:rPr>
        <w:t xml:space="preserve"> </w:t>
      </w:r>
      <w:r w:rsidRPr="00AE35F5">
        <w:rPr>
          <w:rFonts w:eastAsia="Calibri"/>
        </w:rPr>
        <w:t xml:space="preserve">in </w:t>
      </w:r>
      <w:hyperlink r:id="rId17" w:history="1">
        <w:r w:rsidR="00050F83">
          <w:rPr>
            <w:rStyle w:val="Hyperlink"/>
            <w:rFonts w:eastAsia="Calibri"/>
          </w:rPr>
          <w:t>R2-2007379</w:t>
        </w:r>
      </w:hyperlink>
      <w:r w:rsidRPr="00AE35F5">
        <w:rPr>
          <w:rFonts w:eastAsia="Calibri"/>
        </w:rPr>
        <w:t xml:space="preserve"> (38.300), </w:t>
      </w:r>
      <w:hyperlink r:id="rId18" w:history="1">
        <w:r w:rsidR="00050F83">
          <w:rPr>
            <w:rStyle w:val="Hyperlink"/>
            <w:rFonts w:eastAsia="Calibri"/>
          </w:rPr>
          <w:t>R2-2007376</w:t>
        </w:r>
      </w:hyperlink>
      <w:r w:rsidRPr="00AE35F5">
        <w:rPr>
          <w:rFonts w:eastAsia="Calibri"/>
        </w:rPr>
        <w:t xml:space="preserve"> (38.331)</w:t>
      </w:r>
      <w:r w:rsidR="00A026E3">
        <w:rPr>
          <w:rFonts w:eastAsia="Calibri"/>
        </w:rPr>
        <w:t xml:space="preserve"> and</w:t>
      </w:r>
      <w:r w:rsidRPr="00AE35F5">
        <w:rPr>
          <w:rFonts w:eastAsia="Calibri"/>
        </w:rPr>
        <w:t xml:space="preserve"> </w:t>
      </w:r>
      <w:hyperlink r:id="rId19" w:history="1">
        <w:r w:rsidR="00050F83">
          <w:rPr>
            <w:rStyle w:val="Hyperlink"/>
            <w:rFonts w:eastAsia="Calibri"/>
          </w:rPr>
          <w:t>R2-2007377</w:t>
        </w:r>
      </w:hyperlink>
      <w:r w:rsidRPr="00AE35F5">
        <w:rPr>
          <w:rFonts w:eastAsia="Calibri"/>
        </w:rPr>
        <w:t xml:space="preserve"> (38.321)</w:t>
      </w:r>
      <w:r w:rsidR="00A026E3">
        <w:rPr>
          <w:rFonts w:eastAsia="Calibri"/>
        </w:rPr>
        <w:t>. For the sake of completeness, we have also provided</w:t>
      </w:r>
      <w:r w:rsidRPr="00AE35F5">
        <w:rPr>
          <w:rFonts w:eastAsia="Calibri"/>
        </w:rPr>
        <w:t xml:space="preserve"> </w:t>
      </w:r>
      <w:hyperlink r:id="rId20" w:history="1">
        <w:r w:rsidR="00050F83">
          <w:rPr>
            <w:rStyle w:val="Hyperlink"/>
            <w:rFonts w:eastAsia="Calibri"/>
          </w:rPr>
          <w:t>R2-2007378</w:t>
        </w:r>
      </w:hyperlink>
      <w:r w:rsidRPr="00AE35F5">
        <w:rPr>
          <w:rFonts w:eastAsia="Calibri"/>
        </w:rPr>
        <w:t xml:space="preserve"> (38.3</w:t>
      </w:r>
      <w:r w:rsidR="00A026E3">
        <w:rPr>
          <w:rFonts w:eastAsia="Calibri"/>
        </w:rPr>
        <w:t>21</w:t>
      </w:r>
      <w:r w:rsidRPr="00AE35F5">
        <w:rPr>
          <w:rFonts w:eastAsia="Calibri"/>
        </w:rPr>
        <w:t>)</w:t>
      </w:r>
      <w:r w:rsidR="00A026E3">
        <w:rPr>
          <w:rFonts w:eastAsia="Calibri"/>
        </w:rPr>
        <w:t xml:space="preserve"> to illustrate how the modifications to PHR reporting could be done, as this shows the complications rather well</w:t>
      </w:r>
      <w:r w:rsidRPr="00AE35F5">
        <w:rPr>
          <w:rFonts w:eastAsia="Calibri"/>
        </w:rPr>
        <w:t>.</w:t>
      </w:r>
      <w:r w:rsidR="00A026E3">
        <w:rPr>
          <w:rFonts w:eastAsia="Calibri"/>
        </w:rPr>
        <w:t xml:space="preserve"> </w:t>
      </w:r>
    </w:p>
    <w:p w14:paraId="45FF4024" w14:textId="0C46F567" w:rsidR="00845D55" w:rsidRPr="00050F83" w:rsidRDefault="00845D55" w:rsidP="00845D55">
      <w:pPr>
        <w:jc w:val="both"/>
        <w:rPr>
          <w:rFonts w:eastAsia="Calibri"/>
          <w:b/>
          <w:bCs/>
        </w:rPr>
      </w:pPr>
      <w:r w:rsidRPr="00050F83">
        <w:rPr>
          <w:rFonts w:eastAsia="Calibri"/>
          <w:b/>
          <w:bCs/>
        </w:rPr>
        <w:t xml:space="preserve">Proposal </w:t>
      </w:r>
      <w:r w:rsidR="00F44D97">
        <w:rPr>
          <w:rFonts w:eastAsia="Calibri"/>
          <w:b/>
          <w:bCs/>
        </w:rPr>
        <w:t>6</w:t>
      </w:r>
      <w:r w:rsidRPr="00050F83">
        <w:rPr>
          <w:rFonts w:eastAsia="Calibri"/>
          <w:b/>
          <w:bCs/>
        </w:rPr>
        <w:t xml:space="preserve">: </w:t>
      </w:r>
      <w:r w:rsidR="003207EB" w:rsidRPr="00050F83">
        <w:rPr>
          <w:rFonts w:eastAsia="Calibri"/>
          <w:b/>
          <w:bCs/>
        </w:rPr>
        <w:t>Agree to</w:t>
      </w:r>
      <w:r w:rsidRPr="00050F83">
        <w:rPr>
          <w:rFonts w:eastAsia="Calibri"/>
          <w:b/>
          <w:bCs/>
        </w:rPr>
        <w:t xml:space="preserve"> the CRs in </w:t>
      </w:r>
      <w:hyperlink r:id="rId21" w:history="1">
        <w:r w:rsidR="00050F83" w:rsidRPr="00050F83">
          <w:rPr>
            <w:rStyle w:val="Hyperlink"/>
            <w:rFonts w:eastAsia="Calibri"/>
            <w:b/>
            <w:bCs/>
          </w:rPr>
          <w:t>R2-2007379</w:t>
        </w:r>
      </w:hyperlink>
      <w:r w:rsidR="00050F83" w:rsidRPr="00050F83">
        <w:rPr>
          <w:rFonts w:eastAsia="Calibri"/>
          <w:b/>
          <w:bCs/>
        </w:rPr>
        <w:t xml:space="preserve"> (38.300), </w:t>
      </w:r>
      <w:hyperlink r:id="rId22" w:history="1">
        <w:r w:rsidR="00050F83" w:rsidRPr="00050F83">
          <w:rPr>
            <w:rStyle w:val="Hyperlink"/>
            <w:rFonts w:eastAsia="Calibri"/>
            <w:b/>
            <w:bCs/>
          </w:rPr>
          <w:t>R2-2007376</w:t>
        </w:r>
      </w:hyperlink>
      <w:r w:rsidR="00050F83" w:rsidRPr="00050F83">
        <w:rPr>
          <w:rFonts w:eastAsia="Calibri"/>
          <w:b/>
          <w:bCs/>
        </w:rPr>
        <w:t xml:space="preserve"> (38.331) and </w:t>
      </w:r>
      <w:hyperlink r:id="rId23" w:history="1">
        <w:r w:rsidR="00050F83" w:rsidRPr="00050F83">
          <w:rPr>
            <w:rStyle w:val="Hyperlink"/>
            <w:rFonts w:eastAsia="Calibri"/>
            <w:b/>
            <w:bCs/>
          </w:rPr>
          <w:t>R2-2007377</w:t>
        </w:r>
      </w:hyperlink>
      <w:r w:rsidR="00050F83" w:rsidRPr="00050F83">
        <w:rPr>
          <w:rFonts w:eastAsia="Calibri"/>
          <w:b/>
          <w:bCs/>
        </w:rPr>
        <w:t xml:space="preserve"> (38.321) </w:t>
      </w:r>
      <w:r w:rsidR="00A026E3" w:rsidRPr="00050F83">
        <w:rPr>
          <w:rFonts w:eastAsia="Calibri"/>
          <w:b/>
          <w:bCs/>
        </w:rPr>
        <w:t>for the FR2 MPE P-MPE reporting</w:t>
      </w:r>
      <w:r w:rsidR="003207EB" w:rsidRPr="00050F83">
        <w:rPr>
          <w:rFonts w:eastAsia="Calibri"/>
          <w:b/>
          <w:bCs/>
        </w:rPr>
        <w:t>.</w:t>
      </w:r>
    </w:p>
    <w:p w14:paraId="5AB6151F" w14:textId="77777777" w:rsidR="00AD407E" w:rsidRPr="00AE35F5" w:rsidRDefault="00AD407E" w:rsidP="00A303C6">
      <w:pPr>
        <w:pStyle w:val="Heading1"/>
        <w:numPr>
          <w:ilvl w:val="0"/>
          <w:numId w:val="14"/>
        </w:numPr>
        <w:ind w:left="851" w:hanging="851"/>
      </w:pPr>
      <w:r w:rsidRPr="00AE35F5">
        <w:lastRenderedPageBreak/>
        <w:t>Conclusion</w:t>
      </w:r>
      <w:r w:rsidR="00D54079" w:rsidRPr="00AE35F5">
        <w:t>s</w:t>
      </w:r>
    </w:p>
    <w:p w14:paraId="16551A1C" w14:textId="602E6729" w:rsidR="00494AAB" w:rsidRPr="00AE35F5" w:rsidRDefault="00494AAB" w:rsidP="00B941A1">
      <w:r w:rsidRPr="00AE35F5">
        <w:t xml:space="preserve">In this contribution we have provided background for the RAN4 work of Rel-16 FR2 UE MPE enhancements and needed MAC-CE </w:t>
      </w:r>
      <w:r w:rsidR="00FC1B66" w:rsidRPr="00FC1B66">
        <w:t>signalling</w:t>
      </w:r>
      <w:r w:rsidRPr="00AE35F5">
        <w:t xml:space="preserve"> solutions indicated in the RAN4 LS</w:t>
      </w:r>
      <w:r w:rsidR="000B36C9" w:rsidRPr="00AE35F5">
        <w:t>s</w:t>
      </w:r>
      <w:r w:rsidRPr="00AE35F5">
        <w:t xml:space="preserve"> in [2]</w:t>
      </w:r>
      <w:r w:rsidR="00F36265" w:rsidRPr="00AE35F5">
        <w:t>,</w:t>
      </w:r>
      <w:r w:rsidR="000B36C9" w:rsidRPr="00AE35F5">
        <w:t>[8]</w:t>
      </w:r>
      <w:r w:rsidR="00F36265" w:rsidRPr="00AE35F5">
        <w:t xml:space="preserve"> and [10]</w:t>
      </w:r>
      <w:r w:rsidRPr="00AE35F5">
        <w:t xml:space="preserve">. </w:t>
      </w:r>
    </w:p>
    <w:p w14:paraId="6A92E64A" w14:textId="77777777" w:rsidR="00A026E3" w:rsidRPr="00A026E3" w:rsidRDefault="00A026E3" w:rsidP="00A026E3">
      <w:pPr>
        <w:jc w:val="both"/>
        <w:rPr>
          <w:b/>
          <w:bCs/>
        </w:rPr>
      </w:pPr>
      <w:r w:rsidRPr="00A026E3">
        <w:rPr>
          <w:b/>
          <w:bCs/>
        </w:rPr>
        <w:t>Observation 1: Until RAN4 indicates otherwise, RAN2 has to assume 4 bits for the P-MPR reporting as this allows all possible value ranges.</w:t>
      </w:r>
    </w:p>
    <w:p w14:paraId="20998338" w14:textId="77777777" w:rsidR="00A026E3" w:rsidRPr="00A026E3" w:rsidRDefault="00A026E3" w:rsidP="00A026E3">
      <w:pPr>
        <w:jc w:val="both"/>
        <w:rPr>
          <w:rFonts w:eastAsia="Calibri"/>
          <w:b/>
          <w:bCs/>
        </w:rPr>
      </w:pPr>
      <w:r w:rsidRPr="00A026E3">
        <w:rPr>
          <w:rFonts w:eastAsia="Calibri"/>
          <w:b/>
          <w:bCs/>
        </w:rPr>
        <w:t xml:space="preserve">Observation 2: The benefit of new MAC CE is that it’s easier to specify the functionality without (inadvertently) causing any modifications to existing PHR triggering. </w:t>
      </w:r>
    </w:p>
    <w:p w14:paraId="3C4BC91F" w14:textId="77777777" w:rsidR="00A026E3" w:rsidRPr="00A026E3" w:rsidRDefault="00A026E3" w:rsidP="00A026E3">
      <w:pPr>
        <w:jc w:val="both"/>
        <w:rPr>
          <w:rFonts w:eastAsia="Calibri"/>
          <w:b/>
          <w:bCs/>
        </w:rPr>
      </w:pPr>
      <w:r w:rsidRPr="00A026E3">
        <w:rPr>
          <w:rFonts w:eastAsia="Calibri"/>
          <w:b/>
          <w:bCs/>
        </w:rPr>
        <w:t>Observation 3: The benefit of reusing PHR is that the MAC CE would contain more information to be transmitted to network at once.</w:t>
      </w:r>
    </w:p>
    <w:p w14:paraId="426F7291" w14:textId="6DEC984C" w:rsidR="00A026E3" w:rsidRPr="00A026E3" w:rsidRDefault="00A026E3" w:rsidP="00A026E3">
      <w:pPr>
        <w:jc w:val="both"/>
        <w:rPr>
          <w:rFonts w:eastAsia="Calibri"/>
          <w:b/>
          <w:bCs/>
        </w:rPr>
      </w:pPr>
      <w:r w:rsidRPr="00A026E3">
        <w:rPr>
          <w:rFonts w:eastAsia="Calibri"/>
          <w:b/>
          <w:bCs/>
        </w:rPr>
        <w:t>Observation 4: The benefit of reusing PHR are almost non-existent and carry a risk of creating errors for the legacy PHR reporting procedures.</w:t>
      </w:r>
    </w:p>
    <w:p w14:paraId="5CD9631F" w14:textId="77777777" w:rsidR="00A026E3" w:rsidRPr="00A026E3" w:rsidRDefault="00A026E3" w:rsidP="00A026E3">
      <w:pPr>
        <w:jc w:val="both"/>
        <w:rPr>
          <w:rFonts w:eastAsia="Calibri"/>
          <w:b/>
          <w:bCs/>
        </w:rPr>
      </w:pPr>
      <w:r w:rsidRPr="00A026E3">
        <w:rPr>
          <w:rFonts w:eastAsia="Calibri"/>
          <w:b/>
          <w:bCs/>
        </w:rPr>
        <w:t>Proposal 1: Adopt new MAC CE for FR2 MPE P-MPR reporting.</w:t>
      </w:r>
    </w:p>
    <w:p w14:paraId="1ABC8EC1" w14:textId="77777777" w:rsidR="00A026E3" w:rsidRPr="00AE35F5" w:rsidRDefault="00A026E3" w:rsidP="00A026E3">
      <w:pPr>
        <w:jc w:val="both"/>
        <w:rPr>
          <w:rFonts w:eastAsia="Calibri"/>
          <w:b/>
          <w:bCs/>
        </w:rPr>
      </w:pPr>
      <w:r w:rsidRPr="00AE35F5">
        <w:rPr>
          <w:rFonts w:eastAsia="Calibri"/>
          <w:b/>
          <w:bCs/>
        </w:rPr>
        <w:t xml:space="preserve">Proposal </w:t>
      </w:r>
      <w:r>
        <w:rPr>
          <w:rFonts w:eastAsia="Calibri"/>
          <w:b/>
          <w:bCs/>
        </w:rPr>
        <w:t>2</w:t>
      </w:r>
      <w:r w:rsidRPr="00AE35F5">
        <w:rPr>
          <w:rFonts w:eastAsia="Calibri"/>
          <w:b/>
          <w:bCs/>
        </w:rPr>
        <w:t xml:space="preserve">: Define </w:t>
      </w:r>
      <w:r>
        <w:rPr>
          <w:rFonts w:eastAsia="Calibri"/>
          <w:b/>
          <w:bCs/>
        </w:rPr>
        <w:t xml:space="preserve">the </w:t>
      </w:r>
      <w:r w:rsidRPr="00AE35F5">
        <w:rPr>
          <w:rFonts w:eastAsia="Calibri"/>
          <w:b/>
          <w:bCs/>
        </w:rPr>
        <w:t xml:space="preserve">event-based FR2 MPE P-MPR reporting in MAC that triggers when P-MPR &gt; P-MPR_Threshold (MPE event occurs) or when P-MPR &lt; P-MPR_Threshold (e.g. similar to </w:t>
      </w:r>
      <w:r w:rsidRPr="00AE35F5">
        <w:rPr>
          <w:rFonts w:eastAsia="Calibri"/>
          <w:b/>
          <w:bCs/>
          <w:i/>
          <w:iCs/>
        </w:rPr>
        <w:t>reportOnLeave</w:t>
      </w:r>
      <w:r w:rsidRPr="00AE35F5">
        <w:rPr>
          <w:rFonts w:eastAsia="Calibri"/>
          <w:b/>
          <w:bCs/>
        </w:rPr>
        <w:t xml:space="preserve"> for RRM).</w:t>
      </w:r>
    </w:p>
    <w:p w14:paraId="4EBD4A92" w14:textId="77777777" w:rsidR="00A026E3" w:rsidRPr="00AE35F5" w:rsidRDefault="00A026E3" w:rsidP="00A026E3">
      <w:pPr>
        <w:jc w:val="both"/>
        <w:rPr>
          <w:rFonts w:eastAsia="Calibri"/>
          <w:b/>
          <w:bCs/>
        </w:rPr>
      </w:pPr>
      <w:r w:rsidRPr="00AE35F5">
        <w:rPr>
          <w:rFonts w:eastAsia="Calibri"/>
          <w:b/>
          <w:bCs/>
        </w:rPr>
        <w:t xml:space="preserve">Proposal </w:t>
      </w:r>
      <w:r>
        <w:rPr>
          <w:rFonts w:eastAsia="Calibri"/>
          <w:b/>
          <w:bCs/>
        </w:rPr>
        <w:t>3</w:t>
      </w:r>
      <w:r w:rsidRPr="00AE35F5">
        <w:rPr>
          <w:rFonts w:eastAsia="Calibri"/>
          <w:b/>
          <w:bCs/>
        </w:rPr>
        <w:t>: Allow network to request UE to report the FR2 MPE status even when not configured with FR2 serving cells.</w:t>
      </w:r>
    </w:p>
    <w:p w14:paraId="4EE28F51" w14:textId="77777777" w:rsidR="00A026E3" w:rsidRPr="00AE35F5" w:rsidRDefault="00A026E3" w:rsidP="00A026E3">
      <w:pPr>
        <w:jc w:val="both"/>
        <w:rPr>
          <w:rFonts w:eastAsia="Calibri"/>
          <w:b/>
          <w:bCs/>
        </w:rPr>
      </w:pPr>
      <w:r w:rsidRPr="00AE35F5">
        <w:rPr>
          <w:rFonts w:eastAsia="Calibri"/>
          <w:b/>
          <w:bCs/>
        </w:rPr>
        <w:t xml:space="preserve">Proposal </w:t>
      </w:r>
      <w:r>
        <w:rPr>
          <w:rFonts w:eastAsia="Calibri"/>
          <w:b/>
          <w:bCs/>
        </w:rPr>
        <w:t>4</w:t>
      </w:r>
      <w:r w:rsidRPr="00AE35F5">
        <w:rPr>
          <w:rFonts w:eastAsia="Calibri"/>
          <w:b/>
          <w:bCs/>
        </w:rPr>
        <w:t>: Allow FR2 MPE P-MPR MAC CE to trigger SR if the P-MPR value &gt; SR_threshold.</w:t>
      </w:r>
    </w:p>
    <w:p w14:paraId="6D2B5384" w14:textId="77777777" w:rsidR="0086789C" w:rsidRPr="00087102" w:rsidRDefault="0086789C" w:rsidP="0086789C">
      <w:pPr>
        <w:jc w:val="both"/>
        <w:rPr>
          <w:rFonts w:eastAsia="Calibri"/>
          <w:b/>
          <w:bCs/>
        </w:rPr>
      </w:pPr>
      <w:r w:rsidRPr="00AE35F5">
        <w:rPr>
          <w:rFonts w:eastAsia="Calibri"/>
          <w:b/>
          <w:bCs/>
        </w:rPr>
        <w:t xml:space="preserve">Proposal </w:t>
      </w:r>
      <w:r>
        <w:rPr>
          <w:rFonts w:eastAsia="Calibri"/>
          <w:b/>
          <w:bCs/>
        </w:rPr>
        <w:t>5</w:t>
      </w:r>
      <w:r w:rsidRPr="00AE35F5">
        <w:rPr>
          <w:rFonts w:eastAsia="Calibri"/>
          <w:b/>
          <w:bCs/>
        </w:rPr>
        <w:t xml:space="preserve">: </w:t>
      </w:r>
      <w:r>
        <w:rPr>
          <w:rFonts w:eastAsia="Calibri"/>
          <w:b/>
          <w:bCs/>
        </w:rPr>
        <w:t>Use higher multiplexing priority for the MAC CE containing MPE information than for PHR MAC CE.</w:t>
      </w:r>
    </w:p>
    <w:p w14:paraId="360161F4" w14:textId="4EC98659" w:rsidR="00650627" w:rsidRPr="00050F83" w:rsidRDefault="00650627" w:rsidP="00650627">
      <w:pPr>
        <w:jc w:val="both"/>
        <w:rPr>
          <w:rFonts w:eastAsia="Calibri"/>
          <w:b/>
          <w:bCs/>
        </w:rPr>
      </w:pPr>
      <w:r w:rsidRPr="00050F83">
        <w:rPr>
          <w:rFonts w:eastAsia="Calibri"/>
          <w:b/>
          <w:bCs/>
        </w:rPr>
        <w:t xml:space="preserve">Proposal </w:t>
      </w:r>
      <w:r w:rsidR="00087102">
        <w:rPr>
          <w:rFonts w:eastAsia="Calibri"/>
          <w:b/>
          <w:bCs/>
        </w:rPr>
        <w:t>6</w:t>
      </w:r>
      <w:r w:rsidRPr="00050F83">
        <w:rPr>
          <w:rFonts w:eastAsia="Calibri"/>
          <w:b/>
          <w:bCs/>
        </w:rPr>
        <w:t xml:space="preserve">: Agree to the CRs in </w:t>
      </w:r>
      <w:hyperlink r:id="rId24" w:history="1">
        <w:r w:rsidRPr="00050F83">
          <w:rPr>
            <w:rStyle w:val="Hyperlink"/>
            <w:rFonts w:eastAsia="Calibri"/>
            <w:b/>
            <w:bCs/>
          </w:rPr>
          <w:t>R2-2007379</w:t>
        </w:r>
      </w:hyperlink>
      <w:r w:rsidRPr="00050F83">
        <w:rPr>
          <w:rFonts w:eastAsia="Calibri"/>
          <w:b/>
          <w:bCs/>
        </w:rPr>
        <w:t xml:space="preserve"> (38.300), </w:t>
      </w:r>
      <w:hyperlink r:id="rId25" w:history="1">
        <w:r w:rsidRPr="00050F83">
          <w:rPr>
            <w:rStyle w:val="Hyperlink"/>
            <w:rFonts w:eastAsia="Calibri"/>
            <w:b/>
            <w:bCs/>
          </w:rPr>
          <w:t>R2-2007376</w:t>
        </w:r>
      </w:hyperlink>
      <w:r w:rsidRPr="00050F83">
        <w:rPr>
          <w:rFonts w:eastAsia="Calibri"/>
          <w:b/>
          <w:bCs/>
        </w:rPr>
        <w:t xml:space="preserve"> (38.331) and </w:t>
      </w:r>
      <w:hyperlink r:id="rId26" w:history="1">
        <w:r w:rsidRPr="00050F83">
          <w:rPr>
            <w:rStyle w:val="Hyperlink"/>
            <w:rFonts w:eastAsia="Calibri"/>
            <w:b/>
            <w:bCs/>
          </w:rPr>
          <w:t>R2-2007377</w:t>
        </w:r>
      </w:hyperlink>
      <w:r w:rsidRPr="00050F83">
        <w:rPr>
          <w:rFonts w:eastAsia="Calibri"/>
          <w:b/>
          <w:bCs/>
        </w:rPr>
        <w:t xml:space="preserve"> (38.321) for the FR2 MPE P-MPE reporting.</w:t>
      </w:r>
    </w:p>
    <w:p w14:paraId="59D76176" w14:textId="77777777" w:rsidR="00AD407E" w:rsidRPr="00AE35F5" w:rsidRDefault="00AD407E" w:rsidP="00E703D6">
      <w:pPr>
        <w:pStyle w:val="Heading1"/>
        <w:jc w:val="both"/>
      </w:pPr>
      <w:r w:rsidRPr="00AE35F5">
        <w:t>References</w:t>
      </w:r>
    </w:p>
    <w:p w14:paraId="36C2DC09" w14:textId="77777777" w:rsidR="00BC1B38" w:rsidRPr="00AE35F5" w:rsidRDefault="00A76B28" w:rsidP="006769EA">
      <w:pPr>
        <w:numPr>
          <w:ilvl w:val="0"/>
          <w:numId w:val="13"/>
        </w:numPr>
        <w:overflowPunct/>
        <w:autoSpaceDE/>
        <w:autoSpaceDN/>
        <w:adjustRightInd/>
        <w:spacing w:after="160" w:line="259" w:lineRule="auto"/>
        <w:jc w:val="both"/>
        <w:textAlignment w:val="auto"/>
      </w:pPr>
      <w:hyperlink r:id="rId27" w:history="1">
        <w:r w:rsidR="007D0866" w:rsidRPr="00DE78CC">
          <w:rPr>
            <w:rStyle w:val="Hyperlink"/>
            <w:rFonts w:cs="Arial"/>
          </w:rPr>
          <w:t>RP-200246</w:t>
        </w:r>
      </w:hyperlink>
      <w:r w:rsidR="006769EA" w:rsidRPr="00AE35F5">
        <w:t>, Revised WID on NR RF Requirement Enhancements for FR2, Nokia, Nokia Shanghai Bell</w:t>
      </w:r>
    </w:p>
    <w:p w14:paraId="6C801BE2" w14:textId="112783C2" w:rsidR="00F355C8" w:rsidRPr="00AE35F5" w:rsidRDefault="00A76B28" w:rsidP="00F355C8">
      <w:pPr>
        <w:numPr>
          <w:ilvl w:val="0"/>
          <w:numId w:val="13"/>
        </w:numPr>
        <w:overflowPunct/>
        <w:autoSpaceDE/>
        <w:autoSpaceDN/>
        <w:adjustRightInd/>
        <w:spacing w:after="160" w:line="259" w:lineRule="auto"/>
        <w:jc w:val="both"/>
        <w:textAlignment w:val="auto"/>
      </w:pPr>
      <w:hyperlink r:id="rId28" w:history="1">
        <w:r w:rsidR="005C6303" w:rsidRPr="00AE35F5">
          <w:rPr>
            <w:rStyle w:val="Hyperlink"/>
          </w:rPr>
          <w:t>R2-2000046 (R4-1916183)</w:t>
        </w:r>
      </w:hyperlink>
      <w:r w:rsidR="00F355C8" w:rsidRPr="00AE35F5">
        <w:t>, LS to RAN2 on MPE, RAN4</w:t>
      </w:r>
    </w:p>
    <w:p w14:paraId="09BAAC69" w14:textId="513E4FA6" w:rsidR="00F355C8" w:rsidRPr="00AE35F5" w:rsidRDefault="00A76B28" w:rsidP="00F355C8">
      <w:pPr>
        <w:numPr>
          <w:ilvl w:val="0"/>
          <w:numId w:val="13"/>
        </w:numPr>
        <w:overflowPunct/>
        <w:autoSpaceDE/>
        <w:autoSpaceDN/>
        <w:adjustRightInd/>
        <w:spacing w:after="160" w:line="259" w:lineRule="auto"/>
        <w:jc w:val="both"/>
        <w:textAlignment w:val="auto"/>
      </w:pPr>
      <w:hyperlink r:id="rId29" w:history="1">
        <w:r w:rsidR="00F355C8" w:rsidRPr="00AE35F5">
          <w:rPr>
            <w:rStyle w:val="Hyperlink"/>
          </w:rPr>
          <w:t>R4-1913057</w:t>
        </w:r>
      </w:hyperlink>
      <w:r w:rsidR="00F355C8" w:rsidRPr="00AE35F5">
        <w:t>, WF on FR2 MPE Enhancement, Qualcomm Incorporated</w:t>
      </w:r>
    </w:p>
    <w:p w14:paraId="5974DCA2" w14:textId="4E9E82EC" w:rsidR="00EF39D7" w:rsidRPr="00AE35F5" w:rsidRDefault="00A76B28" w:rsidP="001A6C55">
      <w:pPr>
        <w:numPr>
          <w:ilvl w:val="0"/>
          <w:numId w:val="13"/>
        </w:numPr>
        <w:overflowPunct/>
        <w:autoSpaceDE/>
        <w:autoSpaceDN/>
        <w:adjustRightInd/>
        <w:spacing w:after="160" w:line="259" w:lineRule="auto"/>
        <w:jc w:val="both"/>
        <w:textAlignment w:val="auto"/>
      </w:pPr>
      <w:hyperlink r:id="rId30" w:history="1">
        <w:r w:rsidR="00EF39D7" w:rsidRPr="00AE35F5">
          <w:rPr>
            <w:rStyle w:val="Hyperlink"/>
          </w:rPr>
          <w:t>R4-1916170</w:t>
        </w:r>
      </w:hyperlink>
      <w:r w:rsidR="00B941A1" w:rsidRPr="00AE35F5">
        <w:t>,</w:t>
      </w:r>
      <w:r w:rsidR="00EF39D7" w:rsidRPr="00AE35F5">
        <w:t xml:space="preserve"> WF on MPE enhancement on FR2, Qualcomm</w:t>
      </w:r>
    </w:p>
    <w:p w14:paraId="73411E4C" w14:textId="263FBE3F" w:rsidR="00C75C83" w:rsidRPr="00AE35F5" w:rsidRDefault="00A76B28" w:rsidP="00C75C83">
      <w:pPr>
        <w:numPr>
          <w:ilvl w:val="0"/>
          <w:numId w:val="13"/>
        </w:numPr>
        <w:overflowPunct/>
        <w:autoSpaceDE/>
        <w:autoSpaceDN/>
        <w:adjustRightInd/>
        <w:spacing w:after="160" w:line="259" w:lineRule="auto"/>
        <w:textAlignment w:val="auto"/>
      </w:pPr>
      <w:hyperlink r:id="rId31" w:history="1">
        <w:r w:rsidR="00C75C83" w:rsidRPr="00AE35F5">
          <w:rPr>
            <w:rStyle w:val="Hyperlink"/>
          </w:rPr>
          <w:t>R4-1911526</w:t>
        </w:r>
      </w:hyperlink>
      <w:r w:rsidR="00C75C83" w:rsidRPr="00AE35F5">
        <w:t>, FR2 MPE mitigation solutions, Nokia, Nokia Shanghai Bell</w:t>
      </w:r>
    </w:p>
    <w:p w14:paraId="24343595" w14:textId="1CFA2128" w:rsidR="00C24EBF" w:rsidRPr="00AE35F5" w:rsidRDefault="00A76B28" w:rsidP="00C24EBF">
      <w:pPr>
        <w:numPr>
          <w:ilvl w:val="0"/>
          <w:numId w:val="13"/>
        </w:numPr>
        <w:overflowPunct/>
        <w:autoSpaceDE/>
        <w:autoSpaceDN/>
        <w:adjustRightInd/>
        <w:spacing w:after="160" w:line="259" w:lineRule="auto"/>
        <w:jc w:val="both"/>
        <w:textAlignment w:val="auto"/>
      </w:pPr>
      <w:hyperlink r:id="rId32" w:history="1">
        <w:r w:rsidR="00C24EBF" w:rsidRPr="00AE35F5">
          <w:rPr>
            <w:rStyle w:val="Hyperlink"/>
          </w:rPr>
          <w:t>R4-1910278</w:t>
        </w:r>
      </w:hyperlink>
      <w:r w:rsidR="00C24EBF" w:rsidRPr="00AE35F5">
        <w:t>, Mitigating Radio Link Failures due to MPE on FR2, Nokia, Nokia Shanghai Bell</w:t>
      </w:r>
    </w:p>
    <w:p w14:paraId="01F8653B" w14:textId="416764E8" w:rsidR="00C24EBF" w:rsidRPr="00AE35F5" w:rsidRDefault="00A76B28" w:rsidP="00EE339D">
      <w:pPr>
        <w:numPr>
          <w:ilvl w:val="0"/>
          <w:numId w:val="13"/>
        </w:numPr>
        <w:overflowPunct/>
        <w:autoSpaceDE/>
        <w:autoSpaceDN/>
        <w:adjustRightInd/>
        <w:spacing w:after="160" w:line="259" w:lineRule="auto"/>
        <w:jc w:val="both"/>
        <w:textAlignment w:val="auto"/>
      </w:pPr>
      <w:hyperlink r:id="rId33" w:history="1">
        <w:r w:rsidR="00CC325B" w:rsidRPr="00AE35F5">
          <w:rPr>
            <w:rStyle w:val="Hyperlink"/>
          </w:rPr>
          <w:t>R4-1907994</w:t>
        </w:r>
      </w:hyperlink>
      <w:r w:rsidR="00CC325B" w:rsidRPr="00AE35F5">
        <w:t xml:space="preserve">, Improving connection reliability with increased communications about RX exposure situation, </w:t>
      </w:r>
      <w:r w:rsidR="00CC325B" w:rsidRPr="00DE78CC">
        <w:t>Qualcomm Incorporated</w:t>
      </w:r>
    </w:p>
    <w:p w14:paraId="31504294" w14:textId="14D74485" w:rsidR="00806B2D" w:rsidRPr="00AE35F5" w:rsidRDefault="00A76B28" w:rsidP="00806B2D">
      <w:pPr>
        <w:numPr>
          <w:ilvl w:val="0"/>
          <w:numId w:val="13"/>
        </w:numPr>
        <w:overflowPunct/>
        <w:autoSpaceDE/>
        <w:autoSpaceDN/>
        <w:adjustRightInd/>
        <w:spacing w:after="160" w:line="259" w:lineRule="auto"/>
        <w:jc w:val="both"/>
        <w:textAlignment w:val="auto"/>
      </w:pPr>
      <w:hyperlink r:id="rId34" w:history="1">
        <w:r w:rsidR="00806B2D" w:rsidRPr="00AE35F5">
          <w:rPr>
            <w:rStyle w:val="Hyperlink"/>
          </w:rPr>
          <w:t>R4-2002916</w:t>
        </w:r>
      </w:hyperlink>
      <w:r w:rsidR="00806B2D" w:rsidRPr="00AE35F5">
        <w:t>, LS on MPE enhancements, RAN4</w:t>
      </w:r>
    </w:p>
    <w:p w14:paraId="6F16FFCE" w14:textId="4559CC5E" w:rsidR="00E75919" w:rsidRPr="00AE35F5" w:rsidRDefault="00A76B28" w:rsidP="00E75919">
      <w:pPr>
        <w:numPr>
          <w:ilvl w:val="0"/>
          <w:numId w:val="13"/>
        </w:numPr>
        <w:overflowPunct/>
        <w:autoSpaceDE/>
        <w:autoSpaceDN/>
        <w:adjustRightInd/>
        <w:spacing w:after="160" w:line="259" w:lineRule="auto"/>
        <w:jc w:val="both"/>
        <w:textAlignment w:val="auto"/>
      </w:pPr>
      <w:hyperlink r:id="rId35" w:history="1">
        <w:r w:rsidR="00E75919" w:rsidRPr="00AE35F5">
          <w:rPr>
            <w:rStyle w:val="Hyperlink"/>
          </w:rPr>
          <w:t>R4-2002819</w:t>
        </w:r>
      </w:hyperlink>
      <w:r w:rsidR="00E75919" w:rsidRPr="00AE35F5">
        <w:t>, WF on MPE solutions, OPPO</w:t>
      </w:r>
    </w:p>
    <w:p w14:paraId="223DB153" w14:textId="41448603" w:rsidR="000F50C4" w:rsidRPr="00F476C4" w:rsidRDefault="00A76B28" w:rsidP="00E75919">
      <w:pPr>
        <w:numPr>
          <w:ilvl w:val="0"/>
          <w:numId w:val="13"/>
        </w:numPr>
        <w:overflowPunct/>
        <w:autoSpaceDE/>
        <w:autoSpaceDN/>
        <w:adjustRightInd/>
        <w:spacing w:after="160" w:line="259" w:lineRule="auto"/>
        <w:jc w:val="both"/>
        <w:textAlignment w:val="auto"/>
      </w:pPr>
      <w:hyperlink r:id="rId36" w:history="1">
        <w:r w:rsidR="000F50C4" w:rsidRPr="00AE35F5">
          <w:rPr>
            <w:rStyle w:val="Hyperlink"/>
          </w:rPr>
          <w:t>R2-2004341</w:t>
        </w:r>
      </w:hyperlink>
      <w:r w:rsidR="000F50C4" w:rsidRPr="00AE35F5">
        <w:t xml:space="preserve"> (</w:t>
      </w:r>
      <w:hyperlink r:id="rId37" w:history="1">
        <w:r w:rsidR="000F50C4" w:rsidRPr="00AE35F5">
          <w:rPr>
            <w:rStyle w:val="Hyperlink"/>
          </w:rPr>
          <w:t>R4-2005670</w:t>
        </w:r>
      </w:hyperlink>
      <w:r w:rsidR="000F50C4" w:rsidRPr="00AE35F5">
        <w:t xml:space="preserve">), </w:t>
      </w:r>
      <w:r w:rsidR="000F50C4" w:rsidRPr="00DE78CC">
        <w:t>LS on MPE enhancements, RAN4</w:t>
      </w:r>
    </w:p>
    <w:p w14:paraId="0D936DED" w14:textId="0F6A7A8A" w:rsidR="00AC761E" w:rsidRPr="00AE35F5" w:rsidRDefault="00A76B28" w:rsidP="00E75919">
      <w:pPr>
        <w:numPr>
          <w:ilvl w:val="0"/>
          <w:numId w:val="13"/>
        </w:numPr>
        <w:overflowPunct/>
        <w:autoSpaceDE/>
        <w:autoSpaceDN/>
        <w:adjustRightInd/>
        <w:spacing w:after="160" w:line="259" w:lineRule="auto"/>
        <w:jc w:val="both"/>
        <w:textAlignment w:val="auto"/>
      </w:pPr>
      <w:hyperlink r:id="rId38" w:history="1">
        <w:r w:rsidR="00AC761E" w:rsidRPr="00AE35F5">
          <w:rPr>
            <w:rStyle w:val="Hyperlink"/>
          </w:rPr>
          <w:t>R4-2005734</w:t>
        </w:r>
      </w:hyperlink>
      <w:r w:rsidR="00AC761E" w:rsidRPr="00AE35F5">
        <w:t xml:space="preserve">, </w:t>
      </w:r>
      <w:r w:rsidR="009720B2" w:rsidRPr="00AE35F5">
        <w:t>WF on MPE enhancements</w:t>
      </w:r>
      <w:r w:rsidR="00AC761E" w:rsidRPr="00AE35F5">
        <w:t>,</w:t>
      </w:r>
      <w:r w:rsidR="00AF1212" w:rsidRPr="00AE35F5">
        <w:t xml:space="preserve"> </w:t>
      </w:r>
      <w:r w:rsidR="00AC761E" w:rsidRPr="00AE35F5">
        <w:t>OPPO</w:t>
      </w:r>
    </w:p>
    <w:p w14:paraId="4903A643" w14:textId="2C0E249E" w:rsidR="003F53DA" w:rsidRPr="00DE78CC" w:rsidRDefault="003F53DA" w:rsidP="003F53DA">
      <w:pPr>
        <w:overflowPunct/>
        <w:autoSpaceDE/>
        <w:autoSpaceDN/>
        <w:adjustRightInd/>
        <w:spacing w:after="160" w:line="259" w:lineRule="auto"/>
        <w:jc w:val="both"/>
        <w:textAlignment w:val="auto"/>
      </w:pPr>
    </w:p>
    <w:p w14:paraId="3B90212B" w14:textId="77777777" w:rsidR="0072640A" w:rsidRPr="00AE35F5" w:rsidRDefault="0072640A">
      <w:pPr>
        <w:overflowPunct/>
        <w:autoSpaceDE/>
        <w:autoSpaceDN/>
        <w:adjustRightInd/>
        <w:spacing w:after="0"/>
        <w:textAlignment w:val="auto"/>
        <w:rPr>
          <w:rFonts w:ascii="Arial" w:hAnsi="Arial"/>
          <w:sz w:val="36"/>
        </w:rPr>
      </w:pPr>
      <w:r w:rsidRPr="00AE35F5">
        <w:br w:type="page"/>
      </w:r>
    </w:p>
    <w:p w14:paraId="4B238277" w14:textId="0F0B322A" w:rsidR="003F53DA" w:rsidRPr="00AE35F5" w:rsidRDefault="003F53DA" w:rsidP="003F53DA">
      <w:pPr>
        <w:pStyle w:val="Heading1"/>
        <w:jc w:val="both"/>
      </w:pPr>
      <w:r w:rsidRPr="00AE35F5">
        <w:lastRenderedPageBreak/>
        <w:t>Annex A: Background for FR2 UE MPE challenges and solutions</w:t>
      </w:r>
    </w:p>
    <w:p w14:paraId="4A73B21E" w14:textId="3E917184" w:rsidR="007660A0" w:rsidRPr="00AE35F5" w:rsidRDefault="003F53DA" w:rsidP="003F53DA">
      <w:pPr>
        <w:jc w:val="both"/>
        <w:rPr>
          <w:b/>
          <w:bCs/>
          <w:u w:val="single"/>
        </w:rPr>
      </w:pPr>
      <w:r w:rsidRPr="00AE35F5">
        <w:rPr>
          <w:b/>
          <w:bCs/>
          <w:u w:val="single"/>
        </w:rPr>
        <w:t xml:space="preserve">Note: This annex repeats the </w:t>
      </w:r>
      <w:r w:rsidR="007660A0" w:rsidRPr="00AE35F5">
        <w:rPr>
          <w:b/>
          <w:bCs/>
          <w:u w:val="single"/>
        </w:rPr>
        <w:t>text from R2-2002684 to illustrate the background for the MPE work so as to highlight its importance.</w:t>
      </w:r>
    </w:p>
    <w:p w14:paraId="2C50E3AD" w14:textId="70FAC53A" w:rsidR="003F53DA" w:rsidRPr="00DE78CC" w:rsidRDefault="003F53DA" w:rsidP="003F53DA">
      <w:pPr>
        <w:jc w:val="both"/>
        <w:rPr>
          <w:rFonts w:eastAsia="Calibri"/>
        </w:rPr>
      </w:pPr>
      <w:r w:rsidRPr="00AE35F5">
        <w:t xml:space="preserve">The Maximum Permissible Exposure (MPE) limit set by FCC aims at restricting the UE Tx power averaged over a defined period of time for limiting RF exposure on human body. For the UE FR2 MPE compliance the </w:t>
      </w:r>
      <w:r w:rsidRPr="00AE35F5">
        <w:rPr>
          <w:rFonts w:eastAsia="Calibri"/>
        </w:rPr>
        <w:t xml:space="preserve">Rel-15 specifications have defined P-MPR and </w:t>
      </w:r>
      <w:r w:rsidRPr="00AE35F5">
        <w:rPr>
          <w:rFonts w:eastAsia="Calibri"/>
          <w:i/>
        </w:rPr>
        <w:t>maxUplinkDutyCycle-FR2</w:t>
      </w:r>
      <w:r w:rsidRPr="00AE35F5">
        <w:rPr>
          <w:rFonts w:eastAsia="Calibri"/>
        </w:rPr>
        <w:t xml:space="preserve"> to allow UE to reduce transmit power as needed ( using P-MPR) and indicate its static UE capability </w:t>
      </w:r>
      <w:r w:rsidRPr="00DE78CC">
        <w:rPr>
          <w:i/>
        </w:rPr>
        <w:t xml:space="preserve">maxUplinkDutyCycle-FR2 </w:t>
      </w:r>
      <w:r w:rsidRPr="00FC1B66">
        <w:t xml:space="preserve">for </w:t>
      </w:r>
      <w:r w:rsidR="00C13438">
        <w:t>number</w:t>
      </w:r>
      <w:r w:rsidR="00C13438" w:rsidRPr="00795CB0">
        <w:t xml:space="preserve"> </w:t>
      </w:r>
      <w:r w:rsidRPr="00795CB0">
        <w:t>of uplink symbols the UE can transmit within any 1 s</w:t>
      </w:r>
      <w:r w:rsidR="00795CB0">
        <w:t>econd</w:t>
      </w:r>
      <w:r w:rsidRPr="00795CB0">
        <w:t xml:space="preserve"> evaluation period.  However, if the percentage of uplink symbols</w:t>
      </w:r>
      <w:r w:rsidRPr="008D4067">
        <w:t xml:space="preserve">, </w:t>
      </w:r>
      <w:r w:rsidRPr="00974207">
        <w:t xml:space="preserve">that needs to be </w:t>
      </w:r>
      <w:r w:rsidRPr="00CC4970">
        <w:t>transmitted within any 1 s evaluation period</w:t>
      </w:r>
      <w:r w:rsidRPr="00C13438">
        <w:t xml:space="preserve">, is larger than </w:t>
      </w:r>
      <w:r w:rsidRPr="00C13438">
        <w:rPr>
          <w:i/>
        </w:rPr>
        <w:t>maxUplinkDutyCycle-FR2</w:t>
      </w:r>
      <w:r w:rsidRPr="00C13438">
        <w:t>, the UE follows the uplink scheduling and can apply P-MPR</w:t>
      </w:r>
      <w:r w:rsidRPr="00234F4F">
        <w:t xml:space="preserve"> </w:t>
      </w:r>
      <w:r w:rsidRPr="00234F4F">
        <w:rPr>
          <w:rFonts w:eastAsia="Calibri"/>
        </w:rPr>
        <w:t>for the MPE compliance.</w:t>
      </w:r>
    </w:p>
    <w:p w14:paraId="363B3286" w14:textId="77777777" w:rsidR="003F53DA" w:rsidRPr="00AE35F5" w:rsidRDefault="003F53DA" w:rsidP="003F53DA">
      <w:pPr>
        <w:jc w:val="both"/>
      </w:pPr>
      <w:r w:rsidRPr="00AE35F5">
        <w:t>The main concern with significant and unpredictable P-MPR restrictions is a high risk for RLFs, that occur often and are unpredictable. Depending on the array size, the distance at which an MPE event is triggered varies, as well as the power back-off value. For example, a 2x2 array requires at least 20 dB of power back-off when a user is located a few millimeters away from the antenna. Moreover, the MPE event is already triggered when the user is located 14 cm away from the serving panel, on the path of maximum power [6]. Given the large triggering distance of MPE events, power back-offs might happen rather frequently. Moreover, even UEs that can only meet the minimum requirement for PC3 may still require significant restriction on P-MPR and PC4 UEs require nearly 30 dB power reduction to be MPE compliant [2]. However, it would be desirable that FR2 practical UEs would perform better the minimum requirement, which means that these better UEs are also likely require larger P-MPR for MPE compliance when a user is located close to the device.</w:t>
      </w:r>
    </w:p>
    <w:p w14:paraId="180E0DE2" w14:textId="330C5C8A" w:rsidR="003F53DA" w:rsidRPr="00AE35F5" w:rsidRDefault="003F53DA" w:rsidP="003F53DA">
      <w:pPr>
        <w:jc w:val="both"/>
        <w:rPr>
          <w:b/>
        </w:rPr>
      </w:pPr>
      <w:r w:rsidRPr="00AE35F5">
        <w:rPr>
          <w:b/>
        </w:rPr>
        <w:t>Observation A: For FR2 UEs P-MPR restrictions due to MPE scenarios are significant, frequent and will likely lead to RLFs without mitigation solutions.</w:t>
      </w:r>
    </w:p>
    <w:p w14:paraId="6E374A5A" w14:textId="77777777" w:rsidR="003F53DA" w:rsidRPr="00AE35F5" w:rsidRDefault="003F53DA" w:rsidP="003F53DA">
      <w:pPr>
        <w:jc w:val="both"/>
        <w:rPr>
          <w:rFonts w:eastAsia="SimSun"/>
          <w:color w:val="000000"/>
          <w:kern w:val="2"/>
          <w:lang w:eastAsia="zh-CN"/>
        </w:rPr>
      </w:pPr>
      <w:r w:rsidRPr="00AE35F5">
        <w:t xml:space="preserve">In Rel-15 P-MPR and </w:t>
      </w:r>
      <w:r w:rsidRPr="00AE35F5">
        <w:rPr>
          <w:rFonts w:eastAsia="SimSun"/>
          <w:i/>
          <w:color w:val="000000"/>
          <w:kern w:val="2"/>
          <w:lang w:eastAsia="zh-CN"/>
        </w:rPr>
        <w:t xml:space="preserve">maxUplinkDutyCycle-FR2 </w:t>
      </w:r>
      <w:r w:rsidRPr="00AE35F5">
        <w:t xml:space="preserve">have been specified as mechanisms for the UE to meet the requirements on MPE. The UE might use a restriction on P-MPR or on </w:t>
      </w:r>
      <w:r w:rsidRPr="00AE35F5">
        <w:rPr>
          <w:rFonts w:eastAsia="SimSun"/>
          <w:i/>
          <w:color w:val="000000"/>
          <w:kern w:val="2"/>
          <w:lang w:eastAsia="zh-CN"/>
        </w:rPr>
        <w:t>maxUplinkDutyCycle-FR2</w:t>
      </w:r>
      <w:r w:rsidRPr="00AE35F5">
        <w:t xml:space="preserve"> to address MPE limits, or on both simultaneously. Nevertheless, MPE being a time averaged limit, for a required power back-off as high as 20 dB, even reducing the </w:t>
      </w:r>
      <w:r w:rsidRPr="00AE35F5">
        <w:rPr>
          <w:rFonts w:eastAsia="SimSun"/>
          <w:i/>
          <w:color w:val="000000"/>
          <w:kern w:val="2"/>
          <w:lang w:eastAsia="zh-CN"/>
        </w:rPr>
        <w:t>maxUplinkDutyCycle-FR2</w:t>
      </w:r>
      <w:r w:rsidRPr="00AE35F5">
        <w:rPr>
          <w:rFonts w:eastAsia="SimSun"/>
          <w:color w:val="000000"/>
          <w:kern w:val="2"/>
          <w:lang w:eastAsia="zh-CN"/>
        </w:rPr>
        <w:t xml:space="preserve"> to 25% would only help the P-MPR restriction by 6 dB, thus 14 dB of power back-off are still required to comply with MPE. This UL power drop is still likely to cause an RLF. </w:t>
      </w:r>
    </w:p>
    <w:p w14:paraId="5A2C41D3" w14:textId="4655A84C" w:rsidR="003F53DA" w:rsidRPr="00AE35F5" w:rsidRDefault="003F53DA" w:rsidP="003F53DA">
      <w:pPr>
        <w:jc w:val="both"/>
        <w:rPr>
          <w:b/>
        </w:rPr>
      </w:pPr>
      <w:r w:rsidRPr="00AE35F5">
        <w:rPr>
          <w:b/>
        </w:rPr>
        <w:t xml:space="preserve">Observation B: UL Duty cycle restriction alone is not always enough to address MPE requirements. In most cases, a P-MPR restriction needs to be applied on top of the </w:t>
      </w:r>
      <w:r w:rsidRPr="00AE35F5">
        <w:rPr>
          <w:b/>
          <w:i/>
        </w:rPr>
        <w:t xml:space="preserve">maxUplinkDutyCycle-FR2 </w:t>
      </w:r>
      <w:r w:rsidRPr="00AE35F5">
        <w:rPr>
          <w:b/>
        </w:rPr>
        <w:t>restriction.</w:t>
      </w:r>
    </w:p>
    <w:p w14:paraId="6EE6217A" w14:textId="77777777" w:rsidR="003F53DA" w:rsidRPr="00AE35F5" w:rsidRDefault="003F53DA" w:rsidP="003F53DA">
      <w:pPr>
        <w:jc w:val="both"/>
      </w:pPr>
      <w:r w:rsidRPr="00AE35F5">
        <w:t>Figure 1 relates the distance between the user and the antenna to the maximum allowed EIRP to comply with MPE; it further relates the allowed EIRP to the UE range in a Line-Of-Sight (LOS) scenario at 28 GHz (</w:t>
      </w:r>
      <w:r w:rsidRPr="00DE78CC">
        <w:t xml:space="preserve">n257, </w:t>
      </w:r>
      <w:r w:rsidRPr="00FC1B66">
        <w:t xml:space="preserve">n258 and </w:t>
      </w:r>
      <w:r w:rsidRPr="00795CB0">
        <w:t>n261)</w:t>
      </w:r>
      <w:r w:rsidRPr="00AE35F5">
        <w:t>. PC3 UEs are capable of EIRP between 22.4 dBm and 34 dBm. The values plotted below are for realistic EIRP capabilities in the near future and exemplifies a UE exhibiting 28 dBm max EIRP.</w:t>
      </w:r>
    </w:p>
    <w:p w14:paraId="0D9F3FC2" w14:textId="77777777" w:rsidR="003F53DA" w:rsidRPr="00AE35F5" w:rsidRDefault="003F53DA" w:rsidP="003F53DA">
      <w:pPr>
        <w:ind w:left="1136" w:hanging="1136"/>
        <w:jc w:val="center"/>
      </w:pPr>
      <w:r w:rsidRPr="00AE35F5">
        <w:rPr>
          <w:noProof/>
        </w:rPr>
        <mc:AlternateContent>
          <mc:Choice Requires="wps">
            <w:drawing>
              <wp:anchor distT="0" distB="0" distL="114300" distR="114300" simplePos="0" relativeHeight="251658240" behindDoc="0" locked="0" layoutInCell="1" allowOverlap="1" wp14:anchorId="1A03BAD9" wp14:editId="1C23D76C">
                <wp:simplePos x="0" y="0"/>
                <wp:positionH relativeFrom="column">
                  <wp:posOffset>1404620</wp:posOffset>
                </wp:positionH>
                <wp:positionV relativeFrom="paragraph">
                  <wp:posOffset>2069465</wp:posOffset>
                </wp:positionV>
                <wp:extent cx="336550" cy="260350"/>
                <wp:effectExtent l="12700" t="11430" r="12700" b="1397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6550" cy="260350"/>
                        </a:xfrm>
                        <a:prstGeom prst="rect">
                          <a:avLst/>
                        </a:prstGeom>
                        <a:noFill/>
                        <a:ln w="9525">
                          <a:solidFill>
                            <a:srgbClr val="000000">
                              <a:alpha val="0"/>
                            </a:srgbClr>
                          </a:solidFill>
                          <a:miter lim="800000"/>
                          <a:headEnd/>
                          <a:tailEnd/>
                        </a:ln>
                        <a:extLst>
                          <a:ext uri="{909E8E84-426E-40DD-AFC4-6F175D3DCCD1}">
                            <a14:hiddenFill xmlns:a14="http://schemas.microsoft.com/office/drawing/2010/main">
                              <a:solidFill>
                                <a:srgbClr val="FFFFFF"/>
                              </a:solidFill>
                            </a14:hiddenFill>
                          </a:ext>
                        </a:extLst>
                      </wps:spPr>
                      <wps:txbx>
                        <w:txbxContent>
                          <w:p w14:paraId="468F0AC8" w14:textId="77777777" w:rsidR="003F53DA" w:rsidRPr="00234F90" w:rsidRDefault="003F53DA" w:rsidP="003F53DA">
                            <w:pPr>
                              <w:rPr>
                                <w:lang w:val="da-DK"/>
                              </w:rPr>
                            </w:pPr>
                            <w:r>
                              <w:rPr>
                                <w:lang w:val="da-DK"/>
                              </w:rPr>
                              <w:t>(a)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03BAD9" id="_x0000_t202" coordsize="21600,21600" o:spt="202" path="m,l,21600r21600,l21600,xe">
                <v:stroke joinstyle="miter"/>
                <v:path gradientshapeok="t" o:connecttype="rect"/>
              </v:shapetype>
              <v:shape id="Text Box 2" o:spid="_x0000_s1026" type="#_x0000_t202" style="position:absolute;left:0;text-align:left;margin-left:110.6pt;margin-top:162.95pt;width:26.5pt;height:2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" filled="f">
                <v:stroke opacity="0"/>
                <v:textbox>
                  <w:txbxContent>
                    <w:p w14:paraId="468F0AC8" w14:textId="77777777" w:rsidR="003F53DA" w:rsidRPr="00234F90" w:rsidRDefault="003F53DA" w:rsidP="003F53DA">
                      <w:pPr>
                        <w:rPr>
                          <w:lang w:val="da-DK"/>
                        </w:rPr>
                      </w:pPr>
                      <w:r>
                        <w:rPr>
                          <w:lang w:val="da-DK"/>
                        </w:rPr>
                        <w:t>(a)</w:t>
                      </w:r>
                    </w:p>
                  </w:txbxContent>
                </v:textbox>
              </v:shape>
            </w:pict>
          </mc:Fallback>
        </mc:AlternateContent>
      </w:r>
      <w:r w:rsidRPr="00AE35F5">
        <w:rPr>
          <w:noProof/>
        </w:rPr>
        <mc:AlternateContent>
          <mc:Choice Requires="wps">
            <w:drawing>
              <wp:anchor distT="0" distB="0" distL="114300" distR="114300" simplePos="0" relativeHeight="251658241" behindDoc="0" locked="0" layoutInCell="1" allowOverlap="1" wp14:anchorId="260C13BE" wp14:editId="385E1AC5">
                <wp:simplePos x="0" y="0"/>
                <wp:positionH relativeFrom="column">
                  <wp:posOffset>4662170</wp:posOffset>
                </wp:positionH>
                <wp:positionV relativeFrom="paragraph">
                  <wp:posOffset>2075815</wp:posOffset>
                </wp:positionV>
                <wp:extent cx="374650" cy="260350"/>
                <wp:effectExtent l="12700" t="8255" r="12700" b="762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650" cy="260350"/>
                        </a:xfrm>
                        <a:prstGeom prst="rect">
                          <a:avLst/>
                        </a:prstGeom>
                        <a:noFill/>
                        <a:ln w="9525">
                          <a:solidFill>
                            <a:srgbClr val="000000">
                              <a:alpha val="0"/>
                            </a:srgbClr>
                          </a:solidFill>
                          <a:miter lim="800000"/>
                          <a:headEnd/>
                          <a:tailEnd/>
                        </a:ln>
                        <a:extLst>
                          <a:ext uri="{909E8E84-426E-40DD-AFC4-6F175D3DCCD1}">
                            <a14:hiddenFill xmlns:a14="http://schemas.microsoft.com/office/drawing/2010/main">
                              <a:solidFill>
                                <a:srgbClr val="FFFFFF"/>
                              </a:solidFill>
                            </a14:hiddenFill>
                          </a:ext>
                        </a:extLst>
                      </wps:spPr>
                      <wps:txbx>
                        <w:txbxContent>
                          <w:p w14:paraId="789D71CB" w14:textId="77777777" w:rsidR="003F53DA" w:rsidRPr="00234F90" w:rsidRDefault="003F53DA" w:rsidP="003F53DA">
                            <w:pPr>
                              <w:rPr>
                                <w:lang w:val="da-DK"/>
                              </w:rPr>
                            </w:pPr>
                            <w:r>
                              <w:rPr>
                                <w:lang w:val="da-DK"/>
                              </w:rPr>
                              <w:t>(b)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0C13BE" id="Text Box 3" o:spid="_x0000_s1027" type="#_x0000_t202" style="position:absolute;left:0;text-align:left;margin-left:367.1pt;margin-top:163.45pt;width:29.5pt;height:20.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" filled="f">
                <v:stroke opacity="0"/>
                <v:textbox>
                  <w:txbxContent>
                    <w:p w14:paraId="789D71CB" w14:textId="77777777" w:rsidR="003F53DA" w:rsidRPr="00234F90" w:rsidRDefault="003F53DA" w:rsidP="003F53DA">
                      <w:pPr>
                        <w:rPr>
                          <w:lang w:val="da-DK"/>
                        </w:rPr>
                      </w:pPr>
                      <w:r>
                        <w:rPr>
                          <w:lang w:val="da-DK"/>
                        </w:rPr>
                        <w:t>(b)</w:t>
                      </w:r>
                    </w:p>
                  </w:txbxContent>
                </v:textbox>
              </v:shape>
            </w:pict>
          </mc:Fallback>
        </mc:AlternateContent>
      </w:r>
      <w:r w:rsidRPr="00DE78CC">
        <w:rPr>
          <w:noProof/>
        </w:rPr>
        <w:drawing>
          <wp:inline distT="0" distB="0" distL="0" distR="0" wp14:anchorId="0D35BAA1" wp14:editId="61457BC4">
            <wp:extent cx="2879090" cy="2124075"/>
            <wp:effectExtent l="0" t="0" r="0" b="0"/>
            <wp:docPr id="1"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inline>
        </w:drawing>
      </w:r>
      <w:r w:rsidRPr="00AE35F5">
        <w:t xml:space="preserve"> </w:t>
      </w:r>
      <w:r w:rsidRPr="00AE35F5">
        <w:rPr>
          <w:noProof/>
        </w:rPr>
        <w:drawing>
          <wp:inline distT="0" distB="0" distL="0" distR="0" wp14:anchorId="41AA00C5" wp14:editId="31EC54FE">
            <wp:extent cx="3153410" cy="2133600"/>
            <wp:effectExtent l="0" t="0" r="0" b="0"/>
            <wp:docPr id="2"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40"/>
              </a:graphicData>
            </a:graphic>
          </wp:inline>
        </w:drawing>
      </w:r>
    </w:p>
    <w:p w14:paraId="315DA176" w14:textId="77777777" w:rsidR="003F53DA" w:rsidRPr="00AE35F5" w:rsidRDefault="003F53DA" w:rsidP="003F53DA">
      <w:pPr>
        <w:pStyle w:val="Caption"/>
        <w:spacing w:after="0"/>
        <w:jc w:val="center"/>
      </w:pPr>
      <w:r w:rsidRPr="00AE35F5">
        <w:t xml:space="preserve">Figure </w:t>
      </w:r>
      <w:r w:rsidR="00A76B28">
        <w:fldChar w:fldCharType="begin"/>
      </w:r>
      <w:r w:rsidR="00A76B28">
        <w:instrText xml:space="preserve"> SEQ Figure \* ARABIC </w:instrText>
      </w:r>
      <w:r w:rsidR="00A76B28">
        <w:fldChar w:fldCharType="separate"/>
      </w:r>
      <w:r w:rsidRPr="00AE35F5">
        <w:t>1</w:t>
      </w:r>
      <w:r w:rsidR="00A76B28">
        <w:fldChar w:fldCharType="end"/>
      </w:r>
      <w:r w:rsidRPr="00AE35F5">
        <w:t xml:space="preserve">: Impact of maximum allowed EIRP on UE range in LOS under MPE power restrictions. </w:t>
      </w:r>
    </w:p>
    <w:p w14:paraId="7007F73E" w14:textId="77777777" w:rsidR="003F53DA" w:rsidRPr="00AE35F5" w:rsidRDefault="003F53DA" w:rsidP="003F53DA">
      <w:pPr>
        <w:pStyle w:val="Caption"/>
        <w:spacing w:before="0"/>
        <w:jc w:val="center"/>
        <w:rPr>
          <w:b w:val="0"/>
          <w:i/>
        </w:rPr>
      </w:pPr>
      <w:r w:rsidRPr="00AE35F5">
        <w:rPr>
          <w:b w:val="0"/>
          <w:i/>
        </w:rPr>
        <w:t>(In this example at 28 GHz, the maximum capability of the UE is an EIRP of 28 dBm)</w:t>
      </w:r>
    </w:p>
    <w:p w14:paraId="7CA4FB62" w14:textId="77777777" w:rsidR="003F53DA" w:rsidRPr="00AE35F5" w:rsidRDefault="003F53DA" w:rsidP="003F53DA">
      <w:pPr>
        <w:jc w:val="both"/>
      </w:pPr>
      <w:r w:rsidRPr="00AE35F5">
        <w:t xml:space="preserve">Figure 1 (a) plots the maximum allowed EIRP as a function of the distance separating a user from the active antenna array. In this example, a UE with a maximum EIRP capability of 28 dBm is considered. In some cases, the duty cycle </w:t>
      </w:r>
      <w:r w:rsidRPr="00AE35F5">
        <w:lastRenderedPageBreak/>
        <w:t xml:space="preserve">restriction will be enough to comply with MPE: e.g. for a UE operating at EIRP 28 dBm, if a user is located within 7 cm and 3.5 cm away from the antenna, a </w:t>
      </w:r>
      <w:r w:rsidRPr="00AE35F5">
        <w:rPr>
          <w:rFonts w:eastAsia="SimSun"/>
          <w:i/>
          <w:color w:val="000000"/>
          <w:kern w:val="2"/>
          <w:lang w:eastAsia="zh-CN"/>
        </w:rPr>
        <w:t>maxUplinkDutyCycle-FR2</w:t>
      </w:r>
      <w:r w:rsidRPr="00AE35F5">
        <w:t xml:space="preserve"> restriction of 25 % will be enough to be MPE compliant (i.e. 6 dB reduction in Tx power over MPE averaged period of time, if frame is fully reserved for UL, e.g. Format 1 in 38.213-Table 11.1.1-1). </w:t>
      </w:r>
    </w:p>
    <w:p w14:paraId="604CD42A" w14:textId="77777777" w:rsidR="003F53DA" w:rsidRPr="00AE35F5" w:rsidRDefault="003F53DA" w:rsidP="003F53DA">
      <w:pPr>
        <w:jc w:val="both"/>
      </w:pPr>
      <w:r w:rsidRPr="00AE35F5">
        <w:t xml:space="preserve">However, as soon as the user comes closer to the antenna, further </w:t>
      </w:r>
      <w:r w:rsidRPr="00AE35F5">
        <w:rPr>
          <w:rFonts w:eastAsia="SimSun"/>
          <w:i/>
          <w:color w:val="000000"/>
          <w:kern w:val="2"/>
          <w:lang w:eastAsia="zh-CN"/>
        </w:rPr>
        <w:t>maxUplinkDutyCycle-FR2</w:t>
      </w:r>
      <w:r w:rsidRPr="00AE35F5">
        <w:t xml:space="preserve"> restriction needs to be applied – which might lead to RLF – or P-MPR restriction needs to be triggered to comply with MPE. Restricting P-MPR will affect the range of the UE significantly, as illustrated in Figure 1 (b). At 28 GHz, a 10dB power drop effectively reduces the UE range by nearly 70 %, hence, likely leading to RLFs. Body loss and shadowing might further reduce then range and degrade the link quality.</w:t>
      </w:r>
    </w:p>
    <w:p w14:paraId="7E7428F2" w14:textId="4852DA20" w:rsidR="003F53DA" w:rsidRPr="00AE35F5" w:rsidRDefault="003F53DA" w:rsidP="003F53DA">
      <w:pPr>
        <w:jc w:val="both"/>
      </w:pPr>
      <w:r w:rsidRPr="00AE35F5">
        <w:rPr>
          <w:rFonts w:eastAsia="SimSun"/>
          <w:color w:val="000000"/>
          <w:kern w:val="2"/>
          <w:lang w:eastAsia="zh-CN"/>
        </w:rPr>
        <w:t xml:space="preserve">To sum up, for a user nearly touching the antenna (less than 1 cm away from the antenna), restricting the duty cycle to the smallest </w:t>
      </w:r>
      <w:r w:rsidR="00974207" w:rsidRPr="00974207">
        <w:rPr>
          <w:rFonts w:eastAsia="SimSun"/>
          <w:color w:val="000000"/>
          <w:kern w:val="2"/>
          <w:lang w:eastAsia="zh-CN"/>
        </w:rPr>
        <w:t>signalling</w:t>
      </w:r>
      <w:r w:rsidRPr="00AE35F5">
        <w:rPr>
          <w:rFonts w:eastAsia="SimSun"/>
          <w:color w:val="000000"/>
          <w:kern w:val="2"/>
          <w:lang w:eastAsia="zh-CN"/>
        </w:rPr>
        <w:t xml:space="preserve"> value of 15% (represents 7.5% of a frame equally shared between UL and DL) would effectively only compensate for 8.2 dB of the required power back-off. Thus, for every phone capable of transmitting more than 20 dBm = 12 dBm (max allowed EIRP at 1 cm) + 8 dB (assuming UL duty cycle restriction of 15 %), P-MPR restriction is needed on top of a maximum </w:t>
      </w:r>
      <w:r w:rsidRPr="00AE35F5">
        <w:rPr>
          <w:rFonts w:eastAsia="SimSun"/>
          <w:i/>
          <w:color w:val="000000"/>
          <w:kern w:val="2"/>
          <w:lang w:eastAsia="zh-CN"/>
        </w:rPr>
        <w:t xml:space="preserve">maxUplinkDutyCycle-FR2 </w:t>
      </w:r>
      <w:r w:rsidRPr="00AE35F5">
        <w:rPr>
          <w:rFonts w:eastAsia="SimSun"/>
          <w:color w:val="000000"/>
          <w:kern w:val="2"/>
          <w:lang w:eastAsia="zh-CN"/>
        </w:rPr>
        <w:t>restriction. That is to say, for all PC3 UEs.</w:t>
      </w:r>
    </w:p>
    <w:p w14:paraId="4953B603" w14:textId="5990E677" w:rsidR="003F53DA" w:rsidRPr="00AE35F5" w:rsidRDefault="003F53DA" w:rsidP="003F53DA">
      <w:pPr>
        <w:jc w:val="both"/>
        <w:rPr>
          <w:b/>
        </w:rPr>
      </w:pPr>
      <w:r w:rsidRPr="00AE35F5">
        <w:rPr>
          <w:b/>
        </w:rPr>
        <w:t xml:space="preserve">Observation C: With users nearly touching the antenna, P-MPR restrictions are required on top of maximum </w:t>
      </w:r>
      <w:r w:rsidRPr="00AE35F5">
        <w:rPr>
          <w:b/>
          <w:i/>
        </w:rPr>
        <w:t xml:space="preserve">maxUplinkDutyCycle-FR2 </w:t>
      </w:r>
      <w:r w:rsidRPr="00AE35F5">
        <w:rPr>
          <w:b/>
        </w:rPr>
        <w:t>restrictions for PC3 UEs to be compliant with MPE.</w:t>
      </w:r>
    </w:p>
    <w:p w14:paraId="2B7A72B9" w14:textId="2D86D212" w:rsidR="003F53DA" w:rsidRPr="00AE35F5" w:rsidRDefault="003F53DA" w:rsidP="003F53DA">
      <w:pPr>
        <w:jc w:val="both"/>
        <w:rPr>
          <w:b/>
        </w:rPr>
      </w:pPr>
      <w:r w:rsidRPr="00AE35F5">
        <w:rPr>
          <w:b/>
        </w:rPr>
        <w:t xml:space="preserve">Observation D: P-MPR restrictions significantly affect the range of the UE and will likely lead to RLFs without MPE enhancement solutions and </w:t>
      </w:r>
      <w:r w:rsidR="00974207" w:rsidRPr="00974207">
        <w:rPr>
          <w:b/>
        </w:rPr>
        <w:t>signalling</w:t>
      </w:r>
    </w:p>
    <w:p w14:paraId="138FF0B0" w14:textId="540BB7BF" w:rsidR="003F53DA" w:rsidRPr="00AE35F5" w:rsidRDefault="003F53DA" w:rsidP="003F53DA">
      <w:pPr>
        <w:jc w:val="both"/>
      </w:pPr>
      <w:r w:rsidRPr="00AE35F5">
        <w:rPr>
          <w:rFonts w:eastAsia="SimSun"/>
          <w:color w:val="000000"/>
          <w:kern w:val="2"/>
          <w:lang w:eastAsia="zh-CN"/>
        </w:rPr>
        <w:t xml:space="preserve">As discussed above, </w:t>
      </w:r>
      <w:r w:rsidRPr="00AE35F5">
        <w:rPr>
          <w:rFonts w:eastAsia="SimSun"/>
          <w:i/>
          <w:color w:val="000000"/>
          <w:kern w:val="2"/>
          <w:lang w:eastAsia="zh-CN"/>
        </w:rPr>
        <w:t>maxUplinkDutyCycle-FR2</w:t>
      </w:r>
      <w:r w:rsidRPr="00AE35F5">
        <w:t xml:space="preserve"> restriction is not enough to address all MPE situations. Therefore, dynamic UL duty cycle UE capability, which has also been considered in RAN4 earlier, would not be enough. Furthermore, even if UL duty cycle capability was changed from the current static UE capability to dynamic UE capability, it is unlikely that RRC </w:t>
      </w:r>
      <w:r w:rsidR="00642221" w:rsidRPr="00642221">
        <w:t>signalling</w:t>
      </w:r>
      <w:r w:rsidRPr="00AE35F5">
        <w:t xml:space="preserve"> based capability </w:t>
      </w:r>
      <w:r w:rsidR="00642221" w:rsidRPr="00642221">
        <w:t>signalling</w:t>
      </w:r>
      <w:r w:rsidRPr="00AE35F5">
        <w:t xml:space="preserve"> and corresponding network actions would be sufficiently fast and efficient for UEs to rely on for MPE compliance. Challenges with dynamic UL duty cycle reporting as MPE mitigation solutions are also </w:t>
      </w:r>
      <w:r w:rsidR="00642221" w:rsidRPr="00642221">
        <w:t>analysed</w:t>
      </w:r>
      <w:r w:rsidRPr="00AE35F5">
        <w:t xml:space="preserve"> in [7]. Therefore, as discussed and agreed in RAN4 we see that fast </w:t>
      </w:r>
      <w:r w:rsidR="00642221" w:rsidRPr="00642221">
        <w:t>signalling</w:t>
      </w:r>
      <w:r w:rsidRPr="00AE35F5">
        <w:t xml:space="preserve"> mechanisms for the UE to indicate its MPE situation (event) to the network is necessary to allow the network to take timely actions for MPE mitigation. As time averaging is used in MPE evaluation and compliance verification, we see that fast MAC-CE based </w:t>
      </w:r>
      <w:r w:rsidR="00642221" w:rsidRPr="00642221">
        <w:t>signalling</w:t>
      </w:r>
      <w:r w:rsidRPr="00AE35F5">
        <w:t xml:space="preserve"> of MPE event to network could be done before UE restricts its UL transmission. For ensuring that the gNB receives the user detection information, it is important that the UE is able to send this MPE event indication to the network before using P-MPR to reduce </w:t>
      </w:r>
      <w:r w:rsidR="009F44A4">
        <w:t xml:space="preserve">the </w:t>
      </w:r>
      <w:r w:rsidRPr="00AE35F5">
        <w:t>transmit power. It is still under discussion in RAN4 [9] if the P-MPR is applied before or after sending the MPE indication i.e. P-MPR report to the network.</w:t>
      </w:r>
    </w:p>
    <w:p w14:paraId="14113C5F" w14:textId="6094FC2B" w:rsidR="003F53DA" w:rsidRPr="00AE35F5" w:rsidRDefault="003F53DA" w:rsidP="003F53DA">
      <w:pPr>
        <w:jc w:val="both"/>
      </w:pPr>
      <w:r w:rsidRPr="00AE35F5">
        <w:t xml:space="preserve">In order for the network to understand the severity of the MPE situation of the UE, it is important that the UE can be </w:t>
      </w:r>
      <w:r w:rsidR="00081A1B" w:rsidRPr="00081A1B">
        <w:t>requested</w:t>
      </w:r>
      <w:r w:rsidRPr="00AE35F5">
        <w:t xml:space="preserve"> to report its Tx power restrictions (P-MPR) in the context of an MPE event. Furthermore, if the network knows how much transmit power the UE needs to reduce for MPE compliance, the network would be able to better decide suitable actions for a given UE.  For example, the network could take one of the following actions to help the UE;</w:t>
      </w:r>
    </w:p>
    <w:p w14:paraId="7445D755" w14:textId="4E9AD908" w:rsidR="003F53DA" w:rsidRPr="00AE35F5" w:rsidRDefault="003F53DA" w:rsidP="003F53DA">
      <w:pPr>
        <w:numPr>
          <w:ilvl w:val="0"/>
          <w:numId w:val="15"/>
        </w:numPr>
        <w:jc w:val="both"/>
      </w:pPr>
      <w:r w:rsidRPr="00AE35F5">
        <w:t xml:space="preserve">   Keeping only small amount of UL traffic on FR2 to ensure that at least necessary UL control </w:t>
      </w:r>
      <w:r w:rsidR="00081A1B" w:rsidRPr="00081A1B">
        <w:t>signalling</w:t>
      </w:r>
      <w:r w:rsidRPr="00AE35F5">
        <w:t xml:space="preserve"> related to FR2 DL traffic can get through and thus, allowing successful use of FR2 for DL traffic and then moving rest of the UL data traffic to E-UTRA during EN-DC operations </w:t>
      </w:r>
    </w:p>
    <w:p w14:paraId="3662DB61" w14:textId="2584F8D3" w:rsidR="003F53DA" w:rsidRPr="00AE35F5" w:rsidRDefault="003F53DA" w:rsidP="003F53DA">
      <w:pPr>
        <w:numPr>
          <w:ilvl w:val="0"/>
          <w:numId w:val="15"/>
        </w:numPr>
        <w:jc w:val="both"/>
      </w:pPr>
      <w:r w:rsidRPr="00AE35F5">
        <w:t xml:space="preserve">   Keeping only small amount of UL traffic on FR2 to ensure that at least necessary UL control </w:t>
      </w:r>
      <w:r w:rsidR="00081A1B" w:rsidRPr="00081A1B">
        <w:t>signalling</w:t>
      </w:r>
      <w:r w:rsidRPr="00AE35F5">
        <w:t xml:space="preserve"> related to FR2 DL traffic can get through and thus, allowing successful use of FR2 for DL traffic and then moving rest of the UL data traffic to FR1 during NR DC operations</w:t>
      </w:r>
    </w:p>
    <w:p w14:paraId="0986E9B0" w14:textId="77777777" w:rsidR="003F53DA" w:rsidRPr="00AE35F5" w:rsidRDefault="003F53DA" w:rsidP="003F53DA">
      <w:pPr>
        <w:numPr>
          <w:ilvl w:val="0"/>
          <w:numId w:val="15"/>
        </w:numPr>
        <w:jc w:val="both"/>
      </w:pPr>
      <w:r w:rsidRPr="00AE35F5">
        <w:t xml:space="preserve">   Handover to E-UTRA or to FR1 during FR2 NR standalone operations </w:t>
      </w:r>
      <w:r w:rsidRPr="00AE35F5">
        <w:tab/>
      </w:r>
    </w:p>
    <w:p w14:paraId="17BFC96D" w14:textId="77777777" w:rsidR="003F53DA" w:rsidRPr="00AE35F5" w:rsidRDefault="003F53DA" w:rsidP="003F53DA">
      <w:pPr>
        <w:jc w:val="both"/>
      </w:pPr>
      <w:r w:rsidRPr="00AE35F5">
        <w:t>By receiving MPE event indication e.g. P-MPR event-triggered reporting from UE the network knows that if the UE disappears in UL it is not because of normal severe radio conditions but due to MPE compliance, which means that different actions can be taken in the network. The RLF would happen if the gNB is not aware of what causes the extreme UL degradation. If the MPE event is communicated to the gNB, the gNB can try to prevent a radio link failure.</w:t>
      </w:r>
    </w:p>
    <w:p w14:paraId="339F0ED3" w14:textId="77777777" w:rsidR="003F53DA" w:rsidRPr="00AE35F5" w:rsidRDefault="003F53DA" w:rsidP="003F53DA">
      <w:pPr>
        <w:jc w:val="both"/>
      </w:pPr>
      <w:r w:rsidRPr="00AE35F5">
        <w:t xml:space="preserve">UE Tx power restrictions (P-MPR) due to MPE compliance reasons will give to the network the flexibility to configure the UE to best fit the current conditions, e.g. best compromise between UE Tx power back-off (P-MPR), amount of UL data transmitted on FR2, potential UL scheduling constraints or schedule multiple grants with reduced UL power. In this way it is possible for the network to better maximize the use of FR2 carrier at least for DL traffic instead of FR2 RLF and connection release. At the same time these MPE enhancement solutions will also help UE with the FR2 MPE compliance. </w:t>
      </w:r>
    </w:p>
    <w:p w14:paraId="78087F47" w14:textId="6D308058" w:rsidR="003F53DA" w:rsidRPr="00AE35F5" w:rsidRDefault="003F53DA" w:rsidP="003F53DA">
      <w:pPr>
        <w:jc w:val="both"/>
        <w:rPr>
          <w:b/>
          <w:bCs/>
        </w:rPr>
      </w:pPr>
      <w:r w:rsidRPr="00DE78CC">
        <w:rPr>
          <w:b/>
        </w:rPr>
        <w:lastRenderedPageBreak/>
        <w:t>Observation E</w:t>
      </w:r>
      <w:r w:rsidRPr="00974207">
        <w:rPr>
          <w:b/>
        </w:rPr>
        <w:t>:  Fast MAC-CE signalling mechanism for UE to inform</w:t>
      </w:r>
      <w:r w:rsidRPr="00AE35F5">
        <w:rPr>
          <w:b/>
        </w:rPr>
        <w:t xml:space="preserve"> gNB of MPE event i.e. a user detection and needed UE Tx power restrictions (P-MPR) are important for deciding suitable network actions to avoid RLF and connection release due to FR2 MPE compliance.</w:t>
      </w:r>
    </w:p>
    <w:p w14:paraId="7907C3B2" w14:textId="5C7CE57F" w:rsidR="003F53DA" w:rsidRPr="00AE35F5" w:rsidRDefault="003F53DA" w:rsidP="003F53DA">
      <w:pPr>
        <w:jc w:val="both"/>
        <w:rPr>
          <w:b/>
        </w:rPr>
      </w:pPr>
      <w:r w:rsidRPr="00AE35F5">
        <w:rPr>
          <w:b/>
        </w:rPr>
        <w:t>Observation F: MPE enhancement solutions allow the network to better maximize the use of FR2 spectrum at least for DL traffic and help UE with MPE compliance.</w:t>
      </w:r>
    </w:p>
    <w:sectPr w:rsidR="003F53DA" w:rsidRPr="00AE35F5" w:rsidSect="00595C12">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82C4C4" w14:textId="77777777" w:rsidR="00A76B28" w:rsidRDefault="00A76B28">
      <w:r>
        <w:separator/>
      </w:r>
    </w:p>
    <w:p w14:paraId="1FC38279" w14:textId="77777777" w:rsidR="00A76B28" w:rsidRDefault="00A76B28"/>
  </w:endnote>
  <w:endnote w:type="continuationSeparator" w:id="0">
    <w:p w14:paraId="52A5963D" w14:textId="77777777" w:rsidR="00A76B28" w:rsidRDefault="00A76B28">
      <w:r>
        <w:continuationSeparator/>
      </w:r>
    </w:p>
    <w:p w14:paraId="35818ECF" w14:textId="77777777" w:rsidR="00A76B28" w:rsidRDefault="00A76B28"/>
  </w:endnote>
  <w:endnote w:type="continuationNotice" w:id="1">
    <w:p w14:paraId="1414BB6F" w14:textId="77777777" w:rsidR="00A76B28" w:rsidRDefault="00A76B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Sans">
    <w:altName w:val="Arial"/>
    <w:charset w:val="00"/>
    <w:family w:val="swiss"/>
    <w:pitch w:val="variable"/>
    <w:sig w:usb0="00000001" w:usb1="00000000" w:usb2="00000000" w:usb3="00000000" w:csb0="0000019F" w:csb1="00000000"/>
  </w:font>
  <w:font w:name="Calibri">
    <w:panose1 w:val="020F0502020204030204"/>
    <w:charset w:val="00"/>
    <w:family w:val="swiss"/>
    <w:pitch w:val="variable"/>
    <w:sig w:usb0="E0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71E1B3" w14:textId="77777777" w:rsidR="00A76B28" w:rsidRDefault="00A76B28">
      <w:r>
        <w:separator/>
      </w:r>
    </w:p>
    <w:p w14:paraId="4AEC61EC" w14:textId="77777777" w:rsidR="00A76B28" w:rsidRDefault="00A76B28"/>
  </w:footnote>
  <w:footnote w:type="continuationSeparator" w:id="0">
    <w:p w14:paraId="5D16B9C4" w14:textId="77777777" w:rsidR="00A76B28" w:rsidRDefault="00A76B28">
      <w:r>
        <w:continuationSeparator/>
      </w:r>
    </w:p>
    <w:p w14:paraId="4BE18771" w14:textId="77777777" w:rsidR="00A76B28" w:rsidRDefault="00A76B28"/>
  </w:footnote>
  <w:footnote w:type="continuationNotice" w:id="1">
    <w:p w14:paraId="30854B72" w14:textId="77777777" w:rsidR="00A76B28" w:rsidRDefault="00A76B2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A4CC8"/>
    <w:multiLevelType w:val="hybridMultilevel"/>
    <w:tmpl w:val="A1A23FAE"/>
    <w:lvl w:ilvl="0" w:tplc="604E17C2">
      <w:start w:val="1"/>
      <w:numFmt w:val="bullet"/>
      <w:lvlText w:val="•"/>
      <w:lvlJc w:val="left"/>
      <w:pPr>
        <w:tabs>
          <w:tab w:val="num" w:pos="720"/>
        </w:tabs>
        <w:ind w:left="720" w:hanging="360"/>
      </w:pPr>
      <w:rPr>
        <w:rFonts w:ascii="Arial" w:hAnsi="Arial" w:hint="default"/>
      </w:rPr>
    </w:lvl>
    <w:lvl w:ilvl="1" w:tplc="CC964D7A">
      <w:start w:val="1"/>
      <w:numFmt w:val="bullet"/>
      <w:lvlText w:val="•"/>
      <w:lvlJc w:val="left"/>
      <w:pPr>
        <w:tabs>
          <w:tab w:val="num" w:pos="1440"/>
        </w:tabs>
        <w:ind w:left="1440" w:hanging="360"/>
      </w:pPr>
      <w:rPr>
        <w:rFonts w:ascii="Arial" w:hAnsi="Arial" w:hint="default"/>
      </w:rPr>
    </w:lvl>
    <w:lvl w:ilvl="2" w:tplc="C1624252">
      <w:start w:val="247"/>
      <w:numFmt w:val="bullet"/>
      <w:lvlText w:val="•"/>
      <w:lvlJc w:val="left"/>
      <w:pPr>
        <w:tabs>
          <w:tab w:val="num" w:pos="2160"/>
        </w:tabs>
        <w:ind w:left="2160" w:hanging="360"/>
      </w:pPr>
      <w:rPr>
        <w:rFonts w:ascii="Arial" w:hAnsi="Arial" w:hint="default"/>
      </w:rPr>
    </w:lvl>
    <w:lvl w:ilvl="3" w:tplc="C18A7BAE">
      <w:start w:val="247"/>
      <w:numFmt w:val="bullet"/>
      <w:lvlText w:val="•"/>
      <w:lvlJc w:val="left"/>
      <w:pPr>
        <w:tabs>
          <w:tab w:val="num" w:pos="2880"/>
        </w:tabs>
        <w:ind w:left="2880" w:hanging="360"/>
      </w:pPr>
      <w:rPr>
        <w:rFonts w:ascii="Arial" w:hAnsi="Arial" w:hint="default"/>
      </w:rPr>
    </w:lvl>
    <w:lvl w:ilvl="4" w:tplc="589CDF16" w:tentative="1">
      <w:start w:val="1"/>
      <w:numFmt w:val="bullet"/>
      <w:lvlText w:val="•"/>
      <w:lvlJc w:val="left"/>
      <w:pPr>
        <w:tabs>
          <w:tab w:val="num" w:pos="3600"/>
        </w:tabs>
        <w:ind w:left="3600" w:hanging="360"/>
      </w:pPr>
      <w:rPr>
        <w:rFonts w:ascii="Arial" w:hAnsi="Arial" w:hint="default"/>
      </w:rPr>
    </w:lvl>
    <w:lvl w:ilvl="5" w:tplc="F3640194" w:tentative="1">
      <w:start w:val="1"/>
      <w:numFmt w:val="bullet"/>
      <w:lvlText w:val="•"/>
      <w:lvlJc w:val="left"/>
      <w:pPr>
        <w:tabs>
          <w:tab w:val="num" w:pos="4320"/>
        </w:tabs>
        <w:ind w:left="4320" w:hanging="360"/>
      </w:pPr>
      <w:rPr>
        <w:rFonts w:ascii="Arial" w:hAnsi="Arial" w:hint="default"/>
      </w:rPr>
    </w:lvl>
    <w:lvl w:ilvl="6" w:tplc="09A2EC96" w:tentative="1">
      <w:start w:val="1"/>
      <w:numFmt w:val="bullet"/>
      <w:lvlText w:val="•"/>
      <w:lvlJc w:val="left"/>
      <w:pPr>
        <w:tabs>
          <w:tab w:val="num" w:pos="5040"/>
        </w:tabs>
        <w:ind w:left="5040" w:hanging="360"/>
      </w:pPr>
      <w:rPr>
        <w:rFonts w:ascii="Arial" w:hAnsi="Arial" w:hint="default"/>
      </w:rPr>
    </w:lvl>
    <w:lvl w:ilvl="7" w:tplc="F190CD2C" w:tentative="1">
      <w:start w:val="1"/>
      <w:numFmt w:val="bullet"/>
      <w:lvlText w:val="•"/>
      <w:lvlJc w:val="left"/>
      <w:pPr>
        <w:tabs>
          <w:tab w:val="num" w:pos="5760"/>
        </w:tabs>
        <w:ind w:left="5760" w:hanging="360"/>
      </w:pPr>
      <w:rPr>
        <w:rFonts w:ascii="Arial" w:hAnsi="Arial" w:hint="default"/>
      </w:rPr>
    </w:lvl>
    <w:lvl w:ilvl="8" w:tplc="B300774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7E6F84"/>
    <w:multiLevelType w:val="hybridMultilevel"/>
    <w:tmpl w:val="E6A03C6A"/>
    <w:lvl w:ilvl="0" w:tplc="038C791E">
      <w:start w:val="1"/>
      <w:numFmt w:val="bullet"/>
      <w:lvlText w:val="•"/>
      <w:lvlJc w:val="left"/>
      <w:pPr>
        <w:tabs>
          <w:tab w:val="num" w:pos="720"/>
        </w:tabs>
        <w:ind w:left="720" w:hanging="360"/>
      </w:pPr>
      <w:rPr>
        <w:rFonts w:ascii="Arial" w:hAnsi="Arial" w:hint="default"/>
      </w:rPr>
    </w:lvl>
    <w:lvl w:ilvl="1" w:tplc="FBBC25F8">
      <w:start w:val="247"/>
      <w:numFmt w:val="bullet"/>
      <w:lvlText w:val="•"/>
      <w:lvlJc w:val="left"/>
      <w:pPr>
        <w:tabs>
          <w:tab w:val="num" w:pos="1440"/>
        </w:tabs>
        <w:ind w:left="1440" w:hanging="360"/>
      </w:pPr>
      <w:rPr>
        <w:rFonts w:ascii="Arial" w:hAnsi="Arial" w:hint="default"/>
      </w:rPr>
    </w:lvl>
    <w:lvl w:ilvl="2" w:tplc="E42E5CC0">
      <w:start w:val="247"/>
      <w:numFmt w:val="bullet"/>
      <w:lvlText w:val="•"/>
      <w:lvlJc w:val="left"/>
      <w:pPr>
        <w:tabs>
          <w:tab w:val="num" w:pos="2160"/>
        </w:tabs>
        <w:ind w:left="2160" w:hanging="360"/>
      </w:pPr>
      <w:rPr>
        <w:rFonts w:ascii="Arial" w:hAnsi="Arial" w:hint="default"/>
      </w:rPr>
    </w:lvl>
    <w:lvl w:ilvl="3" w:tplc="B2587822" w:tentative="1">
      <w:start w:val="1"/>
      <w:numFmt w:val="bullet"/>
      <w:lvlText w:val="•"/>
      <w:lvlJc w:val="left"/>
      <w:pPr>
        <w:tabs>
          <w:tab w:val="num" w:pos="2880"/>
        </w:tabs>
        <w:ind w:left="2880" w:hanging="360"/>
      </w:pPr>
      <w:rPr>
        <w:rFonts w:ascii="Arial" w:hAnsi="Arial" w:hint="default"/>
      </w:rPr>
    </w:lvl>
    <w:lvl w:ilvl="4" w:tplc="525ACD92" w:tentative="1">
      <w:start w:val="1"/>
      <w:numFmt w:val="bullet"/>
      <w:lvlText w:val="•"/>
      <w:lvlJc w:val="left"/>
      <w:pPr>
        <w:tabs>
          <w:tab w:val="num" w:pos="3600"/>
        </w:tabs>
        <w:ind w:left="3600" w:hanging="360"/>
      </w:pPr>
      <w:rPr>
        <w:rFonts w:ascii="Arial" w:hAnsi="Arial" w:hint="default"/>
      </w:rPr>
    </w:lvl>
    <w:lvl w:ilvl="5" w:tplc="F5BE0754" w:tentative="1">
      <w:start w:val="1"/>
      <w:numFmt w:val="bullet"/>
      <w:lvlText w:val="•"/>
      <w:lvlJc w:val="left"/>
      <w:pPr>
        <w:tabs>
          <w:tab w:val="num" w:pos="4320"/>
        </w:tabs>
        <w:ind w:left="4320" w:hanging="360"/>
      </w:pPr>
      <w:rPr>
        <w:rFonts w:ascii="Arial" w:hAnsi="Arial" w:hint="default"/>
      </w:rPr>
    </w:lvl>
    <w:lvl w:ilvl="6" w:tplc="5DEA394E" w:tentative="1">
      <w:start w:val="1"/>
      <w:numFmt w:val="bullet"/>
      <w:lvlText w:val="•"/>
      <w:lvlJc w:val="left"/>
      <w:pPr>
        <w:tabs>
          <w:tab w:val="num" w:pos="5040"/>
        </w:tabs>
        <w:ind w:left="5040" w:hanging="360"/>
      </w:pPr>
      <w:rPr>
        <w:rFonts w:ascii="Arial" w:hAnsi="Arial" w:hint="default"/>
      </w:rPr>
    </w:lvl>
    <w:lvl w:ilvl="7" w:tplc="EABE39B6" w:tentative="1">
      <w:start w:val="1"/>
      <w:numFmt w:val="bullet"/>
      <w:lvlText w:val="•"/>
      <w:lvlJc w:val="left"/>
      <w:pPr>
        <w:tabs>
          <w:tab w:val="num" w:pos="5760"/>
        </w:tabs>
        <w:ind w:left="5760" w:hanging="360"/>
      </w:pPr>
      <w:rPr>
        <w:rFonts w:ascii="Arial" w:hAnsi="Arial" w:hint="default"/>
      </w:rPr>
    </w:lvl>
    <w:lvl w:ilvl="8" w:tplc="8E2EEFC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490E54"/>
    <w:multiLevelType w:val="hybridMultilevel"/>
    <w:tmpl w:val="B7048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33646F"/>
    <w:multiLevelType w:val="hybridMultilevel"/>
    <w:tmpl w:val="6DB078A0"/>
    <w:lvl w:ilvl="0" w:tplc="1B7E1420">
      <w:start w:val="1"/>
      <w:numFmt w:val="bullet"/>
      <w:lvlText w:val="•"/>
      <w:lvlJc w:val="left"/>
      <w:pPr>
        <w:tabs>
          <w:tab w:val="num" w:pos="720"/>
        </w:tabs>
        <w:ind w:left="720" w:hanging="360"/>
      </w:pPr>
      <w:rPr>
        <w:rFonts w:ascii="Arial" w:hAnsi="Arial" w:hint="default"/>
      </w:rPr>
    </w:lvl>
    <w:lvl w:ilvl="1" w:tplc="70D2CBFA" w:tentative="1">
      <w:start w:val="1"/>
      <w:numFmt w:val="bullet"/>
      <w:lvlText w:val="•"/>
      <w:lvlJc w:val="left"/>
      <w:pPr>
        <w:tabs>
          <w:tab w:val="num" w:pos="1440"/>
        </w:tabs>
        <w:ind w:left="1440" w:hanging="360"/>
      </w:pPr>
      <w:rPr>
        <w:rFonts w:ascii="Arial" w:hAnsi="Arial" w:hint="default"/>
      </w:rPr>
    </w:lvl>
    <w:lvl w:ilvl="2" w:tplc="B374E972">
      <w:start w:val="1"/>
      <w:numFmt w:val="bullet"/>
      <w:lvlText w:val="•"/>
      <w:lvlJc w:val="left"/>
      <w:pPr>
        <w:tabs>
          <w:tab w:val="num" w:pos="2160"/>
        </w:tabs>
        <w:ind w:left="2160" w:hanging="360"/>
      </w:pPr>
      <w:rPr>
        <w:rFonts w:ascii="Arial" w:hAnsi="Arial" w:hint="default"/>
      </w:rPr>
    </w:lvl>
    <w:lvl w:ilvl="3" w:tplc="7EDA0016" w:tentative="1">
      <w:start w:val="1"/>
      <w:numFmt w:val="bullet"/>
      <w:lvlText w:val="•"/>
      <w:lvlJc w:val="left"/>
      <w:pPr>
        <w:tabs>
          <w:tab w:val="num" w:pos="2880"/>
        </w:tabs>
        <w:ind w:left="2880" w:hanging="360"/>
      </w:pPr>
      <w:rPr>
        <w:rFonts w:ascii="Arial" w:hAnsi="Arial" w:hint="default"/>
      </w:rPr>
    </w:lvl>
    <w:lvl w:ilvl="4" w:tplc="AEB87F38" w:tentative="1">
      <w:start w:val="1"/>
      <w:numFmt w:val="bullet"/>
      <w:lvlText w:val="•"/>
      <w:lvlJc w:val="left"/>
      <w:pPr>
        <w:tabs>
          <w:tab w:val="num" w:pos="3600"/>
        </w:tabs>
        <w:ind w:left="3600" w:hanging="360"/>
      </w:pPr>
      <w:rPr>
        <w:rFonts w:ascii="Arial" w:hAnsi="Arial" w:hint="default"/>
      </w:rPr>
    </w:lvl>
    <w:lvl w:ilvl="5" w:tplc="2DFC8D84" w:tentative="1">
      <w:start w:val="1"/>
      <w:numFmt w:val="bullet"/>
      <w:lvlText w:val="•"/>
      <w:lvlJc w:val="left"/>
      <w:pPr>
        <w:tabs>
          <w:tab w:val="num" w:pos="4320"/>
        </w:tabs>
        <w:ind w:left="4320" w:hanging="360"/>
      </w:pPr>
      <w:rPr>
        <w:rFonts w:ascii="Arial" w:hAnsi="Arial" w:hint="default"/>
      </w:rPr>
    </w:lvl>
    <w:lvl w:ilvl="6" w:tplc="80026A28" w:tentative="1">
      <w:start w:val="1"/>
      <w:numFmt w:val="bullet"/>
      <w:lvlText w:val="•"/>
      <w:lvlJc w:val="left"/>
      <w:pPr>
        <w:tabs>
          <w:tab w:val="num" w:pos="5040"/>
        </w:tabs>
        <w:ind w:left="5040" w:hanging="360"/>
      </w:pPr>
      <w:rPr>
        <w:rFonts w:ascii="Arial" w:hAnsi="Arial" w:hint="default"/>
      </w:rPr>
    </w:lvl>
    <w:lvl w:ilvl="7" w:tplc="1BD40934" w:tentative="1">
      <w:start w:val="1"/>
      <w:numFmt w:val="bullet"/>
      <w:lvlText w:val="•"/>
      <w:lvlJc w:val="left"/>
      <w:pPr>
        <w:tabs>
          <w:tab w:val="num" w:pos="5760"/>
        </w:tabs>
        <w:ind w:left="5760" w:hanging="360"/>
      </w:pPr>
      <w:rPr>
        <w:rFonts w:ascii="Arial" w:hAnsi="Arial" w:hint="default"/>
      </w:rPr>
    </w:lvl>
    <w:lvl w:ilvl="8" w:tplc="6C74012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AB4B7C"/>
    <w:multiLevelType w:val="hybridMultilevel"/>
    <w:tmpl w:val="4BE274B8"/>
    <w:lvl w:ilvl="0" w:tplc="04090003">
      <w:start w:val="1"/>
      <w:numFmt w:val="bullet"/>
      <w:lvlText w:val="o"/>
      <w:lvlJc w:val="left"/>
      <w:pPr>
        <w:ind w:left="928" w:hanging="360"/>
      </w:pPr>
      <w:rPr>
        <w:rFonts w:ascii="Courier New" w:hAnsi="Courier New" w:cs="Courier New"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15:restartNumberingAfterBreak="0">
    <w:nsid w:val="1449734C"/>
    <w:multiLevelType w:val="hybridMultilevel"/>
    <w:tmpl w:val="53288462"/>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4D1CCB"/>
    <w:multiLevelType w:val="hybridMultilevel"/>
    <w:tmpl w:val="D416EA9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74A0711"/>
    <w:multiLevelType w:val="hybridMultilevel"/>
    <w:tmpl w:val="8F58B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BD0886"/>
    <w:multiLevelType w:val="hybridMultilevel"/>
    <w:tmpl w:val="6ED0A7C4"/>
    <w:lvl w:ilvl="0" w:tplc="BA4457E0">
      <w:start w:val="1"/>
      <w:numFmt w:val="bullet"/>
      <w:lvlText w:val="•"/>
      <w:lvlJc w:val="left"/>
      <w:pPr>
        <w:tabs>
          <w:tab w:val="num" w:pos="720"/>
        </w:tabs>
        <w:ind w:left="720" w:hanging="360"/>
      </w:pPr>
      <w:rPr>
        <w:rFonts w:ascii="Arial" w:hAnsi="Arial" w:hint="default"/>
      </w:rPr>
    </w:lvl>
    <w:lvl w:ilvl="1" w:tplc="8F74C204">
      <w:start w:val="82"/>
      <w:numFmt w:val="bullet"/>
      <w:lvlText w:val="•"/>
      <w:lvlJc w:val="left"/>
      <w:pPr>
        <w:tabs>
          <w:tab w:val="num" w:pos="1440"/>
        </w:tabs>
        <w:ind w:left="1440" w:hanging="360"/>
      </w:pPr>
      <w:rPr>
        <w:rFonts w:ascii="Arial" w:hAnsi="Arial" w:hint="default"/>
      </w:rPr>
    </w:lvl>
    <w:lvl w:ilvl="2" w:tplc="A5A8A794">
      <w:start w:val="82"/>
      <w:numFmt w:val="bullet"/>
      <w:lvlText w:val="•"/>
      <w:lvlJc w:val="left"/>
      <w:pPr>
        <w:tabs>
          <w:tab w:val="num" w:pos="2160"/>
        </w:tabs>
        <w:ind w:left="2160" w:hanging="360"/>
      </w:pPr>
      <w:rPr>
        <w:rFonts w:ascii="Arial" w:hAnsi="Arial" w:hint="default"/>
      </w:rPr>
    </w:lvl>
    <w:lvl w:ilvl="3" w:tplc="6366A496" w:tentative="1">
      <w:start w:val="1"/>
      <w:numFmt w:val="bullet"/>
      <w:lvlText w:val="•"/>
      <w:lvlJc w:val="left"/>
      <w:pPr>
        <w:tabs>
          <w:tab w:val="num" w:pos="2880"/>
        </w:tabs>
        <w:ind w:left="2880" w:hanging="360"/>
      </w:pPr>
      <w:rPr>
        <w:rFonts w:ascii="Arial" w:hAnsi="Arial" w:hint="default"/>
      </w:rPr>
    </w:lvl>
    <w:lvl w:ilvl="4" w:tplc="9EA81598" w:tentative="1">
      <w:start w:val="1"/>
      <w:numFmt w:val="bullet"/>
      <w:lvlText w:val="•"/>
      <w:lvlJc w:val="left"/>
      <w:pPr>
        <w:tabs>
          <w:tab w:val="num" w:pos="3600"/>
        </w:tabs>
        <w:ind w:left="3600" w:hanging="360"/>
      </w:pPr>
      <w:rPr>
        <w:rFonts w:ascii="Arial" w:hAnsi="Arial" w:hint="default"/>
      </w:rPr>
    </w:lvl>
    <w:lvl w:ilvl="5" w:tplc="B104994C" w:tentative="1">
      <w:start w:val="1"/>
      <w:numFmt w:val="bullet"/>
      <w:lvlText w:val="•"/>
      <w:lvlJc w:val="left"/>
      <w:pPr>
        <w:tabs>
          <w:tab w:val="num" w:pos="4320"/>
        </w:tabs>
        <w:ind w:left="4320" w:hanging="360"/>
      </w:pPr>
      <w:rPr>
        <w:rFonts w:ascii="Arial" w:hAnsi="Arial" w:hint="default"/>
      </w:rPr>
    </w:lvl>
    <w:lvl w:ilvl="6" w:tplc="71D438E4" w:tentative="1">
      <w:start w:val="1"/>
      <w:numFmt w:val="bullet"/>
      <w:lvlText w:val="•"/>
      <w:lvlJc w:val="left"/>
      <w:pPr>
        <w:tabs>
          <w:tab w:val="num" w:pos="5040"/>
        </w:tabs>
        <w:ind w:left="5040" w:hanging="360"/>
      </w:pPr>
      <w:rPr>
        <w:rFonts w:ascii="Arial" w:hAnsi="Arial" w:hint="default"/>
      </w:rPr>
    </w:lvl>
    <w:lvl w:ilvl="7" w:tplc="E8188338" w:tentative="1">
      <w:start w:val="1"/>
      <w:numFmt w:val="bullet"/>
      <w:lvlText w:val="•"/>
      <w:lvlJc w:val="left"/>
      <w:pPr>
        <w:tabs>
          <w:tab w:val="num" w:pos="5760"/>
        </w:tabs>
        <w:ind w:left="5760" w:hanging="360"/>
      </w:pPr>
      <w:rPr>
        <w:rFonts w:ascii="Arial" w:hAnsi="Arial" w:hint="default"/>
      </w:rPr>
    </w:lvl>
    <w:lvl w:ilvl="8" w:tplc="8EB2DED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A0E131E"/>
    <w:multiLevelType w:val="hybridMultilevel"/>
    <w:tmpl w:val="38F815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0E5A7C"/>
    <w:multiLevelType w:val="hybridMultilevel"/>
    <w:tmpl w:val="3BD85C4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2C557C8F"/>
    <w:multiLevelType w:val="hybridMultilevel"/>
    <w:tmpl w:val="364EA162"/>
    <w:lvl w:ilvl="0" w:tplc="92844E38">
      <w:start w:val="1"/>
      <w:numFmt w:val="decimal"/>
      <w:lvlText w:val="%1."/>
      <w:lvlJc w:val="left"/>
      <w:pPr>
        <w:ind w:left="644" w:hanging="360"/>
      </w:pPr>
      <w:rPr>
        <w:rFonts w:hint="default"/>
        <w:b/>
        <w:i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F645593"/>
    <w:multiLevelType w:val="hybridMultilevel"/>
    <w:tmpl w:val="561CC4F2"/>
    <w:lvl w:ilvl="0" w:tplc="2390D4B8">
      <w:start w:val="1"/>
      <w:numFmt w:val="bullet"/>
      <w:lvlText w:val="•"/>
      <w:lvlJc w:val="left"/>
      <w:pPr>
        <w:tabs>
          <w:tab w:val="num" w:pos="720"/>
        </w:tabs>
        <w:ind w:left="720" w:hanging="360"/>
      </w:pPr>
      <w:rPr>
        <w:rFonts w:ascii="Arial" w:hAnsi="Arial" w:hint="default"/>
      </w:rPr>
    </w:lvl>
    <w:lvl w:ilvl="1" w:tplc="1302ACD8" w:tentative="1">
      <w:start w:val="1"/>
      <w:numFmt w:val="bullet"/>
      <w:lvlText w:val="•"/>
      <w:lvlJc w:val="left"/>
      <w:pPr>
        <w:tabs>
          <w:tab w:val="num" w:pos="1440"/>
        </w:tabs>
        <w:ind w:left="1440" w:hanging="360"/>
      </w:pPr>
      <w:rPr>
        <w:rFonts w:ascii="Arial" w:hAnsi="Arial" w:hint="default"/>
      </w:rPr>
    </w:lvl>
    <w:lvl w:ilvl="2" w:tplc="8D8E0A30" w:tentative="1">
      <w:start w:val="1"/>
      <w:numFmt w:val="bullet"/>
      <w:lvlText w:val="•"/>
      <w:lvlJc w:val="left"/>
      <w:pPr>
        <w:tabs>
          <w:tab w:val="num" w:pos="2160"/>
        </w:tabs>
        <w:ind w:left="2160" w:hanging="360"/>
      </w:pPr>
      <w:rPr>
        <w:rFonts w:ascii="Arial" w:hAnsi="Arial" w:hint="default"/>
      </w:rPr>
    </w:lvl>
    <w:lvl w:ilvl="3" w:tplc="1D98A112" w:tentative="1">
      <w:start w:val="1"/>
      <w:numFmt w:val="bullet"/>
      <w:lvlText w:val="•"/>
      <w:lvlJc w:val="left"/>
      <w:pPr>
        <w:tabs>
          <w:tab w:val="num" w:pos="2880"/>
        </w:tabs>
        <w:ind w:left="2880" w:hanging="360"/>
      </w:pPr>
      <w:rPr>
        <w:rFonts w:ascii="Arial" w:hAnsi="Arial" w:hint="default"/>
      </w:rPr>
    </w:lvl>
    <w:lvl w:ilvl="4" w:tplc="BC687616" w:tentative="1">
      <w:start w:val="1"/>
      <w:numFmt w:val="bullet"/>
      <w:lvlText w:val="•"/>
      <w:lvlJc w:val="left"/>
      <w:pPr>
        <w:tabs>
          <w:tab w:val="num" w:pos="3600"/>
        </w:tabs>
        <w:ind w:left="3600" w:hanging="360"/>
      </w:pPr>
      <w:rPr>
        <w:rFonts w:ascii="Arial" w:hAnsi="Arial" w:hint="default"/>
      </w:rPr>
    </w:lvl>
    <w:lvl w:ilvl="5" w:tplc="B3B0DADA" w:tentative="1">
      <w:start w:val="1"/>
      <w:numFmt w:val="bullet"/>
      <w:lvlText w:val="•"/>
      <w:lvlJc w:val="left"/>
      <w:pPr>
        <w:tabs>
          <w:tab w:val="num" w:pos="4320"/>
        </w:tabs>
        <w:ind w:left="4320" w:hanging="360"/>
      </w:pPr>
      <w:rPr>
        <w:rFonts w:ascii="Arial" w:hAnsi="Arial" w:hint="default"/>
      </w:rPr>
    </w:lvl>
    <w:lvl w:ilvl="6" w:tplc="78BE9DDE" w:tentative="1">
      <w:start w:val="1"/>
      <w:numFmt w:val="bullet"/>
      <w:lvlText w:val="•"/>
      <w:lvlJc w:val="left"/>
      <w:pPr>
        <w:tabs>
          <w:tab w:val="num" w:pos="5040"/>
        </w:tabs>
        <w:ind w:left="5040" w:hanging="360"/>
      </w:pPr>
      <w:rPr>
        <w:rFonts w:ascii="Arial" w:hAnsi="Arial" w:hint="default"/>
      </w:rPr>
    </w:lvl>
    <w:lvl w:ilvl="7" w:tplc="FF74B64A" w:tentative="1">
      <w:start w:val="1"/>
      <w:numFmt w:val="bullet"/>
      <w:lvlText w:val="•"/>
      <w:lvlJc w:val="left"/>
      <w:pPr>
        <w:tabs>
          <w:tab w:val="num" w:pos="5760"/>
        </w:tabs>
        <w:ind w:left="5760" w:hanging="360"/>
      </w:pPr>
      <w:rPr>
        <w:rFonts w:ascii="Arial" w:hAnsi="Arial" w:hint="default"/>
      </w:rPr>
    </w:lvl>
    <w:lvl w:ilvl="8" w:tplc="E2A6B6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FF7B87"/>
    <w:multiLevelType w:val="hybridMultilevel"/>
    <w:tmpl w:val="5914EF82"/>
    <w:lvl w:ilvl="0" w:tplc="099885CC">
      <w:start w:val="1"/>
      <w:numFmt w:val="bullet"/>
      <w:lvlText w:val="•"/>
      <w:lvlJc w:val="left"/>
      <w:pPr>
        <w:tabs>
          <w:tab w:val="num" w:pos="720"/>
        </w:tabs>
        <w:ind w:left="720" w:hanging="360"/>
      </w:pPr>
      <w:rPr>
        <w:rFonts w:ascii="Arial" w:hAnsi="Arial" w:hint="default"/>
      </w:rPr>
    </w:lvl>
    <w:lvl w:ilvl="1" w:tplc="4E5448B2">
      <w:start w:val="174"/>
      <w:numFmt w:val="bullet"/>
      <w:lvlText w:val="•"/>
      <w:lvlJc w:val="left"/>
      <w:pPr>
        <w:tabs>
          <w:tab w:val="num" w:pos="1440"/>
        </w:tabs>
        <w:ind w:left="1440" w:hanging="360"/>
      </w:pPr>
      <w:rPr>
        <w:rFonts w:ascii="Arial" w:hAnsi="Arial" w:hint="default"/>
      </w:rPr>
    </w:lvl>
    <w:lvl w:ilvl="2" w:tplc="4B22D38A" w:tentative="1">
      <w:start w:val="1"/>
      <w:numFmt w:val="bullet"/>
      <w:lvlText w:val="•"/>
      <w:lvlJc w:val="left"/>
      <w:pPr>
        <w:tabs>
          <w:tab w:val="num" w:pos="2160"/>
        </w:tabs>
        <w:ind w:left="2160" w:hanging="360"/>
      </w:pPr>
      <w:rPr>
        <w:rFonts w:ascii="Arial" w:hAnsi="Arial" w:hint="default"/>
      </w:rPr>
    </w:lvl>
    <w:lvl w:ilvl="3" w:tplc="F9606C6C" w:tentative="1">
      <w:start w:val="1"/>
      <w:numFmt w:val="bullet"/>
      <w:lvlText w:val="•"/>
      <w:lvlJc w:val="left"/>
      <w:pPr>
        <w:tabs>
          <w:tab w:val="num" w:pos="2880"/>
        </w:tabs>
        <w:ind w:left="2880" w:hanging="360"/>
      </w:pPr>
      <w:rPr>
        <w:rFonts w:ascii="Arial" w:hAnsi="Arial" w:hint="default"/>
      </w:rPr>
    </w:lvl>
    <w:lvl w:ilvl="4" w:tplc="F072CA3A" w:tentative="1">
      <w:start w:val="1"/>
      <w:numFmt w:val="bullet"/>
      <w:lvlText w:val="•"/>
      <w:lvlJc w:val="left"/>
      <w:pPr>
        <w:tabs>
          <w:tab w:val="num" w:pos="3600"/>
        </w:tabs>
        <w:ind w:left="3600" w:hanging="360"/>
      </w:pPr>
      <w:rPr>
        <w:rFonts w:ascii="Arial" w:hAnsi="Arial" w:hint="default"/>
      </w:rPr>
    </w:lvl>
    <w:lvl w:ilvl="5" w:tplc="C8CA80A0" w:tentative="1">
      <w:start w:val="1"/>
      <w:numFmt w:val="bullet"/>
      <w:lvlText w:val="•"/>
      <w:lvlJc w:val="left"/>
      <w:pPr>
        <w:tabs>
          <w:tab w:val="num" w:pos="4320"/>
        </w:tabs>
        <w:ind w:left="4320" w:hanging="360"/>
      </w:pPr>
      <w:rPr>
        <w:rFonts w:ascii="Arial" w:hAnsi="Arial" w:hint="default"/>
      </w:rPr>
    </w:lvl>
    <w:lvl w:ilvl="6" w:tplc="1A6866C8" w:tentative="1">
      <w:start w:val="1"/>
      <w:numFmt w:val="bullet"/>
      <w:lvlText w:val="•"/>
      <w:lvlJc w:val="left"/>
      <w:pPr>
        <w:tabs>
          <w:tab w:val="num" w:pos="5040"/>
        </w:tabs>
        <w:ind w:left="5040" w:hanging="360"/>
      </w:pPr>
      <w:rPr>
        <w:rFonts w:ascii="Arial" w:hAnsi="Arial" w:hint="default"/>
      </w:rPr>
    </w:lvl>
    <w:lvl w:ilvl="7" w:tplc="5E8C883A" w:tentative="1">
      <w:start w:val="1"/>
      <w:numFmt w:val="bullet"/>
      <w:lvlText w:val="•"/>
      <w:lvlJc w:val="left"/>
      <w:pPr>
        <w:tabs>
          <w:tab w:val="num" w:pos="5760"/>
        </w:tabs>
        <w:ind w:left="5760" w:hanging="360"/>
      </w:pPr>
      <w:rPr>
        <w:rFonts w:ascii="Arial" w:hAnsi="Arial" w:hint="default"/>
      </w:rPr>
    </w:lvl>
    <w:lvl w:ilvl="8" w:tplc="A1A0E74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1F4270C"/>
    <w:multiLevelType w:val="hybridMultilevel"/>
    <w:tmpl w:val="D6B69A0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1D5910"/>
    <w:multiLevelType w:val="hybridMultilevel"/>
    <w:tmpl w:val="1D2C6A24"/>
    <w:lvl w:ilvl="0" w:tplc="60667E4E">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22F4036"/>
    <w:multiLevelType w:val="hybridMultilevel"/>
    <w:tmpl w:val="28CCA806"/>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22"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DDC422F"/>
    <w:multiLevelType w:val="hybridMultilevel"/>
    <w:tmpl w:val="F836E96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ECE066C"/>
    <w:multiLevelType w:val="hybridMultilevel"/>
    <w:tmpl w:val="BE66FC90"/>
    <w:lvl w:ilvl="0" w:tplc="E370D428">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F442216"/>
    <w:multiLevelType w:val="hybridMultilevel"/>
    <w:tmpl w:val="9C749BDA"/>
    <w:lvl w:ilvl="0" w:tplc="040B0001">
      <w:start w:val="1"/>
      <w:numFmt w:val="bullet"/>
      <w:lvlText w:val=""/>
      <w:lvlJc w:val="left"/>
      <w:pPr>
        <w:ind w:left="1440" w:hanging="360"/>
      </w:pPr>
      <w:rPr>
        <w:rFonts w:ascii="Symbol" w:hAnsi="Symbol" w:hint="default"/>
      </w:rPr>
    </w:lvl>
    <w:lvl w:ilvl="1" w:tplc="040B0003">
      <w:start w:val="1"/>
      <w:numFmt w:val="bullet"/>
      <w:lvlText w:val="o"/>
      <w:lvlJc w:val="left"/>
      <w:pPr>
        <w:ind w:left="2160" w:hanging="360"/>
      </w:pPr>
      <w:rPr>
        <w:rFonts w:ascii="Courier New" w:hAnsi="Courier New" w:cs="Courier New" w:hint="default"/>
      </w:rPr>
    </w:lvl>
    <w:lvl w:ilvl="2" w:tplc="040B0005" w:tentative="1">
      <w:start w:val="1"/>
      <w:numFmt w:val="bullet"/>
      <w:lvlText w:val=""/>
      <w:lvlJc w:val="left"/>
      <w:pPr>
        <w:ind w:left="2880" w:hanging="360"/>
      </w:pPr>
      <w:rPr>
        <w:rFonts w:ascii="Wingdings" w:hAnsi="Wingdings" w:hint="default"/>
      </w:rPr>
    </w:lvl>
    <w:lvl w:ilvl="3" w:tplc="040B0001" w:tentative="1">
      <w:start w:val="1"/>
      <w:numFmt w:val="bullet"/>
      <w:lvlText w:val=""/>
      <w:lvlJc w:val="left"/>
      <w:pPr>
        <w:ind w:left="3600" w:hanging="360"/>
      </w:pPr>
      <w:rPr>
        <w:rFonts w:ascii="Symbol" w:hAnsi="Symbol" w:hint="default"/>
      </w:rPr>
    </w:lvl>
    <w:lvl w:ilvl="4" w:tplc="040B0003" w:tentative="1">
      <w:start w:val="1"/>
      <w:numFmt w:val="bullet"/>
      <w:lvlText w:val="o"/>
      <w:lvlJc w:val="left"/>
      <w:pPr>
        <w:ind w:left="4320" w:hanging="360"/>
      </w:pPr>
      <w:rPr>
        <w:rFonts w:ascii="Courier New" w:hAnsi="Courier New" w:cs="Courier New" w:hint="default"/>
      </w:rPr>
    </w:lvl>
    <w:lvl w:ilvl="5" w:tplc="040B0005" w:tentative="1">
      <w:start w:val="1"/>
      <w:numFmt w:val="bullet"/>
      <w:lvlText w:val=""/>
      <w:lvlJc w:val="left"/>
      <w:pPr>
        <w:ind w:left="5040" w:hanging="360"/>
      </w:pPr>
      <w:rPr>
        <w:rFonts w:ascii="Wingdings" w:hAnsi="Wingdings" w:hint="default"/>
      </w:rPr>
    </w:lvl>
    <w:lvl w:ilvl="6" w:tplc="040B0001" w:tentative="1">
      <w:start w:val="1"/>
      <w:numFmt w:val="bullet"/>
      <w:lvlText w:val=""/>
      <w:lvlJc w:val="left"/>
      <w:pPr>
        <w:ind w:left="5760" w:hanging="360"/>
      </w:pPr>
      <w:rPr>
        <w:rFonts w:ascii="Symbol" w:hAnsi="Symbol" w:hint="default"/>
      </w:rPr>
    </w:lvl>
    <w:lvl w:ilvl="7" w:tplc="040B0003" w:tentative="1">
      <w:start w:val="1"/>
      <w:numFmt w:val="bullet"/>
      <w:lvlText w:val="o"/>
      <w:lvlJc w:val="left"/>
      <w:pPr>
        <w:ind w:left="6480" w:hanging="360"/>
      </w:pPr>
      <w:rPr>
        <w:rFonts w:ascii="Courier New" w:hAnsi="Courier New" w:cs="Courier New" w:hint="default"/>
      </w:rPr>
    </w:lvl>
    <w:lvl w:ilvl="8" w:tplc="040B0005" w:tentative="1">
      <w:start w:val="1"/>
      <w:numFmt w:val="bullet"/>
      <w:lvlText w:val=""/>
      <w:lvlJc w:val="left"/>
      <w:pPr>
        <w:ind w:left="7200" w:hanging="360"/>
      </w:pPr>
      <w:rPr>
        <w:rFonts w:ascii="Wingdings" w:hAnsi="Wingdings" w:hint="default"/>
      </w:rPr>
    </w:lvl>
  </w:abstractNum>
  <w:abstractNum w:abstractNumId="26" w15:restartNumberingAfterBreak="0">
    <w:nsid w:val="514D337A"/>
    <w:multiLevelType w:val="hybridMultilevel"/>
    <w:tmpl w:val="688C4D04"/>
    <w:lvl w:ilvl="0" w:tplc="C89C9F68">
      <w:start w:val="1"/>
      <w:numFmt w:val="decimal"/>
      <w:pStyle w:val="myReference"/>
      <w:lvlText w:val="[%1]"/>
      <w:lvlJc w:val="left"/>
      <w:pPr>
        <w:tabs>
          <w:tab w:val="num" w:pos="-1440"/>
        </w:tabs>
        <w:ind w:left="-1440" w:hanging="360"/>
      </w:pPr>
      <w:rPr>
        <w:rFonts w:hint="default"/>
      </w:rPr>
    </w:lvl>
    <w:lvl w:ilvl="1" w:tplc="EEFCF51E" w:tentative="1">
      <w:start w:val="1"/>
      <w:numFmt w:val="lowerLetter"/>
      <w:lvlText w:val="%2."/>
      <w:lvlJc w:val="left"/>
      <w:pPr>
        <w:tabs>
          <w:tab w:val="num" w:pos="-720"/>
        </w:tabs>
        <w:ind w:left="-720" w:hanging="360"/>
      </w:pPr>
    </w:lvl>
    <w:lvl w:ilvl="2" w:tplc="20CA296A" w:tentative="1">
      <w:start w:val="1"/>
      <w:numFmt w:val="lowerRoman"/>
      <w:lvlText w:val="%3."/>
      <w:lvlJc w:val="right"/>
      <w:pPr>
        <w:tabs>
          <w:tab w:val="num" w:pos="0"/>
        </w:tabs>
        <w:ind w:left="0" w:hanging="180"/>
      </w:pPr>
    </w:lvl>
    <w:lvl w:ilvl="3" w:tplc="30FEDD4A" w:tentative="1">
      <w:start w:val="1"/>
      <w:numFmt w:val="decimal"/>
      <w:lvlText w:val="%4."/>
      <w:lvlJc w:val="left"/>
      <w:pPr>
        <w:tabs>
          <w:tab w:val="num" w:pos="720"/>
        </w:tabs>
        <w:ind w:left="720" w:hanging="360"/>
      </w:pPr>
    </w:lvl>
    <w:lvl w:ilvl="4" w:tplc="E20680AA" w:tentative="1">
      <w:start w:val="1"/>
      <w:numFmt w:val="lowerLetter"/>
      <w:lvlText w:val="%5."/>
      <w:lvlJc w:val="left"/>
      <w:pPr>
        <w:tabs>
          <w:tab w:val="num" w:pos="1440"/>
        </w:tabs>
        <w:ind w:left="1440" w:hanging="360"/>
      </w:pPr>
    </w:lvl>
    <w:lvl w:ilvl="5" w:tplc="65B8D602" w:tentative="1">
      <w:start w:val="1"/>
      <w:numFmt w:val="lowerRoman"/>
      <w:lvlText w:val="%6."/>
      <w:lvlJc w:val="right"/>
      <w:pPr>
        <w:tabs>
          <w:tab w:val="num" w:pos="2160"/>
        </w:tabs>
        <w:ind w:left="2160" w:hanging="180"/>
      </w:pPr>
    </w:lvl>
    <w:lvl w:ilvl="6" w:tplc="8FDA1412" w:tentative="1">
      <w:start w:val="1"/>
      <w:numFmt w:val="decimal"/>
      <w:lvlText w:val="%7."/>
      <w:lvlJc w:val="left"/>
      <w:pPr>
        <w:tabs>
          <w:tab w:val="num" w:pos="2880"/>
        </w:tabs>
        <w:ind w:left="2880" w:hanging="360"/>
      </w:pPr>
    </w:lvl>
    <w:lvl w:ilvl="7" w:tplc="78446746" w:tentative="1">
      <w:start w:val="1"/>
      <w:numFmt w:val="lowerLetter"/>
      <w:lvlText w:val="%8."/>
      <w:lvlJc w:val="left"/>
      <w:pPr>
        <w:tabs>
          <w:tab w:val="num" w:pos="3600"/>
        </w:tabs>
        <w:ind w:left="3600" w:hanging="360"/>
      </w:pPr>
    </w:lvl>
    <w:lvl w:ilvl="8" w:tplc="6B7AC6B6" w:tentative="1">
      <w:start w:val="1"/>
      <w:numFmt w:val="lowerRoman"/>
      <w:lvlText w:val="%9."/>
      <w:lvlJc w:val="right"/>
      <w:pPr>
        <w:tabs>
          <w:tab w:val="num" w:pos="4320"/>
        </w:tabs>
        <w:ind w:left="4320" w:hanging="180"/>
      </w:p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1F44A7"/>
    <w:multiLevelType w:val="hybridMultilevel"/>
    <w:tmpl w:val="36A0F8F2"/>
    <w:lvl w:ilvl="0" w:tplc="EE920328">
      <w:start w:val="1"/>
      <w:numFmt w:val="bullet"/>
      <w:pStyle w:val="EmailDiscussion"/>
      <w:lvlText w:val=""/>
      <w:lvlJc w:val="left"/>
      <w:pPr>
        <w:tabs>
          <w:tab w:val="num" w:pos="1710"/>
        </w:tabs>
        <w:ind w:left="171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4B328A"/>
    <w:multiLevelType w:val="hybridMultilevel"/>
    <w:tmpl w:val="4AA4D214"/>
    <w:lvl w:ilvl="0" w:tplc="A1B6661A">
      <w:start w:val="1"/>
      <w:numFmt w:val="decimal"/>
      <w:lvlText w:val="[%1]"/>
      <w:lvlJc w:val="left"/>
      <w:pPr>
        <w:tabs>
          <w:tab w:val="num" w:pos="360"/>
        </w:tabs>
        <w:ind w:left="360" w:hanging="360"/>
      </w:pPr>
      <w:rPr>
        <w:rFonts w:hint="default"/>
      </w:rPr>
    </w:lvl>
    <w:lvl w:ilvl="1" w:tplc="04090003">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3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57AA543B"/>
    <w:multiLevelType w:val="hybridMultilevel"/>
    <w:tmpl w:val="682495F0"/>
    <w:lvl w:ilvl="0" w:tplc="040B0011">
      <w:start w:val="1"/>
      <w:numFmt w:val="decimal"/>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59CA61C1"/>
    <w:multiLevelType w:val="hybridMultilevel"/>
    <w:tmpl w:val="91B41AB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2866A22"/>
    <w:multiLevelType w:val="hybridMultilevel"/>
    <w:tmpl w:val="F02AFCAA"/>
    <w:lvl w:ilvl="0" w:tplc="9FE0C394">
      <w:start w:val="1"/>
      <w:numFmt w:val="bullet"/>
      <w:lvlText w:val="•"/>
      <w:lvlJc w:val="left"/>
      <w:pPr>
        <w:tabs>
          <w:tab w:val="num" w:pos="720"/>
        </w:tabs>
        <w:ind w:left="720" w:hanging="360"/>
      </w:pPr>
      <w:rPr>
        <w:rFonts w:ascii="Arial" w:hAnsi="Arial" w:hint="default"/>
      </w:rPr>
    </w:lvl>
    <w:lvl w:ilvl="1" w:tplc="7EE0DCBC" w:tentative="1">
      <w:start w:val="1"/>
      <w:numFmt w:val="bullet"/>
      <w:lvlText w:val="•"/>
      <w:lvlJc w:val="left"/>
      <w:pPr>
        <w:tabs>
          <w:tab w:val="num" w:pos="1440"/>
        </w:tabs>
        <w:ind w:left="1440" w:hanging="360"/>
      </w:pPr>
      <w:rPr>
        <w:rFonts w:ascii="Arial" w:hAnsi="Arial" w:hint="default"/>
      </w:rPr>
    </w:lvl>
    <w:lvl w:ilvl="2" w:tplc="94A4CBD4" w:tentative="1">
      <w:start w:val="1"/>
      <w:numFmt w:val="bullet"/>
      <w:lvlText w:val="•"/>
      <w:lvlJc w:val="left"/>
      <w:pPr>
        <w:tabs>
          <w:tab w:val="num" w:pos="2160"/>
        </w:tabs>
        <w:ind w:left="2160" w:hanging="360"/>
      </w:pPr>
      <w:rPr>
        <w:rFonts w:ascii="Arial" w:hAnsi="Arial" w:hint="default"/>
      </w:rPr>
    </w:lvl>
    <w:lvl w:ilvl="3" w:tplc="26C81994" w:tentative="1">
      <w:start w:val="1"/>
      <w:numFmt w:val="bullet"/>
      <w:lvlText w:val="•"/>
      <w:lvlJc w:val="left"/>
      <w:pPr>
        <w:tabs>
          <w:tab w:val="num" w:pos="2880"/>
        </w:tabs>
        <w:ind w:left="2880" w:hanging="360"/>
      </w:pPr>
      <w:rPr>
        <w:rFonts w:ascii="Arial" w:hAnsi="Arial" w:hint="default"/>
      </w:rPr>
    </w:lvl>
    <w:lvl w:ilvl="4" w:tplc="89CAA318" w:tentative="1">
      <w:start w:val="1"/>
      <w:numFmt w:val="bullet"/>
      <w:lvlText w:val="•"/>
      <w:lvlJc w:val="left"/>
      <w:pPr>
        <w:tabs>
          <w:tab w:val="num" w:pos="3600"/>
        </w:tabs>
        <w:ind w:left="3600" w:hanging="360"/>
      </w:pPr>
      <w:rPr>
        <w:rFonts w:ascii="Arial" w:hAnsi="Arial" w:hint="default"/>
      </w:rPr>
    </w:lvl>
    <w:lvl w:ilvl="5" w:tplc="406847E0" w:tentative="1">
      <w:start w:val="1"/>
      <w:numFmt w:val="bullet"/>
      <w:lvlText w:val="•"/>
      <w:lvlJc w:val="left"/>
      <w:pPr>
        <w:tabs>
          <w:tab w:val="num" w:pos="4320"/>
        </w:tabs>
        <w:ind w:left="4320" w:hanging="360"/>
      </w:pPr>
      <w:rPr>
        <w:rFonts w:ascii="Arial" w:hAnsi="Arial" w:hint="default"/>
      </w:rPr>
    </w:lvl>
    <w:lvl w:ilvl="6" w:tplc="C44AE690" w:tentative="1">
      <w:start w:val="1"/>
      <w:numFmt w:val="bullet"/>
      <w:lvlText w:val="•"/>
      <w:lvlJc w:val="left"/>
      <w:pPr>
        <w:tabs>
          <w:tab w:val="num" w:pos="5040"/>
        </w:tabs>
        <w:ind w:left="5040" w:hanging="360"/>
      </w:pPr>
      <w:rPr>
        <w:rFonts w:ascii="Arial" w:hAnsi="Arial" w:hint="default"/>
      </w:rPr>
    </w:lvl>
    <w:lvl w:ilvl="7" w:tplc="DF2A060A" w:tentative="1">
      <w:start w:val="1"/>
      <w:numFmt w:val="bullet"/>
      <w:lvlText w:val="•"/>
      <w:lvlJc w:val="left"/>
      <w:pPr>
        <w:tabs>
          <w:tab w:val="num" w:pos="5760"/>
        </w:tabs>
        <w:ind w:left="5760" w:hanging="360"/>
      </w:pPr>
      <w:rPr>
        <w:rFonts w:ascii="Arial" w:hAnsi="Arial" w:hint="default"/>
      </w:rPr>
    </w:lvl>
    <w:lvl w:ilvl="8" w:tplc="254058A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A4C31BE"/>
    <w:multiLevelType w:val="hybridMultilevel"/>
    <w:tmpl w:val="0638EAFE"/>
    <w:lvl w:ilvl="0" w:tplc="040B000F">
      <w:start w:val="1"/>
      <w:numFmt w:val="decimal"/>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2C94CDC"/>
    <w:multiLevelType w:val="hybridMultilevel"/>
    <w:tmpl w:val="D56C495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A8A4E08"/>
    <w:multiLevelType w:val="hybridMultilevel"/>
    <w:tmpl w:val="94D2BD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6"/>
  </w:num>
  <w:num w:numId="2">
    <w:abstractNumId w:val="18"/>
  </w:num>
  <w:num w:numId="3">
    <w:abstractNumId w:val="40"/>
  </w:num>
  <w:num w:numId="4">
    <w:abstractNumId w:val="14"/>
  </w:num>
  <w:num w:numId="5">
    <w:abstractNumId w:val="3"/>
  </w:num>
  <w:num w:numId="6">
    <w:abstractNumId w:val="36"/>
  </w:num>
  <w:num w:numId="7">
    <w:abstractNumId w:val="30"/>
  </w:num>
  <w:num w:numId="8">
    <w:abstractNumId w:val="35"/>
  </w:num>
  <w:num w:numId="9">
    <w:abstractNumId w:val="16"/>
  </w:num>
  <w:num w:numId="10">
    <w:abstractNumId w:val="27"/>
  </w:num>
  <w:num w:numId="11">
    <w:abstractNumId w:val="41"/>
  </w:num>
  <w:num w:numId="12">
    <w:abstractNumId w:val="22"/>
  </w:num>
  <w:num w:numId="13">
    <w:abstractNumId w:val="29"/>
  </w:num>
  <w:num w:numId="14">
    <w:abstractNumId w:val="20"/>
  </w:num>
  <w:num w:numId="15">
    <w:abstractNumId w:val="39"/>
  </w:num>
  <w:num w:numId="16">
    <w:abstractNumId w:val="17"/>
  </w:num>
  <w:num w:numId="17">
    <w:abstractNumId w:val="5"/>
  </w:num>
  <w:num w:numId="18">
    <w:abstractNumId w:val="12"/>
  </w:num>
  <w:num w:numId="19">
    <w:abstractNumId w:val="8"/>
  </w:num>
  <w:num w:numId="20">
    <w:abstractNumId w:val="33"/>
  </w:num>
  <w:num w:numId="21">
    <w:abstractNumId w:val="15"/>
  </w:num>
  <w:num w:numId="22">
    <w:abstractNumId w:val="4"/>
  </w:num>
  <w:num w:numId="23">
    <w:abstractNumId w:val="2"/>
  </w:num>
  <w:num w:numId="24">
    <w:abstractNumId w:val="2"/>
  </w:num>
  <w:num w:numId="25">
    <w:abstractNumId w:val="11"/>
  </w:num>
  <w:num w:numId="26">
    <w:abstractNumId w:val="34"/>
  </w:num>
  <w:num w:numId="27">
    <w:abstractNumId w:val="31"/>
  </w:num>
  <w:num w:numId="28">
    <w:abstractNumId w:val="25"/>
  </w:num>
  <w:num w:numId="29">
    <w:abstractNumId w:val="1"/>
  </w:num>
  <w:num w:numId="30">
    <w:abstractNumId w:val="0"/>
  </w:num>
  <w:num w:numId="31">
    <w:abstractNumId w:val="21"/>
  </w:num>
  <w:num w:numId="32">
    <w:abstractNumId w:val="13"/>
  </w:num>
  <w:num w:numId="33">
    <w:abstractNumId w:val="9"/>
  </w:num>
  <w:num w:numId="34">
    <w:abstractNumId w:val="24"/>
  </w:num>
  <w:num w:numId="35">
    <w:abstractNumId w:val="7"/>
  </w:num>
  <w:num w:numId="36">
    <w:abstractNumId w:val="37"/>
  </w:num>
  <w:num w:numId="37">
    <w:abstractNumId w:val="28"/>
  </w:num>
  <w:num w:numId="38">
    <w:abstractNumId w:val="6"/>
  </w:num>
  <w:num w:numId="39">
    <w:abstractNumId w:val="32"/>
  </w:num>
  <w:num w:numId="40">
    <w:abstractNumId w:val="10"/>
  </w:num>
  <w:num w:numId="41">
    <w:abstractNumId w:val="19"/>
  </w:num>
  <w:num w:numId="42">
    <w:abstractNumId w:val="38"/>
  </w:num>
  <w:num w:numId="43">
    <w:abstractNumId w:val="2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12E6"/>
    <w:rsid w:val="00001585"/>
    <w:rsid w:val="000017D0"/>
    <w:rsid w:val="000019EF"/>
    <w:rsid w:val="00002D80"/>
    <w:rsid w:val="000038A8"/>
    <w:rsid w:val="00003D12"/>
    <w:rsid w:val="00004808"/>
    <w:rsid w:val="00005AAD"/>
    <w:rsid w:val="0000612E"/>
    <w:rsid w:val="000064EF"/>
    <w:rsid w:val="0000683D"/>
    <w:rsid w:val="00006D3E"/>
    <w:rsid w:val="00010AC0"/>
    <w:rsid w:val="00011083"/>
    <w:rsid w:val="000119C0"/>
    <w:rsid w:val="00012A2A"/>
    <w:rsid w:val="00012E0D"/>
    <w:rsid w:val="00016452"/>
    <w:rsid w:val="00016BA0"/>
    <w:rsid w:val="00020FFC"/>
    <w:rsid w:val="00021E7C"/>
    <w:rsid w:val="00022200"/>
    <w:rsid w:val="00022750"/>
    <w:rsid w:val="00022F79"/>
    <w:rsid w:val="00023420"/>
    <w:rsid w:val="00023F41"/>
    <w:rsid w:val="00024555"/>
    <w:rsid w:val="00024DA3"/>
    <w:rsid w:val="000253F5"/>
    <w:rsid w:val="000278FA"/>
    <w:rsid w:val="00030F6A"/>
    <w:rsid w:val="000329BE"/>
    <w:rsid w:val="00032E33"/>
    <w:rsid w:val="000337B8"/>
    <w:rsid w:val="0003397D"/>
    <w:rsid w:val="00034D1A"/>
    <w:rsid w:val="000350F5"/>
    <w:rsid w:val="00036334"/>
    <w:rsid w:val="00036490"/>
    <w:rsid w:val="000364C3"/>
    <w:rsid w:val="00036878"/>
    <w:rsid w:val="00041216"/>
    <w:rsid w:val="0004126F"/>
    <w:rsid w:val="0004145C"/>
    <w:rsid w:val="00041CE6"/>
    <w:rsid w:val="0004250C"/>
    <w:rsid w:val="00043B5D"/>
    <w:rsid w:val="00043D6A"/>
    <w:rsid w:val="00043ED1"/>
    <w:rsid w:val="00044215"/>
    <w:rsid w:val="0004544D"/>
    <w:rsid w:val="0004586A"/>
    <w:rsid w:val="00045CAF"/>
    <w:rsid w:val="00045DD8"/>
    <w:rsid w:val="000466F4"/>
    <w:rsid w:val="00046833"/>
    <w:rsid w:val="00046EDB"/>
    <w:rsid w:val="000473C5"/>
    <w:rsid w:val="000473D7"/>
    <w:rsid w:val="000478FE"/>
    <w:rsid w:val="00050937"/>
    <w:rsid w:val="00050AEA"/>
    <w:rsid w:val="00050F83"/>
    <w:rsid w:val="00051646"/>
    <w:rsid w:val="00051D7C"/>
    <w:rsid w:val="0005285C"/>
    <w:rsid w:val="00052EEB"/>
    <w:rsid w:val="00054A64"/>
    <w:rsid w:val="0005692B"/>
    <w:rsid w:val="00057323"/>
    <w:rsid w:val="00057D66"/>
    <w:rsid w:val="000610FD"/>
    <w:rsid w:val="0006168A"/>
    <w:rsid w:val="000622DA"/>
    <w:rsid w:val="00062329"/>
    <w:rsid w:val="00062576"/>
    <w:rsid w:val="000629D3"/>
    <w:rsid w:val="00062A74"/>
    <w:rsid w:val="00062E33"/>
    <w:rsid w:val="00064217"/>
    <w:rsid w:val="00064909"/>
    <w:rsid w:val="00064A6F"/>
    <w:rsid w:val="00065047"/>
    <w:rsid w:val="00067C77"/>
    <w:rsid w:val="00067EA6"/>
    <w:rsid w:val="00070485"/>
    <w:rsid w:val="00070D0C"/>
    <w:rsid w:val="00070DF5"/>
    <w:rsid w:val="00071239"/>
    <w:rsid w:val="000714A7"/>
    <w:rsid w:val="00071BE8"/>
    <w:rsid w:val="0007265D"/>
    <w:rsid w:val="00072E66"/>
    <w:rsid w:val="00073955"/>
    <w:rsid w:val="0007511F"/>
    <w:rsid w:val="0007518E"/>
    <w:rsid w:val="00075853"/>
    <w:rsid w:val="00075992"/>
    <w:rsid w:val="00076338"/>
    <w:rsid w:val="0007708D"/>
    <w:rsid w:val="00081A1B"/>
    <w:rsid w:val="00082368"/>
    <w:rsid w:val="000826F7"/>
    <w:rsid w:val="00082919"/>
    <w:rsid w:val="000835E1"/>
    <w:rsid w:val="00084453"/>
    <w:rsid w:val="00085008"/>
    <w:rsid w:val="000864E9"/>
    <w:rsid w:val="00087102"/>
    <w:rsid w:val="00087522"/>
    <w:rsid w:val="00087602"/>
    <w:rsid w:val="0008772F"/>
    <w:rsid w:val="00087A60"/>
    <w:rsid w:val="000906E6"/>
    <w:rsid w:val="0009083B"/>
    <w:rsid w:val="00090D20"/>
    <w:rsid w:val="0009263F"/>
    <w:rsid w:val="000933C8"/>
    <w:rsid w:val="00093E30"/>
    <w:rsid w:val="00093E5B"/>
    <w:rsid w:val="0009501F"/>
    <w:rsid w:val="00095A55"/>
    <w:rsid w:val="0009681B"/>
    <w:rsid w:val="00096BF8"/>
    <w:rsid w:val="00096F7C"/>
    <w:rsid w:val="000A225A"/>
    <w:rsid w:val="000A23F7"/>
    <w:rsid w:val="000A3E8E"/>
    <w:rsid w:val="000A6F38"/>
    <w:rsid w:val="000A798F"/>
    <w:rsid w:val="000B1157"/>
    <w:rsid w:val="000B2A96"/>
    <w:rsid w:val="000B2FC0"/>
    <w:rsid w:val="000B3041"/>
    <w:rsid w:val="000B3164"/>
    <w:rsid w:val="000B326F"/>
    <w:rsid w:val="000B36C9"/>
    <w:rsid w:val="000B391E"/>
    <w:rsid w:val="000B4061"/>
    <w:rsid w:val="000B4311"/>
    <w:rsid w:val="000B4E46"/>
    <w:rsid w:val="000B5895"/>
    <w:rsid w:val="000B6124"/>
    <w:rsid w:val="000B7120"/>
    <w:rsid w:val="000B7758"/>
    <w:rsid w:val="000C1440"/>
    <w:rsid w:val="000C1AA6"/>
    <w:rsid w:val="000C25B8"/>
    <w:rsid w:val="000C27D7"/>
    <w:rsid w:val="000C2EA1"/>
    <w:rsid w:val="000C3C80"/>
    <w:rsid w:val="000C3DCF"/>
    <w:rsid w:val="000C3E78"/>
    <w:rsid w:val="000C401C"/>
    <w:rsid w:val="000C51AF"/>
    <w:rsid w:val="000D0190"/>
    <w:rsid w:val="000D09DE"/>
    <w:rsid w:val="000D2475"/>
    <w:rsid w:val="000D2901"/>
    <w:rsid w:val="000D2E51"/>
    <w:rsid w:val="000D3F6B"/>
    <w:rsid w:val="000D4E73"/>
    <w:rsid w:val="000E1038"/>
    <w:rsid w:val="000E1793"/>
    <w:rsid w:val="000E19C7"/>
    <w:rsid w:val="000E1DC7"/>
    <w:rsid w:val="000E201D"/>
    <w:rsid w:val="000E2852"/>
    <w:rsid w:val="000E33A7"/>
    <w:rsid w:val="000E4053"/>
    <w:rsid w:val="000E507D"/>
    <w:rsid w:val="000E526E"/>
    <w:rsid w:val="000E66BC"/>
    <w:rsid w:val="000E6CF1"/>
    <w:rsid w:val="000E6CFE"/>
    <w:rsid w:val="000E7556"/>
    <w:rsid w:val="000E7883"/>
    <w:rsid w:val="000E78CA"/>
    <w:rsid w:val="000F0202"/>
    <w:rsid w:val="000F0282"/>
    <w:rsid w:val="000F05C6"/>
    <w:rsid w:val="000F0746"/>
    <w:rsid w:val="000F0DC9"/>
    <w:rsid w:val="000F11AD"/>
    <w:rsid w:val="000F1C1E"/>
    <w:rsid w:val="000F1CB4"/>
    <w:rsid w:val="000F29CB"/>
    <w:rsid w:val="000F2BED"/>
    <w:rsid w:val="000F3666"/>
    <w:rsid w:val="000F50C4"/>
    <w:rsid w:val="000F5653"/>
    <w:rsid w:val="000F5A6E"/>
    <w:rsid w:val="000F6BB6"/>
    <w:rsid w:val="000F70F2"/>
    <w:rsid w:val="000F7E0E"/>
    <w:rsid w:val="00100473"/>
    <w:rsid w:val="00100523"/>
    <w:rsid w:val="00102205"/>
    <w:rsid w:val="001048F9"/>
    <w:rsid w:val="00104979"/>
    <w:rsid w:val="00104DF9"/>
    <w:rsid w:val="00104E1B"/>
    <w:rsid w:val="00105617"/>
    <w:rsid w:val="00106374"/>
    <w:rsid w:val="001065D9"/>
    <w:rsid w:val="00110001"/>
    <w:rsid w:val="0011042F"/>
    <w:rsid w:val="00110AE2"/>
    <w:rsid w:val="00110C79"/>
    <w:rsid w:val="001111C1"/>
    <w:rsid w:val="001112DC"/>
    <w:rsid w:val="00111CC2"/>
    <w:rsid w:val="0011240D"/>
    <w:rsid w:val="00112CE7"/>
    <w:rsid w:val="0011498E"/>
    <w:rsid w:val="00115D7C"/>
    <w:rsid w:val="0011605B"/>
    <w:rsid w:val="0011668A"/>
    <w:rsid w:val="00116B24"/>
    <w:rsid w:val="0011716F"/>
    <w:rsid w:val="00117C6C"/>
    <w:rsid w:val="00121BCC"/>
    <w:rsid w:val="00121C06"/>
    <w:rsid w:val="00122120"/>
    <w:rsid w:val="00122919"/>
    <w:rsid w:val="001236A3"/>
    <w:rsid w:val="001238B2"/>
    <w:rsid w:val="00123AC6"/>
    <w:rsid w:val="00124086"/>
    <w:rsid w:val="00125013"/>
    <w:rsid w:val="001268ED"/>
    <w:rsid w:val="00126B33"/>
    <w:rsid w:val="00127404"/>
    <w:rsid w:val="0012751C"/>
    <w:rsid w:val="001301C6"/>
    <w:rsid w:val="001311C2"/>
    <w:rsid w:val="00134549"/>
    <w:rsid w:val="00134A06"/>
    <w:rsid w:val="00134BAA"/>
    <w:rsid w:val="001353FB"/>
    <w:rsid w:val="00136050"/>
    <w:rsid w:val="0013678C"/>
    <w:rsid w:val="00137B7B"/>
    <w:rsid w:val="001409CF"/>
    <w:rsid w:val="00142148"/>
    <w:rsid w:val="0014240F"/>
    <w:rsid w:val="00143056"/>
    <w:rsid w:val="00143174"/>
    <w:rsid w:val="0014355A"/>
    <w:rsid w:val="00144239"/>
    <w:rsid w:val="00144944"/>
    <w:rsid w:val="00144A33"/>
    <w:rsid w:val="00144F80"/>
    <w:rsid w:val="00146A0D"/>
    <w:rsid w:val="00146B5D"/>
    <w:rsid w:val="001470EE"/>
    <w:rsid w:val="00147A43"/>
    <w:rsid w:val="00147C25"/>
    <w:rsid w:val="00150E2D"/>
    <w:rsid w:val="00150F94"/>
    <w:rsid w:val="0015160B"/>
    <w:rsid w:val="00151E16"/>
    <w:rsid w:val="00152DFD"/>
    <w:rsid w:val="0015353E"/>
    <w:rsid w:val="00153BDE"/>
    <w:rsid w:val="00154C37"/>
    <w:rsid w:val="00154D32"/>
    <w:rsid w:val="00155D99"/>
    <w:rsid w:val="00156520"/>
    <w:rsid w:val="001571D4"/>
    <w:rsid w:val="00157D88"/>
    <w:rsid w:val="00160223"/>
    <w:rsid w:val="00162F8C"/>
    <w:rsid w:val="00163402"/>
    <w:rsid w:val="00163418"/>
    <w:rsid w:val="00163FF3"/>
    <w:rsid w:val="001645BC"/>
    <w:rsid w:val="00164EE9"/>
    <w:rsid w:val="001654EB"/>
    <w:rsid w:val="00166439"/>
    <w:rsid w:val="0016658C"/>
    <w:rsid w:val="00166972"/>
    <w:rsid w:val="00167F1B"/>
    <w:rsid w:val="00170284"/>
    <w:rsid w:val="0017170D"/>
    <w:rsid w:val="00171EC5"/>
    <w:rsid w:val="001722E4"/>
    <w:rsid w:val="0017255A"/>
    <w:rsid w:val="00172744"/>
    <w:rsid w:val="00172EF5"/>
    <w:rsid w:val="00173053"/>
    <w:rsid w:val="00173493"/>
    <w:rsid w:val="00175B8B"/>
    <w:rsid w:val="001761C1"/>
    <w:rsid w:val="00176D02"/>
    <w:rsid w:val="00177447"/>
    <w:rsid w:val="001777CF"/>
    <w:rsid w:val="001804A7"/>
    <w:rsid w:val="00181456"/>
    <w:rsid w:val="00182487"/>
    <w:rsid w:val="00183EEE"/>
    <w:rsid w:val="0018696D"/>
    <w:rsid w:val="001879A9"/>
    <w:rsid w:val="0019099F"/>
    <w:rsid w:val="00190F8E"/>
    <w:rsid w:val="001911ED"/>
    <w:rsid w:val="00192A46"/>
    <w:rsid w:val="00192D27"/>
    <w:rsid w:val="001943B0"/>
    <w:rsid w:val="001956E8"/>
    <w:rsid w:val="0019637D"/>
    <w:rsid w:val="00196546"/>
    <w:rsid w:val="001A0E48"/>
    <w:rsid w:val="001A0EDA"/>
    <w:rsid w:val="001A0FA7"/>
    <w:rsid w:val="001A1007"/>
    <w:rsid w:val="001A23D2"/>
    <w:rsid w:val="001A269E"/>
    <w:rsid w:val="001A2881"/>
    <w:rsid w:val="001A4F26"/>
    <w:rsid w:val="001A6521"/>
    <w:rsid w:val="001A6C55"/>
    <w:rsid w:val="001A7019"/>
    <w:rsid w:val="001A70CB"/>
    <w:rsid w:val="001B2199"/>
    <w:rsid w:val="001B339D"/>
    <w:rsid w:val="001B661C"/>
    <w:rsid w:val="001B6691"/>
    <w:rsid w:val="001B78AE"/>
    <w:rsid w:val="001B7AB8"/>
    <w:rsid w:val="001C10A4"/>
    <w:rsid w:val="001C23C1"/>
    <w:rsid w:val="001C2A5B"/>
    <w:rsid w:val="001C2F51"/>
    <w:rsid w:val="001C3350"/>
    <w:rsid w:val="001C3538"/>
    <w:rsid w:val="001C3631"/>
    <w:rsid w:val="001C3CB6"/>
    <w:rsid w:val="001C5164"/>
    <w:rsid w:val="001C6B0C"/>
    <w:rsid w:val="001C763E"/>
    <w:rsid w:val="001C767D"/>
    <w:rsid w:val="001D0A3B"/>
    <w:rsid w:val="001D1C10"/>
    <w:rsid w:val="001D3758"/>
    <w:rsid w:val="001D67DE"/>
    <w:rsid w:val="001D6B56"/>
    <w:rsid w:val="001E0C58"/>
    <w:rsid w:val="001E0D31"/>
    <w:rsid w:val="001E3991"/>
    <w:rsid w:val="001E3D80"/>
    <w:rsid w:val="001E438D"/>
    <w:rsid w:val="001E50F2"/>
    <w:rsid w:val="001E5290"/>
    <w:rsid w:val="001E597F"/>
    <w:rsid w:val="001E60E9"/>
    <w:rsid w:val="001E6212"/>
    <w:rsid w:val="001F1445"/>
    <w:rsid w:val="001F14E8"/>
    <w:rsid w:val="001F2F76"/>
    <w:rsid w:val="001F327C"/>
    <w:rsid w:val="001F35CA"/>
    <w:rsid w:val="001F3657"/>
    <w:rsid w:val="001F38EF"/>
    <w:rsid w:val="001F570C"/>
    <w:rsid w:val="001F6253"/>
    <w:rsid w:val="001F647D"/>
    <w:rsid w:val="001F75FA"/>
    <w:rsid w:val="001F768E"/>
    <w:rsid w:val="001F7883"/>
    <w:rsid w:val="00200BF4"/>
    <w:rsid w:val="002015DB"/>
    <w:rsid w:val="0020181B"/>
    <w:rsid w:val="00201A36"/>
    <w:rsid w:val="00201AAE"/>
    <w:rsid w:val="00202588"/>
    <w:rsid w:val="00203A32"/>
    <w:rsid w:val="002048BD"/>
    <w:rsid w:val="00206699"/>
    <w:rsid w:val="00207358"/>
    <w:rsid w:val="00210957"/>
    <w:rsid w:val="00210D00"/>
    <w:rsid w:val="00211608"/>
    <w:rsid w:val="002126B8"/>
    <w:rsid w:val="002129B6"/>
    <w:rsid w:val="00215402"/>
    <w:rsid w:val="00216AD6"/>
    <w:rsid w:val="00217189"/>
    <w:rsid w:val="00217E7E"/>
    <w:rsid w:val="00217FEC"/>
    <w:rsid w:val="00220343"/>
    <w:rsid w:val="00221EFF"/>
    <w:rsid w:val="002232BC"/>
    <w:rsid w:val="00224221"/>
    <w:rsid w:val="0022428B"/>
    <w:rsid w:val="00224DA2"/>
    <w:rsid w:val="002253B2"/>
    <w:rsid w:val="00226B64"/>
    <w:rsid w:val="00226C13"/>
    <w:rsid w:val="0022712F"/>
    <w:rsid w:val="00227411"/>
    <w:rsid w:val="00231062"/>
    <w:rsid w:val="00231159"/>
    <w:rsid w:val="0023115A"/>
    <w:rsid w:val="002331F4"/>
    <w:rsid w:val="00234F4F"/>
    <w:rsid w:val="00234F90"/>
    <w:rsid w:val="00235486"/>
    <w:rsid w:val="002354EF"/>
    <w:rsid w:val="0023739B"/>
    <w:rsid w:val="00241AF2"/>
    <w:rsid w:val="002421B6"/>
    <w:rsid w:val="00242397"/>
    <w:rsid w:val="002426C8"/>
    <w:rsid w:val="00242AE9"/>
    <w:rsid w:val="00243022"/>
    <w:rsid w:val="00243D81"/>
    <w:rsid w:val="00243DA3"/>
    <w:rsid w:val="00243EF7"/>
    <w:rsid w:val="00244AE4"/>
    <w:rsid w:val="00244FC1"/>
    <w:rsid w:val="0024558A"/>
    <w:rsid w:val="00245AC2"/>
    <w:rsid w:val="00245B05"/>
    <w:rsid w:val="00245D1B"/>
    <w:rsid w:val="002463C5"/>
    <w:rsid w:val="00246FBA"/>
    <w:rsid w:val="00247049"/>
    <w:rsid w:val="002475CE"/>
    <w:rsid w:val="00247950"/>
    <w:rsid w:val="00247B7F"/>
    <w:rsid w:val="00247BD1"/>
    <w:rsid w:val="00247EB1"/>
    <w:rsid w:val="00250130"/>
    <w:rsid w:val="00250262"/>
    <w:rsid w:val="002503DC"/>
    <w:rsid w:val="00250538"/>
    <w:rsid w:val="00250544"/>
    <w:rsid w:val="00250565"/>
    <w:rsid w:val="002526A4"/>
    <w:rsid w:val="00252713"/>
    <w:rsid w:val="00254946"/>
    <w:rsid w:val="00255C77"/>
    <w:rsid w:val="0025787C"/>
    <w:rsid w:val="00260373"/>
    <w:rsid w:val="0026055A"/>
    <w:rsid w:val="002637E7"/>
    <w:rsid w:val="002638FD"/>
    <w:rsid w:val="0026652B"/>
    <w:rsid w:val="00266A0A"/>
    <w:rsid w:val="002676D7"/>
    <w:rsid w:val="00267C91"/>
    <w:rsid w:val="00267E60"/>
    <w:rsid w:val="0027067C"/>
    <w:rsid w:val="002746DE"/>
    <w:rsid w:val="00274C4B"/>
    <w:rsid w:val="00274E46"/>
    <w:rsid w:val="00275DA4"/>
    <w:rsid w:val="0027671F"/>
    <w:rsid w:val="0027700E"/>
    <w:rsid w:val="00281458"/>
    <w:rsid w:val="002814EE"/>
    <w:rsid w:val="002817D8"/>
    <w:rsid w:val="00284600"/>
    <w:rsid w:val="00284FE5"/>
    <w:rsid w:val="002854CF"/>
    <w:rsid w:val="0028727D"/>
    <w:rsid w:val="00290080"/>
    <w:rsid w:val="0029195F"/>
    <w:rsid w:val="00291C07"/>
    <w:rsid w:val="00291C0E"/>
    <w:rsid w:val="002924B7"/>
    <w:rsid w:val="002945D4"/>
    <w:rsid w:val="00295668"/>
    <w:rsid w:val="00296FD9"/>
    <w:rsid w:val="002A087B"/>
    <w:rsid w:val="002A08A6"/>
    <w:rsid w:val="002A0C2D"/>
    <w:rsid w:val="002A0C31"/>
    <w:rsid w:val="002A160B"/>
    <w:rsid w:val="002A3D83"/>
    <w:rsid w:val="002A40B1"/>
    <w:rsid w:val="002A472E"/>
    <w:rsid w:val="002A47A3"/>
    <w:rsid w:val="002A4F73"/>
    <w:rsid w:val="002A55F3"/>
    <w:rsid w:val="002A6D1B"/>
    <w:rsid w:val="002A6DFE"/>
    <w:rsid w:val="002A7085"/>
    <w:rsid w:val="002A7834"/>
    <w:rsid w:val="002B17A7"/>
    <w:rsid w:val="002B1D9A"/>
    <w:rsid w:val="002B1FBF"/>
    <w:rsid w:val="002B20B8"/>
    <w:rsid w:val="002B26C9"/>
    <w:rsid w:val="002B3305"/>
    <w:rsid w:val="002B38E7"/>
    <w:rsid w:val="002B4B86"/>
    <w:rsid w:val="002B50C1"/>
    <w:rsid w:val="002B51FC"/>
    <w:rsid w:val="002B655B"/>
    <w:rsid w:val="002C14D5"/>
    <w:rsid w:val="002C1955"/>
    <w:rsid w:val="002C1C54"/>
    <w:rsid w:val="002C2141"/>
    <w:rsid w:val="002C2160"/>
    <w:rsid w:val="002C2C43"/>
    <w:rsid w:val="002C316B"/>
    <w:rsid w:val="002C5256"/>
    <w:rsid w:val="002C6774"/>
    <w:rsid w:val="002C7980"/>
    <w:rsid w:val="002D04B2"/>
    <w:rsid w:val="002D1CAF"/>
    <w:rsid w:val="002D3A2C"/>
    <w:rsid w:val="002D568E"/>
    <w:rsid w:val="002D641F"/>
    <w:rsid w:val="002D6A01"/>
    <w:rsid w:val="002D72D9"/>
    <w:rsid w:val="002D7D4A"/>
    <w:rsid w:val="002E04F9"/>
    <w:rsid w:val="002E0567"/>
    <w:rsid w:val="002E0893"/>
    <w:rsid w:val="002E0A88"/>
    <w:rsid w:val="002E2805"/>
    <w:rsid w:val="002E35FD"/>
    <w:rsid w:val="002E383E"/>
    <w:rsid w:val="002E4B20"/>
    <w:rsid w:val="002E586D"/>
    <w:rsid w:val="002E6CBE"/>
    <w:rsid w:val="002F0EAB"/>
    <w:rsid w:val="002F1C19"/>
    <w:rsid w:val="002F4979"/>
    <w:rsid w:val="002F4C27"/>
    <w:rsid w:val="002F4ECE"/>
    <w:rsid w:val="002F59D6"/>
    <w:rsid w:val="002F5F8E"/>
    <w:rsid w:val="002F61B6"/>
    <w:rsid w:val="002F638C"/>
    <w:rsid w:val="002F7CDE"/>
    <w:rsid w:val="00300D54"/>
    <w:rsid w:val="00301251"/>
    <w:rsid w:val="00301372"/>
    <w:rsid w:val="00301964"/>
    <w:rsid w:val="0030304B"/>
    <w:rsid w:val="00303E2A"/>
    <w:rsid w:val="00303E49"/>
    <w:rsid w:val="00305D2D"/>
    <w:rsid w:val="00306771"/>
    <w:rsid w:val="00307019"/>
    <w:rsid w:val="00307046"/>
    <w:rsid w:val="00311B8D"/>
    <w:rsid w:val="0031207C"/>
    <w:rsid w:val="003126F8"/>
    <w:rsid w:val="00313884"/>
    <w:rsid w:val="00314B6E"/>
    <w:rsid w:val="00315EF8"/>
    <w:rsid w:val="003170E1"/>
    <w:rsid w:val="00317C0B"/>
    <w:rsid w:val="003205BC"/>
    <w:rsid w:val="003207EB"/>
    <w:rsid w:val="00322762"/>
    <w:rsid w:val="00322C87"/>
    <w:rsid w:val="00323552"/>
    <w:rsid w:val="00323755"/>
    <w:rsid w:val="0033080F"/>
    <w:rsid w:val="00330AA6"/>
    <w:rsid w:val="0033109A"/>
    <w:rsid w:val="00331500"/>
    <w:rsid w:val="003316B2"/>
    <w:rsid w:val="00332E25"/>
    <w:rsid w:val="00334588"/>
    <w:rsid w:val="00334D2A"/>
    <w:rsid w:val="0033507D"/>
    <w:rsid w:val="00335528"/>
    <w:rsid w:val="0033593D"/>
    <w:rsid w:val="00337313"/>
    <w:rsid w:val="00337688"/>
    <w:rsid w:val="003412B3"/>
    <w:rsid w:val="0034167F"/>
    <w:rsid w:val="0034186D"/>
    <w:rsid w:val="0034187D"/>
    <w:rsid w:val="003429CE"/>
    <w:rsid w:val="0034380B"/>
    <w:rsid w:val="00343C61"/>
    <w:rsid w:val="00344086"/>
    <w:rsid w:val="0034437E"/>
    <w:rsid w:val="00344B69"/>
    <w:rsid w:val="003466EA"/>
    <w:rsid w:val="0035047C"/>
    <w:rsid w:val="0035054D"/>
    <w:rsid w:val="00350D6B"/>
    <w:rsid w:val="003512BF"/>
    <w:rsid w:val="00352333"/>
    <w:rsid w:val="00352793"/>
    <w:rsid w:val="00353E59"/>
    <w:rsid w:val="003570F2"/>
    <w:rsid w:val="0035775F"/>
    <w:rsid w:val="00357DF4"/>
    <w:rsid w:val="00360266"/>
    <w:rsid w:val="00360313"/>
    <w:rsid w:val="003605A9"/>
    <w:rsid w:val="003605C4"/>
    <w:rsid w:val="003606C5"/>
    <w:rsid w:val="003648B8"/>
    <w:rsid w:val="00365001"/>
    <w:rsid w:val="003663F8"/>
    <w:rsid w:val="00367713"/>
    <w:rsid w:val="00373293"/>
    <w:rsid w:val="00373D95"/>
    <w:rsid w:val="00374315"/>
    <w:rsid w:val="003745C8"/>
    <w:rsid w:val="00374FA0"/>
    <w:rsid w:val="00375209"/>
    <w:rsid w:val="00375488"/>
    <w:rsid w:val="00376A5A"/>
    <w:rsid w:val="00377541"/>
    <w:rsid w:val="00380251"/>
    <w:rsid w:val="00383195"/>
    <w:rsid w:val="00383503"/>
    <w:rsid w:val="003835BE"/>
    <w:rsid w:val="003852DF"/>
    <w:rsid w:val="00385D27"/>
    <w:rsid w:val="0038651D"/>
    <w:rsid w:val="0038795B"/>
    <w:rsid w:val="003879D8"/>
    <w:rsid w:val="0039039F"/>
    <w:rsid w:val="00391A4A"/>
    <w:rsid w:val="003920DB"/>
    <w:rsid w:val="0039295B"/>
    <w:rsid w:val="00392DE4"/>
    <w:rsid w:val="00393C6B"/>
    <w:rsid w:val="003945B9"/>
    <w:rsid w:val="00394DDA"/>
    <w:rsid w:val="00396921"/>
    <w:rsid w:val="00396B5F"/>
    <w:rsid w:val="003973D4"/>
    <w:rsid w:val="00397D54"/>
    <w:rsid w:val="003A07CC"/>
    <w:rsid w:val="003A0C58"/>
    <w:rsid w:val="003A1B84"/>
    <w:rsid w:val="003A44BA"/>
    <w:rsid w:val="003A5306"/>
    <w:rsid w:val="003A62F2"/>
    <w:rsid w:val="003A648F"/>
    <w:rsid w:val="003A679B"/>
    <w:rsid w:val="003A742E"/>
    <w:rsid w:val="003B0AEA"/>
    <w:rsid w:val="003B2458"/>
    <w:rsid w:val="003B26AE"/>
    <w:rsid w:val="003B30F0"/>
    <w:rsid w:val="003B3358"/>
    <w:rsid w:val="003B4AD3"/>
    <w:rsid w:val="003B5890"/>
    <w:rsid w:val="003B5B85"/>
    <w:rsid w:val="003B7306"/>
    <w:rsid w:val="003B7F0A"/>
    <w:rsid w:val="003C1937"/>
    <w:rsid w:val="003C2D3C"/>
    <w:rsid w:val="003C3BD4"/>
    <w:rsid w:val="003C4B6B"/>
    <w:rsid w:val="003C573F"/>
    <w:rsid w:val="003C5DEE"/>
    <w:rsid w:val="003C6099"/>
    <w:rsid w:val="003C65A3"/>
    <w:rsid w:val="003D2D46"/>
    <w:rsid w:val="003D2D8F"/>
    <w:rsid w:val="003D61D4"/>
    <w:rsid w:val="003D6285"/>
    <w:rsid w:val="003D7AA1"/>
    <w:rsid w:val="003D7E0A"/>
    <w:rsid w:val="003E0723"/>
    <w:rsid w:val="003E1FD8"/>
    <w:rsid w:val="003E2725"/>
    <w:rsid w:val="003E40E1"/>
    <w:rsid w:val="003E59C7"/>
    <w:rsid w:val="003E6B14"/>
    <w:rsid w:val="003E7B80"/>
    <w:rsid w:val="003F03D8"/>
    <w:rsid w:val="003F089D"/>
    <w:rsid w:val="003F1D1B"/>
    <w:rsid w:val="003F29E0"/>
    <w:rsid w:val="003F3277"/>
    <w:rsid w:val="003F53DA"/>
    <w:rsid w:val="003F5610"/>
    <w:rsid w:val="003F5E63"/>
    <w:rsid w:val="003F6451"/>
    <w:rsid w:val="003F76C2"/>
    <w:rsid w:val="003F77B4"/>
    <w:rsid w:val="004004D5"/>
    <w:rsid w:val="004007F0"/>
    <w:rsid w:val="00401A10"/>
    <w:rsid w:val="00401CB9"/>
    <w:rsid w:val="0040288D"/>
    <w:rsid w:val="00403B72"/>
    <w:rsid w:val="0040487A"/>
    <w:rsid w:val="004055BF"/>
    <w:rsid w:val="00405796"/>
    <w:rsid w:val="00405BDF"/>
    <w:rsid w:val="004063E0"/>
    <w:rsid w:val="00406432"/>
    <w:rsid w:val="004066FF"/>
    <w:rsid w:val="00407A29"/>
    <w:rsid w:val="00407AC0"/>
    <w:rsid w:val="0041057D"/>
    <w:rsid w:val="004105C9"/>
    <w:rsid w:val="00410B74"/>
    <w:rsid w:val="00412690"/>
    <w:rsid w:val="00413F94"/>
    <w:rsid w:val="00415177"/>
    <w:rsid w:val="0041526C"/>
    <w:rsid w:val="0041674C"/>
    <w:rsid w:val="00417D62"/>
    <w:rsid w:val="00420A32"/>
    <w:rsid w:val="00420BAB"/>
    <w:rsid w:val="004212EA"/>
    <w:rsid w:val="00421BE7"/>
    <w:rsid w:val="004225FF"/>
    <w:rsid w:val="00422FE9"/>
    <w:rsid w:val="004265A6"/>
    <w:rsid w:val="00426FD8"/>
    <w:rsid w:val="00427497"/>
    <w:rsid w:val="004279BB"/>
    <w:rsid w:val="004313B2"/>
    <w:rsid w:val="0043160A"/>
    <w:rsid w:val="00431A13"/>
    <w:rsid w:val="00431D1E"/>
    <w:rsid w:val="00431FA5"/>
    <w:rsid w:val="004321CA"/>
    <w:rsid w:val="00432B12"/>
    <w:rsid w:val="00432F85"/>
    <w:rsid w:val="00433216"/>
    <w:rsid w:val="00433725"/>
    <w:rsid w:val="00433C84"/>
    <w:rsid w:val="00434412"/>
    <w:rsid w:val="00434BFB"/>
    <w:rsid w:val="00434F71"/>
    <w:rsid w:val="00435A69"/>
    <w:rsid w:val="00435C00"/>
    <w:rsid w:val="00436A60"/>
    <w:rsid w:val="004378DC"/>
    <w:rsid w:val="0044189E"/>
    <w:rsid w:val="004422DB"/>
    <w:rsid w:val="00442458"/>
    <w:rsid w:val="00442735"/>
    <w:rsid w:val="004434F2"/>
    <w:rsid w:val="004462CC"/>
    <w:rsid w:val="00446768"/>
    <w:rsid w:val="00447648"/>
    <w:rsid w:val="00450E12"/>
    <w:rsid w:val="0045136E"/>
    <w:rsid w:val="004517B3"/>
    <w:rsid w:val="004519C4"/>
    <w:rsid w:val="0045201E"/>
    <w:rsid w:val="00452B22"/>
    <w:rsid w:val="0045333B"/>
    <w:rsid w:val="00453CDE"/>
    <w:rsid w:val="00453D56"/>
    <w:rsid w:val="004544B6"/>
    <w:rsid w:val="00457E77"/>
    <w:rsid w:val="0046071C"/>
    <w:rsid w:val="00461145"/>
    <w:rsid w:val="00461DA8"/>
    <w:rsid w:val="00462AC4"/>
    <w:rsid w:val="00463786"/>
    <w:rsid w:val="00464305"/>
    <w:rsid w:val="004646F1"/>
    <w:rsid w:val="004648E9"/>
    <w:rsid w:val="00464ED6"/>
    <w:rsid w:val="00465299"/>
    <w:rsid w:val="004654A2"/>
    <w:rsid w:val="00465616"/>
    <w:rsid w:val="00467241"/>
    <w:rsid w:val="00467C5A"/>
    <w:rsid w:val="00470D57"/>
    <w:rsid w:val="00471780"/>
    <w:rsid w:val="00471B61"/>
    <w:rsid w:val="00472072"/>
    <w:rsid w:val="004751F1"/>
    <w:rsid w:val="00475E66"/>
    <w:rsid w:val="0047735D"/>
    <w:rsid w:val="004823D7"/>
    <w:rsid w:val="0048262F"/>
    <w:rsid w:val="00482850"/>
    <w:rsid w:val="00483EED"/>
    <w:rsid w:val="0048402F"/>
    <w:rsid w:val="00485D89"/>
    <w:rsid w:val="00486056"/>
    <w:rsid w:val="00487109"/>
    <w:rsid w:val="00487276"/>
    <w:rsid w:val="004874B3"/>
    <w:rsid w:val="00487B94"/>
    <w:rsid w:val="004910B7"/>
    <w:rsid w:val="00491A16"/>
    <w:rsid w:val="00493D41"/>
    <w:rsid w:val="004945D6"/>
    <w:rsid w:val="004947D8"/>
    <w:rsid w:val="00494AAB"/>
    <w:rsid w:val="00495200"/>
    <w:rsid w:val="004952B2"/>
    <w:rsid w:val="0049683F"/>
    <w:rsid w:val="004974D7"/>
    <w:rsid w:val="00497EC3"/>
    <w:rsid w:val="004A0F2B"/>
    <w:rsid w:val="004A1FFB"/>
    <w:rsid w:val="004A257C"/>
    <w:rsid w:val="004A4379"/>
    <w:rsid w:val="004A4CA7"/>
    <w:rsid w:val="004A599C"/>
    <w:rsid w:val="004B2CD1"/>
    <w:rsid w:val="004B3310"/>
    <w:rsid w:val="004B33B2"/>
    <w:rsid w:val="004B3AF2"/>
    <w:rsid w:val="004B4D4C"/>
    <w:rsid w:val="004B4FBC"/>
    <w:rsid w:val="004B5308"/>
    <w:rsid w:val="004B6A00"/>
    <w:rsid w:val="004B6FAC"/>
    <w:rsid w:val="004B7FF8"/>
    <w:rsid w:val="004C027B"/>
    <w:rsid w:val="004C132D"/>
    <w:rsid w:val="004C1698"/>
    <w:rsid w:val="004C2D7C"/>
    <w:rsid w:val="004C3029"/>
    <w:rsid w:val="004C37BB"/>
    <w:rsid w:val="004C3B22"/>
    <w:rsid w:val="004C4594"/>
    <w:rsid w:val="004C47E2"/>
    <w:rsid w:val="004C55AE"/>
    <w:rsid w:val="004C5A87"/>
    <w:rsid w:val="004C5AEB"/>
    <w:rsid w:val="004C72FA"/>
    <w:rsid w:val="004C7CF2"/>
    <w:rsid w:val="004D0AA6"/>
    <w:rsid w:val="004D1386"/>
    <w:rsid w:val="004D1498"/>
    <w:rsid w:val="004D2307"/>
    <w:rsid w:val="004D2643"/>
    <w:rsid w:val="004D47FA"/>
    <w:rsid w:val="004D5353"/>
    <w:rsid w:val="004D5DED"/>
    <w:rsid w:val="004D7C65"/>
    <w:rsid w:val="004E01D1"/>
    <w:rsid w:val="004E0591"/>
    <w:rsid w:val="004E0607"/>
    <w:rsid w:val="004E2429"/>
    <w:rsid w:val="004E246C"/>
    <w:rsid w:val="004E32D4"/>
    <w:rsid w:val="004E3849"/>
    <w:rsid w:val="004E4328"/>
    <w:rsid w:val="004E4BD9"/>
    <w:rsid w:val="004E4FDD"/>
    <w:rsid w:val="004E5DAD"/>
    <w:rsid w:val="004E6EE2"/>
    <w:rsid w:val="004E7F06"/>
    <w:rsid w:val="004F0F51"/>
    <w:rsid w:val="004F10EA"/>
    <w:rsid w:val="004F1495"/>
    <w:rsid w:val="004F167E"/>
    <w:rsid w:val="004F454D"/>
    <w:rsid w:val="004F4F9D"/>
    <w:rsid w:val="004F7ADA"/>
    <w:rsid w:val="0050011B"/>
    <w:rsid w:val="00501258"/>
    <w:rsid w:val="00503988"/>
    <w:rsid w:val="005043EA"/>
    <w:rsid w:val="005045AB"/>
    <w:rsid w:val="005045F0"/>
    <w:rsid w:val="00505778"/>
    <w:rsid w:val="005070D4"/>
    <w:rsid w:val="005074FB"/>
    <w:rsid w:val="00511180"/>
    <w:rsid w:val="0051347A"/>
    <w:rsid w:val="00514B56"/>
    <w:rsid w:val="005150DC"/>
    <w:rsid w:val="005162F2"/>
    <w:rsid w:val="005175E2"/>
    <w:rsid w:val="0051764C"/>
    <w:rsid w:val="005179BB"/>
    <w:rsid w:val="005209D2"/>
    <w:rsid w:val="005209E5"/>
    <w:rsid w:val="00523567"/>
    <w:rsid w:val="00523E57"/>
    <w:rsid w:val="005243F7"/>
    <w:rsid w:val="005246EF"/>
    <w:rsid w:val="00524BD5"/>
    <w:rsid w:val="00525133"/>
    <w:rsid w:val="00526AA9"/>
    <w:rsid w:val="00526BAB"/>
    <w:rsid w:val="005335CB"/>
    <w:rsid w:val="00533987"/>
    <w:rsid w:val="00533B5B"/>
    <w:rsid w:val="00534124"/>
    <w:rsid w:val="00535169"/>
    <w:rsid w:val="005351CA"/>
    <w:rsid w:val="00535F5C"/>
    <w:rsid w:val="00540724"/>
    <w:rsid w:val="00542C29"/>
    <w:rsid w:val="00543732"/>
    <w:rsid w:val="00543E46"/>
    <w:rsid w:val="005446C1"/>
    <w:rsid w:val="005455E1"/>
    <w:rsid w:val="00546210"/>
    <w:rsid w:val="00546548"/>
    <w:rsid w:val="00546CAE"/>
    <w:rsid w:val="005479C2"/>
    <w:rsid w:val="005503D4"/>
    <w:rsid w:val="0055043E"/>
    <w:rsid w:val="0055186A"/>
    <w:rsid w:val="00551E02"/>
    <w:rsid w:val="00552168"/>
    <w:rsid w:val="00553D51"/>
    <w:rsid w:val="00553ECA"/>
    <w:rsid w:val="005544F7"/>
    <w:rsid w:val="00555562"/>
    <w:rsid w:val="00555CBB"/>
    <w:rsid w:val="00555D97"/>
    <w:rsid w:val="0055641C"/>
    <w:rsid w:val="00556EF4"/>
    <w:rsid w:val="0056188C"/>
    <w:rsid w:val="00563792"/>
    <w:rsid w:val="00563866"/>
    <w:rsid w:val="00563B7F"/>
    <w:rsid w:val="00563CB0"/>
    <w:rsid w:val="00566022"/>
    <w:rsid w:val="0056618E"/>
    <w:rsid w:val="00566ED3"/>
    <w:rsid w:val="00567D8C"/>
    <w:rsid w:val="00567DF9"/>
    <w:rsid w:val="00570276"/>
    <w:rsid w:val="00570C54"/>
    <w:rsid w:val="00572CDD"/>
    <w:rsid w:val="00572F70"/>
    <w:rsid w:val="005733C5"/>
    <w:rsid w:val="00574EB2"/>
    <w:rsid w:val="00575062"/>
    <w:rsid w:val="005767C7"/>
    <w:rsid w:val="00577705"/>
    <w:rsid w:val="0057783C"/>
    <w:rsid w:val="00577CF7"/>
    <w:rsid w:val="005804B5"/>
    <w:rsid w:val="00583DF4"/>
    <w:rsid w:val="0058582A"/>
    <w:rsid w:val="00586720"/>
    <w:rsid w:val="00586F57"/>
    <w:rsid w:val="00591E84"/>
    <w:rsid w:val="00591F76"/>
    <w:rsid w:val="00592A04"/>
    <w:rsid w:val="00593551"/>
    <w:rsid w:val="0059384F"/>
    <w:rsid w:val="00595476"/>
    <w:rsid w:val="00595C12"/>
    <w:rsid w:val="00595DBE"/>
    <w:rsid w:val="0059615C"/>
    <w:rsid w:val="00596474"/>
    <w:rsid w:val="00597DD9"/>
    <w:rsid w:val="005A2175"/>
    <w:rsid w:val="005A5F1B"/>
    <w:rsid w:val="005A7628"/>
    <w:rsid w:val="005A7F8C"/>
    <w:rsid w:val="005B06BD"/>
    <w:rsid w:val="005B0E73"/>
    <w:rsid w:val="005B10ED"/>
    <w:rsid w:val="005B195C"/>
    <w:rsid w:val="005B1F39"/>
    <w:rsid w:val="005B35FF"/>
    <w:rsid w:val="005B399D"/>
    <w:rsid w:val="005B4B5A"/>
    <w:rsid w:val="005B54EC"/>
    <w:rsid w:val="005B5540"/>
    <w:rsid w:val="005B6764"/>
    <w:rsid w:val="005B77FA"/>
    <w:rsid w:val="005B7B65"/>
    <w:rsid w:val="005C11B7"/>
    <w:rsid w:val="005C131E"/>
    <w:rsid w:val="005C1C5F"/>
    <w:rsid w:val="005C1F9B"/>
    <w:rsid w:val="005C244C"/>
    <w:rsid w:val="005C43D7"/>
    <w:rsid w:val="005C4C86"/>
    <w:rsid w:val="005C5914"/>
    <w:rsid w:val="005C5F5D"/>
    <w:rsid w:val="005C6303"/>
    <w:rsid w:val="005C697C"/>
    <w:rsid w:val="005C7250"/>
    <w:rsid w:val="005C786E"/>
    <w:rsid w:val="005D020D"/>
    <w:rsid w:val="005D0A4E"/>
    <w:rsid w:val="005D0A61"/>
    <w:rsid w:val="005D0E43"/>
    <w:rsid w:val="005D1C72"/>
    <w:rsid w:val="005D1CC7"/>
    <w:rsid w:val="005D2787"/>
    <w:rsid w:val="005D2C86"/>
    <w:rsid w:val="005D302B"/>
    <w:rsid w:val="005D3848"/>
    <w:rsid w:val="005D3916"/>
    <w:rsid w:val="005D3F87"/>
    <w:rsid w:val="005D56FB"/>
    <w:rsid w:val="005D5E7E"/>
    <w:rsid w:val="005D631F"/>
    <w:rsid w:val="005D6987"/>
    <w:rsid w:val="005D6C77"/>
    <w:rsid w:val="005D76AA"/>
    <w:rsid w:val="005E07E4"/>
    <w:rsid w:val="005E34F0"/>
    <w:rsid w:val="005E3B90"/>
    <w:rsid w:val="005E4DD3"/>
    <w:rsid w:val="005E7876"/>
    <w:rsid w:val="005F0F80"/>
    <w:rsid w:val="005F0FCC"/>
    <w:rsid w:val="005F15D9"/>
    <w:rsid w:val="005F2F8F"/>
    <w:rsid w:val="005F3384"/>
    <w:rsid w:val="005F3BD8"/>
    <w:rsid w:val="005F592E"/>
    <w:rsid w:val="005F5C0F"/>
    <w:rsid w:val="005F778D"/>
    <w:rsid w:val="0060018B"/>
    <w:rsid w:val="0060042F"/>
    <w:rsid w:val="00600F10"/>
    <w:rsid w:val="00602582"/>
    <w:rsid w:val="00602BE0"/>
    <w:rsid w:val="00603DAF"/>
    <w:rsid w:val="00604AF6"/>
    <w:rsid w:val="006057D0"/>
    <w:rsid w:val="0060623A"/>
    <w:rsid w:val="00607274"/>
    <w:rsid w:val="006075B6"/>
    <w:rsid w:val="006100EF"/>
    <w:rsid w:val="006101D6"/>
    <w:rsid w:val="006108AD"/>
    <w:rsid w:val="00615CD5"/>
    <w:rsid w:val="00615E09"/>
    <w:rsid w:val="00617330"/>
    <w:rsid w:val="00617C57"/>
    <w:rsid w:val="00617D64"/>
    <w:rsid w:val="00617FF4"/>
    <w:rsid w:val="006204F0"/>
    <w:rsid w:val="006209A2"/>
    <w:rsid w:val="0062124D"/>
    <w:rsid w:val="00621459"/>
    <w:rsid w:val="00621B02"/>
    <w:rsid w:val="00621F0A"/>
    <w:rsid w:val="00623051"/>
    <w:rsid w:val="006240A0"/>
    <w:rsid w:val="00624B7F"/>
    <w:rsid w:val="00624DE7"/>
    <w:rsid w:val="00625115"/>
    <w:rsid w:val="00626DC7"/>
    <w:rsid w:val="0062781D"/>
    <w:rsid w:val="006303E8"/>
    <w:rsid w:val="00630BDA"/>
    <w:rsid w:val="006318B6"/>
    <w:rsid w:val="0063204C"/>
    <w:rsid w:val="006320A1"/>
    <w:rsid w:val="00632412"/>
    <w:rsid w:val="00632725"/>
    <w:rsid w:val="0063324F"/>
    <w:rsid w:val="00634462"/>
    <w:rsid w:val="00634A2B"/>
    <w:rsid w:val="00635B02"/>
    <w:rsid w:val="00636628"/>
    <w:rsid w:val="006366A8"/>
    <w:rsid w:val="0063698A"/>
    <w:rsid w:val="00636E04"/>
    <w:rsid w:val="006375AA"/>
    <w:rsid w:val="00640093"/>
    <w:rsid w:val="00641392"/>
    <w:rsid w:val="0064167E"/>
    <w:rsid w:val="00641FE9"/>
    <w:rsid w:val="00642221"/>
    <w:rsid w:val="00642AFB"/>
    <w:rsid w:val="006458E7"/>
    <w:rsid w:val="0064640C"/>
    <w:rsid w:val="0064665F"/>
    <w:rsid w:val="00647745"/>
    <w:rsid w:val="00647878"/>
    <w:rsid w:val="00647A8A"/>
    <w:rsid w:val="00647BD1"/>
    <w:rsid w:val="00650627"/>
    <w:rsid w:val="00650BCF"/>
    <w:rsid w:val="00650FCE"/>
    <w:rsid w:val="00653DB3"/>
    <w:rsid w:val="00654165"/>
    <w:rsid w:val="006546D1"/>
    <w:rsid w:val="00654AB7"/>
    <w:rsid w:val="00655593"/>
    <w:rsid w:val="0065564A"/>
    <w:rsid w:val="0065595A"/>
    <w:rsid w:val="006613F1"/>
    <w:rsid w:val="00661B3E"/>
    <w:rsid w:val="00663126"/>
    <w:rsid w:val="00663547"/>
    <w:rsid w:val="00663584"/>
    <w:rsid w:val="00663C55"/>
    <w:rsid w:val="00663E96"/>
    <w:rsid w:val="00664DC6"/>
    <w:rsid w:val="00665594"/>
    <w:rsid w:val="00666061"/>
    <w:rsid w:val="00667AD0"/>
    <w:rsid w:val="006709C4"/>
    <w:rsid w:val="00671121"/>
    <w:rsid w:val="0067166F"/>
    <w:rsid w:val="00671B57"/>
    <w:rsid w:val="00671CAC"/>
    <w:rsid w:val="00672500"/>
    <w:rsid w:val="00672EA9"/>
    <w:rsid w:val="0067324F"/>
    <w:rsid w:val="00674CFF"/>
    <w:rsid w:val="00675341"/>
    <w:rsid w:val="006764CD"/>
    <w:rsid w:val="006769EA"/>
    <w:rsid w:val="00676F94"/>
    <w:rsid w:val="006800AE"/>
    <w:rsid w:val="00680E45"/>
    <w:rsid w:val="0068107E"/>
    <w:rsid w:val="006812EE"/>
    <w:rsid w:val="00681CA0"/>
    <w:rsid w:val="006831B9"/>
    <w:rsid w:val="0068483D"/>
    <w:rsid w:val="00685297"/>
    <w:rsid w:val="00685AAD"/>
    <w:rsid w:val="0068766C"/>
    <w:rsid w:val="006901FF"/>
    <w:rsid w:val="00690D75"/>
    <w:rsid w:val="00692287"/>
    <w:rsid w:val="00692965"/>
    <w:rsid w:val="006939EB"/>
    <w:rsid w:val="00693E5B"/>
    <w:rsid w:val="00694169"/>
    <w:rsid w:val="00695564"/>
    <w:rsid w:val="00696D5B"/>
    <w:rsid w:val="00697672"/>
    <w:rsid w:val="006976E7"/>
    <w:rsid w:val="00697722"/>
    <w:rsid w:val="00697A7D"/>
    <w:rsid w:val="00697E8F"/>
    <w:rsid w:val="006A00C8"/>
    <w:rsid w:val="006A0457"/>
    <w:rsid w:val="006A0A88"/>
    <w:rsid w:val="006A0E45"/>
    <w:rsid w:val="006A166D"/>
    <w:rsid w:val="006A16FE"/>
    <w:rsid w:val="006A2B4A"/>
    <w:rsid w:val="006A36EC"/>
    <w:rsid w:val="006A4BB3"/>
    <w:rsid w:val="006A6050"/>
    <w:rsid w:val="006B0FC4"/>
    <w:rsid w:val="006B10BB"/>
    <w:rsid w:val="006B137F"/>
    <w:rsid w:val="006B209E"/>
    <w:rsid w:val="006B2874"/>
    <w:rsid w:val="006B4CCD"/>
    <w:rsid w:val="006B6AB5"/>
    <w:rsid w:val="006B7EB7"/>
    <w:rsid w:val="006C05CA"/>
    <w:rsid w:val="006C0F6F"/>
    <w:rsid w:val="006C1620"/>
    <w:rsid w:val="006C22F4"/>
    <w:rsid w:val="006C598A"/>
    <w:rsid w:val="006C6AC8"/>
    <w:rsid w:val="006C7987"/>
    <w:rsid w:val="006C7E72"/>
    <w:rsid w:val="006D0A20"/>
    <w:rsid w:val="006D1084"/>
    <w:rsid w:val="006D12CD"/>
    <w:rsid w:val="006D20FF"/>
    <w:rsid w:val="006D3937"/>
    <w:rsid w:val="006D48F1"/>
    <w:rsid w:val="006D49DC"/>
    <w:rsid w:val="006D4E8F"/>
    <w:rsid w:val="006D594B"/>
    <w:rsid w:val="006D5A2A"/>
    <w:rsid w:val="006D6226"/>
    <w:rsid w:val="006D7A3E"/>
    <w:rsid w:val="006E2371"/>
    <w:rsid w:val="006E3472"/>
    <w:rsid w:val="006E3770"/>
    <w:rsid w:val="006E6209"/>
    <w:rsid w:val="006E65EE"/>
    <w:rsid w:val="006E67DA"/>
    <w:rsid w:val="006E7048"/>
    <w:rsid w:val="006E7485"/>
    <w:rsid w:val="006F06A9"/>
    <w:rsid w:val="006F083B"/>
    <w:rsid w:val="006F1182"/>
    <w:rsid w:val="006F1E92"/>
    <w:rsid w:val="006F3C3D"/>
    <w:rsid w:val="006F59BC"/>
    <w:rsid w:val="006F5EF3"/>
    <w:rsid w:val="006F5FFC"/>
    <w:rsid w:val="006F6318"/>
    <w:rsid w:val="006F63CC"/>
    <w:rsid w:val="006F6515"/>
    <w:rsid w:val="006F6813"/>
    <w:rsid w:val="006F7863"/>
    <w:rsid w:val="00700D3B"/>
    <w:rsid w:val="00700DE5"/>
    <w:rsid w:val="0070112C"/>
    <w:rsid w:val="00701777"/>
    <w:rsid w:val="00701D48"/>
    <w:rsid w:val="00701ECA"/>
    <w:rsid w:val="007042C3"/>
    <w:rsid w:val="00705023"/>
    <w:rsid w:val="007051ED"/>
    <w:rsid w:val="0070612F"/>
    <w:rsid w:val="0070661F"/>
    <w:rsid w:val="00706CD8"/>
    <w:rsid w:val="00707FF3"/>
    <w:rsid w:val="007104A8"/>
    <w:rsid w:val="007119E8"/>
    <w:rsid w:val="00712C06"/>
    <w:rsid w:val="00712FEF"/>
    <w:rsid w:val="00715A40"/>
    <w:rsid w:val="00716D0C"/>
    <w:rsid w:val="0071722A"/>
    <w:rsid w:val="00717D9B"/>
    <w:rsid w:val="00720F93"/>
    <w:rsid w:val="00724D55"/>
    <w:rsid w:val="00724F72"/>
    <w:rsid w:val="007256A6"/>
    <w:rsid w:val="0072640A"/>
    <w:rsid w:val="0072794D"/>
    <w:rsid w:val="007300B6"/>
    <w:rsid w:val="00730D23"/>
    <w:rsid w:val="00731057"/>
    <w:rsid w:val="00731659"/>
    <w:rsid w:val="00731BE5"/>
    <w:rsid w:val="00731E32"/>
    <w:rsid w:val="00731F18"/>
    <w:rsid w:val="007328F2"/>
    <w:rsid w:val="00732DF7"/>
    <w:rsid w:val="0073311A"/>
    <w:rsid w:val="00733C68"/>
    <w:rsid w:val="00733F3C"/>
    <w:rsid w:val="007341A2"/>
    <w:rsid w:val="007344A3"/>
    <w:rsid w:val="00735345"/>
    <w:rsid w:val="007354D5"/>
    <w:rsid w:val="007369F1"/>
    <w:rsid w:val="00736F67"/>
    <w:rsid w:val="00740643"/>
    <w:rsid w:val="007409CC"/>
    <w:rsid w:val="00741F6A"/>
    <w:rsid w:val="00742294"/>
    <w:rsid w:val="0074256A"/>
    <w:rsid w:val="00742D95"/>
    <w:rsid w:val="00743E80"/>
    <w:rsid w:val="007453DB"/>
    <w:rsid w:val="007458B9"/>
    <w:rsid w:val="00746105"/>
    <w:rsid w:val="00746BAD"/>
    <w:rsid w:val="0075025F"/>
    <w:rsid w:val="0075047A"/>
    <w:rsid w:val="00750692"/>
    <w:rsid w:val="00750877"/>
    <w:rsid w:val="007518DF"/>
    <w:rsid w:val="00752AC5"/>
    <w:rsid w:val="007533F0"/>
    <w:rsid w:val="007543C1"/>
    <w:rsid w:val="007544A2"/>
    <w:rsid w:val="00754E33"/>
    <w:rsid w:val="007554CF"/>
    <w:rsid w:val="00756150"/>
    <w:rsid w:val="00756527"/>
    <w:rsid w:val="00756B06"/>
    <w:rsid w:val="00756C13"/>
    <w:rsid w:val="0075709B"/>
    <w:rsid w:val="00760483"/>
    <w:rsid w:val="00761136"/>
    <w:rsid w:val="00762A5E"/>
    <w:rsid w:val="00765187"/>
    <w:rsid w:val="007654C9"/>
    <w:rsid w:val="007660A0"/>
    <w:rsid w:val="00766AB5"/>
    <w:rsid w:val="00766D2F"/>
    <w:rsid w:val="00767602"/>
    <w:rsid w:val="00772151"/>
    <w:rsid w:val="007721AA"/>
    <w:rsid w:val="0077284D"/>
    <w:rsid w:val="00774E4D"/>
    <w:rsid w:val="00776AD4"/>
    <w:rsid w:val="00776F53"/>
    <w:rsid w:val="007770F7"/>
    <w:rsid w:val="007771FD"/>
    <w:rsid w:val="007776D1"/>
    <w:rsid w:val="0078119E"/>
    <w:rsid w:val="0078210E"/>
    <w:rsid w:val="00782601"/>
    <w:rsid w:val="00782C76"/>
    <w:rsid w:val="007833DC"/>
    <w:rsid w:val="00785115"/>
    <w:rsid w:val="007854E3"/>
    <w:rsid w:val="0078618D"/>
    <w:rsid w:val="00786875"/>
    <w:rsid w:val="00786FD7"/>
    <w:rsid w:val="00786FED"/>
    <w:rsid w:val="0078744C"/>
    <w:rsid w:val="00790278"/>
    <w:rsid w:val="0079097B"/>
    <w:rsid w:val="00791BCA"/>
    <w:rsid w:val="00791D1C"/>
    <w:rsid w:val="00791EDF"/>
    <w:rsid w:val="00792787"/>
    <w:rsid w:val="007940E2"/>
    <w:rsid w:val="0079569F"/>
    <w:rsid w:val="00795CB0"/>
    <w:rsid w:val="00795DC1"/>
    <w:rsid w:val="007A01E6"/>
    <w:rsid w:val="007A1B23"/>
    <w:rsid w:val="007A28DE"/>
    <w:rsid w:val="007A4753"/>
    <w:rsid w:val="007A54B2"/>
    <w:rsid w:val="007A654D"/>
    <w:rsid w:val="007A67BB"/>
    <w:rsid w:val="007A75AC"/>
    <w:rsid w:val="007A7D13"/>
    <w:rsid w:val="007B001E"/>
    <w:rsid w:val="007B2AF2"/>
    <w:rsid w:val="007B2B03"/>
    <w:rsid w:val="007B2B37"/>
    <w:rsid w:val="007B2E30"/>
    <w:rsid w:val="007B4B68"/>
    <w:rsid w:val="007B6008"/>
    <w:rsid w:val="007B63F2"/>
    <w:rsid w:val="007B6D2D"/>
    <w:rsid w:val="007C012F"/>
    <w:rsid w:val="007C1F19"/>
    <w:rsid w:val="007C22BE"/>
    <w:rsid w:val="007C3E7E"/>
    <w:rsid w:val="007C42AC"/>
    <w:rsid w:val="007C6C90"/>
    <w:rsid w:val="007D01D0"/>
    <w:rsid w:val="007D0866"/>
    <w:rsid w:val="007D1202"/>
    <w:rsid w:val="007D1A48"/>
    <w:rsid w:val="007D1B50"/>
    <w:rsid w:val="007D3A6D"/>
    <w:rsid w:val="007D5425"/>
    <w:rsid w:val="007D5DA8"/>
    <w:rsid w:val="007D5DE1"/>
    <w:rsid w:val="007D6052"/>
    <w:rsid w:val="007D6835"/>
    <w:rsid w:val="007D6F35"/>
    <w:rsid w:val="007D70D2"/>
    <w:rsid w:val="007D7921"/>
    <w:rsid w:val="007E20DF"/>
    <w:rsid w:val="007E3300"/>
    <w:rsid w:val="007E3AAC"/>
    <w:rsid w:val="007E4201"/>
    <w:rsid w:val="007E4385"/>
    <w:rsid w:val="007E4633"/>
    <w:rsid w:val="007E48E5"/>
    <w:rsid w:val="007E561A"/>
    <w:rsid w:val="007E5A05"/>
    <w:rsid w:val="007E6952"/>
    <w:rsid w:val="007E75BA"/>
    <w:rsid w:val="007F099D"/>
    <w:rsid w:val="007F187A"/>
    <w:rsid w:val="007F1F33"/>
    <w:rsid w:val="007F2733"/>
    <w:rsid w:val="007F291A"/>
    <w:rsid w:val="007F35B6"/>
    <w:rsid w:val="007F35FC"/>
    <w:rsid w:val="007F41DF"/>
    <w:rsid w:val="007F474D"/>
    <w:rsid w:val="007F5362"/>
    <w:rsid w:val="007F5E4E"/>
    <w:rsid w:val="007F6062"/>
    <w:rsid w:val="007F67F9"/>
    <w:rsid w:val="007F78C3"/>
    <w:rsid w:val="008013EC"/>
    <w:rsid w:val="0080179A"/>
    <w:rsid w:val="008024BE"/>
    <w:rsid w:val="008029C0"/>
    <w:rsid w:val="0080436E"/>
    <w:rsid w:val="00805449"/>
    <w:rsid w:val="00805943"/>
    <w:rsid w:val="0080618B"/>
    <w:rsid w:val="0080645E"/>
    <w:rsid w:val="008065EC"/>
    <w:rsid w:val="00806B2D"/>
    <w:rsid w:val="00806CB1"/>
    <w:rsid w:val="008076FE"/>
    <w:rsid w:val="00807E25"/>
    <w:rsid w:val="00811791"/>
    <w:rsid w:val="00813241"/>
    <w:rsid w:val="00813EA8"/>
    <w:rsid w:val="0081411B"/>
    <w:rsid w:val="008141AF"/>
    <w:rsid w:val="00815EEE"/>
    <w:rsid w:val="00817E7D"/>
    <w:rsid w:val="00817FB4"/>
    <w:rsid w:val="0082000C"/>
    <w:rsid w:val="008203A3"/>
    <w:rsid w:val="00820435"/>
    <w:rsid w:val="00822198"/>
    <w:rsid w:val="00822995"/>
    <w:rsid w:val="00823C5A"/>
    <w:rsid w:val="00826146"/>
    <w:rsid w:val="00826D56"/>
    <w:rsid w:val="00831793"/>
    <w:rsid w:val="00832BAF"/>
    <w:rsid w:val="00833562"/>
    <w:rsid w:val="00834B8E"/>
    <w:rsid w:val="00835905"/>
    <w:rsid w:val="008363C6"/>
    <w:rsid w:val="00840125"/>
    <w:rsid w:val="00842499"/>
    <w:rsid w:val="00843153"/>
    <w:rsid w:val="008439A7"/>
    <w:rsid w:val="00843E0C"/>
    <w:rsid w:val="00843E9B"/>
    <w:rsid w:val="00843FAC"/>
    <w:rsid w:val="0084529F"/>
    <w:rsid w:val="00845448"/>
    <w:rsid w:val="008455CF"/>
    <w:rsid w:val="00845A40"/>
    <w:rsid w:val="00845D55"/>
    <w:rsid w:val="00850D44"/>
    <w:rsid w:val="008518A1"/>
    <w:rsid w:val="00852240"/>
    <w:rsid w:val="00853593"/>
    <w:rsid w:val="008551E5"/>
    <w:rsid w:val="0085531B"/>
    <w:rsid w:val="00857086"/>
    <w:rsid w:val="00862DCF"/>
    <w:rsid w:val="00863FFE"/>
    <w:rsid w:val="008641DE"/>
    <w:rsid w:val="0086422D"/>
    <w:rsid w:val="00864466"/>
    <w:rsid w:val="00865014"/>
    <w:rsid w:val="008652D9"/>
    <w:rsid w:val="00865BE0"/>
    <w:rsid w:val="00866F8C"/>
    <w:rsid w:val="008671B6"/>
    <w:rsid w:val="0086789C"/>
    <w:rsid w:val="008678AB"/>
    <w:rsid w:val="008713D5"/>
    <w:rsid w:val="0087168F"/>
    <w:rsid w:val="008729BD"/>
    <w:rsid w:val="0087339C"/>
    <w:rsid w:val="00873525"/>
    <w:rsid w:val="00873AB4"/>
    <w:rsid w:val="00874B3D"/>
    <w:rsid w:val="00874D35"/>
    <w:rsid w:val="0087513E"/>
    <w:rsid w:val="00875A46"/>
    <w:rsid w:val="008769B4"/>
    <w:rsid w:val="00876FDB"/>
    <w:rsid w:val="00877878"/>
    <w:rsid w:val="00880143"/>
    <w:rsid w:val="0088091B"/>
    <w:rsid w:val="00880972"/>
    <w:rsid w:val="0088136E"/>
    <w:rsid w:val="00881DA9"/>
    <w:rsid w:val="00881EBB"/>
    <w:rsid w:val="00882589"/>
    <w:rsid w:val="008845B0"/>
    <w:rsid w:val="0088521F"/>
    <w:rsid w:val="00886018"/>
    <w:rsid w:val="00886B80"/>
    <w:rsid w:val="0088749F"/>
    <w:rsid w:val="00887DD9"/>
    <w:rsid w:val="00890AA2"/>
    <w:rsid w:val="00890E52"/>
    <w:rsid w:val="00890F08"/>
    <w:rsid w:val="00891505"/>
    <w:rsid w:val="00891EE9"/>
    <w:rsid w:val="0089212D"/>
    <w:rsid w:val="00892440"/>
    <w:rsid w:val="00892F61"/>
    <w:rsid w:val="00893D47"/>
    <w:rsid w:val="00893F79"/>
    <w:rsid w:val="008957E9"/>
    <w:rsid w:val="00895D29"/>
    <w:rsid w:val="0089722E"/>
    <w:rsid w:val="00897575"/>
    <w:rsid w:val="0089771B"/>
    <w:rsid w:val="00897E39"/>
    <w:rsid w:val="008A05C2"/>
    <w:rsid w:val="008A05F0"/>
    <w:rsid w:val="008A133B"/>
    <w:rsid w:val="008A1957"/>
    <w:rsid w:val="008A19EA"/>
    <w:rsid w:val="008A244F"/>
    <w:rsid w:val="008A2576"/>
    <w:rsid w:val="008A449D"/>
    <w:rsid w:val="008A5A0F"/>
    <w:rsid w:val="008A5D4A"/>
    <w:rsid w:val="008A70B7"/>
    <w:rsid w:val="008A7734"/>
    <w:rsid w:val="008A79C5"/>
    <w:rsid w:val="008A7CD4"/>
    <w:rsid w:val="008B025A"/>
    <w:rsid w:val="008B0404"/>
    <w:rsid w:val="008B3894"/>
    <w:rsid w:val="008B39ED"/>
    <w:rsid w:val="008B4788"/>
    <w:rsid w:val="008B5201"/>
    <w:rsid w:val="008B5256"/>
    <w:rsid w:val="008B56B7"/>
    <w:rsid w:val="008B5B8D"/>
    <w:rsid w:val="008B737D"/>
    <w:rsid w:val="008C15FC"/>
    <w:rsid w:val="008C1897"/>
    <w:rsid w:val="008C19FA"/>
    <w:rsid w:val="008C218D"/>
    <w:rsid w:val="008C3295"/>
    <w:rsid w:val="008C3B60"/>
    <w:rsid w:val="008C42A9"/>
    <w:rsid w:val="008C49BF"/>
    <w:rsid w:val="008C5185"/>
    <w:rsid w:val="008C57BA"/>
    <w:rsid w:val="008C5B60"/>
    <w:rsid w:val="008C6474"/>
    <w:rsid w:val="008C78E2"/>
    <w:rsid w:val="008D00C0"/>
    <w:rsid w:val="008D171F"/>
    <w:rsid w:val="008D18E7"/>
    <w:rsid w:val="008D1B98"/>
    <w:rsid w:val="008D21EA"/>
    <w:rsid w:val="008D3863"/>
    <w:rsid w:val="008D3B4B"/>
    <w:rsid w:val="008D3DA8"/>
    <w:rsid w:val="008D4067"/>
    <w:rsid w:val="008D40AE"/>
    <w:rsid w:val="008D7A7F"/>
    <w:rsid w:val="008E0A16"/>
    <w:rsid w:val="008E27E4"/>
    <w:rsid w:val="008E2AA8"/>
    <w:rsid w:val="008E3371"/>
    <w:rsid w:val="008E3460"/>
    <w:rsid w:val="008E470A"/>
    <w:rsid w:val="008E4A59"/>
    <w:rsid w:val="008E60EA"/>
    <w:rsid w:val="008E60F8"/>
    <w:rsid w:val="008E62F6"/>
    <w:rsid w:val="008E671B"/>
    <w:rsid w:val="008E6A7F"/>
    <w:rsid w:val="008E6CE4"/>
    <w:rsid w:val="008E74E6"/>
    <w:rsid w:val="008E7B9D"/>
    <w:rsid w:val="008E7D7E"/>
    <w:rsid w:val="008F11A4"/>
    <w:rsid w:val="008F136F"/>
    <w:rsid w:val="008F1641"/>
    <w:rsid w:val="008F1D11"/>
    <w:rsid w:val="008F26AE"/>
    <w:rsid w:val="008F2ADC"/>
    <w:rsid w:val="008F4068"/>
    <w:rsid w:val="008F4578"/>
    <w:rsid w:val="008F48F2"/>
    <w:rsid w:val="008F5363"/>
    <w:rsid w:val="008F6C38"/>
    <w:rsid w:val="008F76C4"/>
    <w:rsid w:val="00900543"/>
    <w:rsid w:val="00901417"/>
    <w:rsid w:val="00901658"/>
    <w:rsid w:val="009017B9"/>
    <w:rsid w:val="009020C1"/>
    <w:rsid w:val="009025FD"/>
    <w:rsid w:val="0090285E"/>
    <w:rsid w:val="0090307C"/>
    <w:rsid w:val="00903121"/>
    <w:rsid w:val="00904A72"/>
    <w:rsid w:val="00904C26"/>
    <w:rsid w:val="009051CB"/>
    <w:rsid w:val="00905A9E"/>
    <w:rsid w:val="009067F0"/>
    <w:rsid w:val="009074E8"/>
    <w:rsid w:val="00907F83"/>
    <w:rsid w:val="00911ADF"/>
    <w:rsid w:val="00912951"/>
    <w:rsid w:val="00913355"/>
    <w:rsid w:val="00913CB8"/>
    <w:rsid w:val="00915844"/>
    <w:rsid w:val="00915F1D"/>
    <w:rsid w:val="009167D5"/>
    <w:rsid w:val="00916926"/>
    <w:rsid w:val="00920430"/>
    <w:rsid w:val="00920E4E"/>
    <w:rsid w:val="00921FE8"/>
    <w:rsid w:val="00923194"/>
    <w:rsid w:val="00923C29"/>
    <w:rsid w:val="00923EE6"/>
    <w:rsid w:val="00924F0F"/>
    <w:rsid w:val="00926ADC"/>
    <w:rsid w:val="00927270"/>
    <w:rsid w:val="0093038E"/>
    <w:rsid w:val="009304ED"/>
    <w:rsid w:val="00931022"/>
    <w:rsid w:val="0093131F"/>
    <w:rsid w:val="0093216F"/>
    <w:rsid w:val="009326C0"/>
    <w:rsid w:val="009326F4"/>
    <w:rsid w:val="00932B7E"/>
    <w:rsid w:val="0093350A"/>
    <w:rsid w:val="00933A64"/>
    <w:rsid w:val="00934C1F"/>
    <w:rsid w:val="00935241"/>
    <w:rsid w:val="00935A0D"/>
    <w:rsid w:val="00936019"/>
    <w:rsid w:val="00936F55"/>
    <w:rsid w:val="00937E7F"/>
    <w:rsid w:val="00940AFF"/>
    <w:rsid w:val="009426CA"/>
    <w:rsid w:val="00942DEA"/>
    <w:rsid w:val="009436DB"/>
    <w:rsid w:val="00943E99"/>
    <w:rsid w:val="00944B2C"/>
    <w:rsid w:val="00944BB1"/>
    <w:rsid w:val="00945503"/>
    <w:rsid w:val="009467E0"/>
    <w:rsid w:val="00946B2F"/>
    <w:rsid w:val="00947FA3"/>
    <w:rsid w:val="00950228"/>
    <w:rsid w:val="0095157D"/>
    <w:rsid w:val="009529F2"/>
    <w:rsid w:val="00952A36"/>
    <w:rsid w:val="00954C4B"/>
    <w:rsid w:val="00955FA6"/>
    <w:rsid w:val="00956578"/>
    <w:rsid w:val="00956DFC"/>
    <w:rsid w:val="00956EBC"/>
    <w:rsid w:val="00960990"/>
    <w:rsid w:val="00961313"/>
    <w:rsid w:val="00961B99"/>
    <w:rsid w:val="00961C3A"/>
    <w:rsid w:val="009624AB"/>
    <w:rsid w:val="00962CE0"/>
    <w:rsid w:val="0096352D"/>
    <w:rsid w:val="00964F06"/>
    <w:rsid w:val="00966606"/>
    <w:rsid w:val="00970ED6"/>
    <w:rsid w:val="00970F75"/>
    <w:rsid w:val="009713D0"/>
    <w:rsid w:val="00971B9C"/>
    <w:rsid w:val="009720B2"/>
    <w:rsid w:val="00972708"/>
    <w:rsid w:val="00973580"/>
    <w:rsid w:val="00974207"/>
    <w:rsid w:val="009750BE"/>
    <w:rsid w:val="009759A4"/>
    <w:rsid w:val="00977B8C"/>
    <w:rsid w:val="0098108E"/>
    <w:rsid w:val="00983566"/>
    <w:rsid w:val="009837F8"/>
    <w:rsid w:val="00983E07"/>
    <w:rsid w:val="0098550B"/>
    <w:rsid w:val="00986B9D"/>
    <w:rsid w:val="0098743E"/>
    <w:rsid w:val="009900E1"/>
    <w:rsid w:val="0099131D"/>
    <w:rsid w:val="009915CE"/>
    <w:rsid w:val="00991868"/>
    <w:rsid w:val="00991E21"/>
    <w:rsid w:val="00991FBF"/>
    <w:rsid w:val="009930B7"/>
    <w:rsid w:val="00993363"/>
    <w:rsid w:val="00993A3B"/>
    <w:rsid w:val="00993DFD"/>
    <w:rsid w:val="0099465B"/>
    <w:rsid w:val="0099493B"/>
    <w:rsid w:val="00995597"/>
    <w:rsid w:val="009956E0"/>
    <w:rsid w:val="00995995"/>
    <w:rsid w:val="00996DE4"/>
    <w:rsid w:val="00997F5B"/>
    <w:rsid w:val="009A00FF"/>
    <w:rsid w:val="009A1550"/>
    <w:rsid w:val="009A3479"/>
    <w:rsid w:val="009A37CC"/>
    <w:rsid w:val="009A42CC"/>
    <w:rsid w:val="009A563A"/>
    <w:rsid w:val="009B01A0"/>
    <w:rsid w:val="009B152F"/>
    <w:rsid w:val="009B3689"/>
    <w:rsid w:val="009B4C57"/>
    <w:rsid w:val="009B4F29"/>
    <w:rsid w:val="009B5895"/>
    <w:rsid w:val="009B7C10"/>
    <w:rsid w:val="009C1C58"/>
    <w:rsid w:val="009C3FD8"/>
    <w:rsid w:val="009C4DA4"/>
    <w:rsid w:val="009C69E3"/>
    <w:rsid w:val="009C6C1C"/>
    <w:rsid w:val="009C745A"/>
    <w:rsid w:val="009C7611"/>
    <w:rsid w:val="009C7786"/>
    <w:rsid w:val="009C7CEC"/>
    <w:rsid w:val="009D2A44"/>
    <w:rsid w:val="009D2B05"/>
    <w:rsid w:val="009D3A8D"/>
    <w:rsid w:val="009D5116"/>
    <w:rsid w:val="009D59F9"/>
    <w:rsid w:val="009D6E61"/>
    <w:rsid w:val="009E072E"/>
    <w:rsid w:val="009E1134"/>
    <w:rsid w:val="009E19E9"/>
    <w:rsid w:val="009E2043"/>
    <w:rsid w:val="009E26E6"/>
    <w:rsid w:val="009E33C6"/>
    <w:rsid w:val="009E4058"/>
    <w:rsid w:val="009E4605"/>
    <w:rsid w:val="009E470E"/>
    <w:rsid w:val="009E488B"/>
    <w:rsid w:val="009E61E3"/>
    <w:rsid w:val="009E63B1"/>
    <w:rsid w:val="009E6B5A"/>
    <w:rsid w:val="009F0685"/>
    <w:rsid w:val="009F2C45"/>
    <w:rsid w:val="009F31C8"/>
    <w:rsid w:val="009F3657"/>
    <w:rsid w:val="009F38E3"/>
    <w:rsid w:val="009F44A4"/>
    <w:rsid w:val="009F6859"/>
    <w:rsid w:val="00A00F02"/>
    <w:rsid w:val="00A00FA6"/>
    <w:rsid w:val="00A014F1"/>
    <w:rsid w:val="00A01FD8"/>
    <w:rsid w:val="00A02375"/>
    <w:rsid w:val="00A0242A"/>
    <w:rsid w:val="00A026E3"/>
    <w:rsid w:val="00A02A9E"/>
    <w:rsid w:val="00A02F93"/>
    <w:rsid w:val="00A04783"/>
    <w:rsid w:val="00A052BB"/>
    <w:rsid w:val="00A063FC"/>
    <w:rsid w:val="00A069CD"/>
    <w:rsid w:val="00A06DC2"/>
    <w:rsid w:val="00A06FEA"/>
    <w:rsid w:val="00A07136"/>
    <w:rsid w:val="00A10CA7"/>
    <w:rsid w:val="00A116CD"/>
    <w:rsid w:val="00A119BC"/>
    <w:rsid w:val="00A14D34"/>
    <w:rsid w:val="00A155E5"/>
    <w:rsid w:val="00A1578B"/>
    <w:rsid w:val="00A158FA"/>
    <w:rsid w:val="00A15A31"/>
    <w:rsid w:val="00A15B74"/>
    <w:rsid w:val="00A1670B"/>
    <w:rsid w:val="00A16E07"/>
    <w:rsid w:val="00A20046"/>
    <w:rsid w:val="00A208A7"/>
    <w:rsid w:val="00A23508"/>
    <w:rsid w:val="00A247CA"/>
    <w:rsid w:val="00A24DA3"/>
    <w:rsid w:val="00A25BAF"/>
    <w:rsid w:val="00A261A6"/>
    <w:rsid w:val="00A2760A"/>
    <w:rsid w:val="00A300F9"/>
    <w:rsid w:val="00A303C6"/>
    <w:rsid w:val="00A309EA"/>
    <w:rsid w:val="00A30B60"/>
    <w:rsid w:val="00A30C6F"/>
    <w:rsid w:val="00A31BE5"/>
    <w:rsid w:val="00A32B6F"/>
    <w:rsid w:val="00A3474A"/>
    <w:rsid w:val="00A34D3D"/>
    <w:rsid w:val="00A412D8"/>
    <w:rsid w:val="00A4181C"/>
    <w:rsid w:val="00A41DEA"/>
    <w:rsid w:val="00A424D7"/>
    <w:rsid w:val="00A42C02"/>
    <w:rsid w:val="00A42FB6"/>
    <w:rsid w:val="00A4406B"/>
    <w:rsid w:val="00A440BD"/>
    <w:rsid w:val="00A4562F"/>
    <w:rsid w:val="00A45701"/>
    <w:rsid w:val="00A45B82"/>
    <w:rsid w:val="00A46354"/>
    <w:rsid w:val="00A50152"/>
    <w:rsid w:val="00A50306"/>
    <w:rsid w:val="00A50DAC"/>
    <w:rsid w:val="00A51977"/>
    <w:rsid w:val="00A51BCB"/>
    <w:rsid w:val="00A51E2D"/>
    <w:rsid w:val="00A535A9"/>
    <w:rsid w:val="00A559CF"/>
    <w:rsid w:val="00A56A92"/>
    <w:rsid w:val="00A56DF1"/>
    <w:rsid w:val="00A60D56"/>
    <w:rsid w:val="00A60E91"/>
    <w:rsid w:val="00A63E02"/>
    <w:rsid w:val="00A641AC"/>
    <w:rsid w:val="00A648B8"/>
    <w:rsid w:val="00A652E2"/>
    <w:rsid w:val="00A6595C"/>
    <w:rsid w:val="00A65C19"/>
    <w:rsid w:val="00A65DAE"/>
    <w:rsid w:val="00A65FAC"/>
    <w:rsid w:val="00A679E8"/>
    <w:rsid w:val="00A67EB5"/>
    <w:rsid w:val="00A704D2"/>
    <w:rsid w:val="00A7096E"/>
    <w:rsid w:val="00A71EC5"/>
    <w:rsid w:val="00A723A4"/>
    <w:rsid w:val="00A73917"/>
    <w:rsid w:val="00A7429D"/>
    <w:rsid w:val="00A743A3"/>
    <w:rsid w:val="00A74445"/>
    <w:rsid w:val="00A746CC"/>
    <w:rsid w:val="00A756C5"/>
    <w:rsid w:val="00A76B28"/>
    <w:rsid w:val="00A7704C"/>
    <w:rsid w:val="00A77613"/>
    <w:rsid w:val="00A779B2"/>
    <w:rsid w:val="00A80B43"/>
    <w:rsid w:val="00A847AB"/>
    <w:rsid w:val="00A84920"/>
    <w:rsid w:val="00A84D11"/>
    <w:rsid w:val="00A85002"/>
    <w:rsid w:val="00A854E6"/>
    <w:rsid w:val="00A85F91"/>
    <w:rsid w:val="00A8675B"/>
    <w:rsid w:val="00A90D60"/>
    <w:rsid w:val="00A92208"/>
    <w:rsid w:val="00A922EB"/>
    <w:rsid w:val="00A93235"/>
    <w:rsid w:val="00A94791"/>
    <w:rsid w:val="00A948B7"/>
    <w:rsid w:val="00A95426"/>
    <w:rsid w:val="00A95A6F"/>
    <w:rsid w:val="00A95C93"/>
    <w:rsid w:val="00A961C1"/>
    <w:rsid w:val="00A962AC"/>
    <w:rsid w:val="00A9632C"/>
    <w:rsid w:val="00A97296"/>
    <w:rsid w:val="00A975CB"/>
    <w:rsid w:val="00A9787A"/>
    <w:rsid w:val="00A97ABC"/>
    <w:rsid w:val="00A97ECC"/>
    <w:rsid w:val="00AA36DE"/>
    <w:rsid w:val="00AA43A8"/>
    <w:rsid w:val="00AA49D3"/>
    <w:rsid w:val="00AA4B69"/>
    <w:rsid w:val="00AA5167"/>
    <w:rsid w:val="00AB1041"/>
    <w:rsid w:val="00AB11CB"/>
    <w:rsid w:val="00AB1D80"/>
    <w:rsid w:val="00AB21C3"/>
    <w:rsid w:val="00AB2924"/>
    <w:rsid w:val="00AB30D7"/>
    <w:rsid w:val="00AB3259"/>
    <w:rsid w:val="00AB3BBD"/>
    <w:rsid w:val="00AB3FFA"/>
    <w:rsid w:val="00AB521E"/>
    <w:rsid w:val="00AB5917"/>
    <w:rsid w:val="00AB5F6C"/>
    <w:rsid w:val="00AB61A7"/>
    <w:rsid w:val="00AB6982"/>
    <w:rsid w:val="00AB6C7E"/>
    <w:rsid w:val="00AB7616"/>
    <w:rsid w:val="00AB7694"/>
    <w:rsid w:val="00AC0A07"/>
    <w:rsid w:val="00AC0C67"/>
    <w:rsid w:val="00AC0F47"/>
    <w:rsid w:val="00AC1EF9"/>
    <w:rsid w:val="00AC2D6C"/>
    <w:rsid w:val="00AC35E7"/>
    <w:rsid w:val="00AC3EBA"/>
    <w:rsid w:val="00AC3FF8"/>
    <w:rsid w:val="00AC5A7B"/>
    <w:rsid w:val="00AC7108"/>
    <w:rsid w:val="00AC7199"/>
    <w:rsid w:val="00AC761E"/>
    <w:rsid w:val="00AC7B85"/>
    <w:rsid w:val="00AD0D4E"/>
    <w:rsid w:val="00AD1861"/>
    <w:rsid w:val="00AD22EF"/>
    <w:rsid w:val="00AD3421"/>
    <w:rsid w:val="00AD407E"/>
    <w:rsid w:val="00AD4AF0"/>
    <w:rsid w:val="00AD6148"/>
    <w:rsid w:val="00AD6DE3"/>
    <w:rsid w:val="00AD7C7E"/>
    <w:rsid w:val="00AE0180"/>
    <w:rsid w:val="00AE090C"/>
    <w:rsid w:val="00AE1052"/>
    <w:rsid w:val="00AE19BA"/>
    <w:rsid w:val="00AE1B07"/>
    <w:rsid w:val="00AE1B19"/>
    <w:rsid w:val="00AE1EED"/>
    <w:rsid w:val="00AE2527"/>
    <w:rsid w:val="00AE25E3"/>
    <w:rsid w:val="00AE2835"/>
    <w:rsid w:val="00AE2F57"/>
    <w:rsid w:val="00AE2FF9"/>
    <w:rsid w:val="00AE35F5"/>
    <w:rsid w:val="00AE3C5F"/>
    <w:rsid w:val="00AE5F5F"/>
    <w:rsid w:val="00AE600E"/>
    <w:rsid w:val="00AE6124"/>
    <w:rsid w:val="00AE61F4"/>
    <w:rsid w:val="00AF1199"/>
    <w:rsid w:val="00AF1212"/>
    <w:rsid w:val="00AF1E0E"/>
    <w:rsid w:val="00AF2102"/>
    <w:rsid w:val="00AF3E0C"/>
    <w:rsid w:val="00AF3E57"/>
    <w:rsid w:val="00AF4F53"/>
    <w:rsid w:val="00AF5088"/>
    <w:rsid w:val="00AF53FB"/>
    <w:rsid w:val="00AF56AE"/>
    <w:rsid w:val="00AF5876"/>
    <w:rsid w:val="00AF6BC9"/>
    <w:rsid w:val="00AF77B0"/>
    <w:rsid w:val="00AF787B"/>
    <w:rsid w:val="00B01868"/>
    <w:rsid w:val="00B02E2E"/>
    <w:rsid w:val="00B0411F"/>
    <w:rsid w:val="00B0420C"/>
    <w:rsid w:val="00B04EC5"/>
    <w:rsid w:val="00B05AC3"/>
    <w:rsid w:val="00B073D0"/>
    <w:rsid w:val="00B07BE0"/>
    <w:rsid w:val="00B11134"/>
    <w:rsid w:val="00B11B6E"/>
    <w:rsid w:val="00B11BCB"/>
    <w:rsid w:val="00B122C2"/>
    <w:rsid w:val="00B13102"/>
    <w:rsid w:val="00B133B7"/>
    <w:rsid w:val="00B14E85"/>
    <w:rsid w:val="00B1505C"/>
    <w:rsid w:val="00B1546E"/>
    <w:rsid w:val="00B16E7A"/>
    <w:rsid w:val="00B17615"/>
    <w:rsid w:val="00B178D6"/>
    <w:rsid w:val="00B17CB0"/>
    <w:rsid w:val="00B20472"/>
    <w:rsid w:val="00B20CC3"/>
    <w:rsid w:val="00B22C39"/>
    <w:rsid w:val="00B232FC"/>
    <w:rsid w:val="00B23BBE"/>
    <w:rsid w:val="00B24BD8"/>
    <w:rsid w:val="00B251CE"/>
    <w:rsid w:val="00B25B7A"/>
    <w:rsid w:val="00B27968"/>
    <w:rsid w:val="00B30371"/>
    <w:rsid w:val="00B30B09"/>
    <w:rsid w:val="00B332A3"/>
    <w:rsid w:val="00B33842"/>
    <w:rsid w:val="00B340B4"/>
    <w:rsid w:val="00B34C25"/>
    <w:rsid w:val="00B35477"/>
    <w:rsid w:val="00B35848"/>
    <w:rsid w:val="00B361EB"/>
    <w:rsid w:val="00B370EE"/>
    <w:rsid w:val="00B41B40"/>
    <w:rsid w:val="00B42005"/>
    <w:rsid w:val="00B4221D"/>
    <w:rsid w:val="00B42573"/>
    <w:rsid w:val="00B42C63"/>
    <w:rsid w:val="00B449D0"/>
    <w:rsid w:val="00B44ACE"/>
    <w:rsid w:val="00B459C9"/>
    <w:rsid w:val="00B4652E"/>
    <w:rsid w:val="00B46EF4"/>
    <w:rsid w:val="00B46FB9"/>
    <w:rsid w:val="00B50402"/>
    <w:rsid w:val="00B50603"/>
    <w:rsid w:val="00B50CFC"/>
    <w:rsid w:val="00B51D14"/>
    <w:rsid w:val="00B53076"/>
    <w:rsid w:val="00B531A5"/>
    <w:rsid w:val="00B534CB"/>
    <w:rsid w:val="00B53EE2"/>
    <w:rsid w:val="00B53F6F"/>
    <w:rsid w:val="00B548AD"/>
    <w:rsid w:val="00B55E98"/>
    <w:rsid w:val="00B56801"/>
    <w:rsid w:val="00B568F2"/>
    <w:rsid w:val="00B5725E"/>
    <w:rsid w:val="00B60FF3"/>
    <w:rsid w:val="00B6110E"/>
    <w:rsid w:val="00B640BB"/>
    <w:rsid w:val="00B65A66"/>
    <w:rsid w:val="00B66704"/>
    <w:rsid w:val="00B6744E"/>
    <w:rsid w:val="00B6758A"/>
    <w:rsid w:val="00B67A35"/>
    <w:rsid w:val="00B72C0B"/>
    <w:rsid w:val="00B72D39"/>
    <w:rsid w:val="00B72EE4"/>
    <w:rsid w:val="00B734FB"/>
    <w:rsid w:val="00B75E16"/>
    <w:rsid w:val="00B7681F"/>
    <w:rsid w:val="00B76D4E"/>
    <w:rsid w:val="00B77016"/>
    <w:rsid w:val="00B77502"/>
    <w:rsid w:val="00B77DBA"/>
    <w:rsid w:val="00B80785"/>
    <w:rsid w:val="00B80A59"/>
    <w:rsid w:val="00B80C47"/>
    <w:rsid w:val="00B8168E"/>
    <w:rsid w:val="00B81AAD"/>
    <w:rsid w:val="00B825A5"/>
    <w:rsid w:val="00B83777"/>
    <w:rsid w:val="00B84988"/>
    <w:rsid w:val="00B8514F"/>
    <w:rsid w:val="00B857BE"/>
    <w:rsid w:val="00B8584C"/>
    <w:rsid w:val="00B86473"/>
    <w:rsid w:val="00B8669E"/>
    <w:rsid w:val="00B869D9"/>
    <w:rsid w:val="00B86E2B"/>
    <w:rsid w:val="00B8799F"/>
    <w:rsid w:val="00B901AE"/>
    <w:rsid w:val="00B90834"/>
    <w:rsid w:val="00B90D50"/>
    <w:rsid w:val="00B90DC2"/>
    <w:rsid w:val="00B92845"/>
    <w:rsid w:val="00B93A11"/>
    <w:rsid w:val="00B941A1"/>
    <w:rsid w:val="00B946C4"/>
    <w:rsid w:val="00B9482B"/>
    <w:rsid w:val="00B950F1"/>
    <w:rsid w:val="00B95462"/>
    <w:rsid w:val="00B979D9"/>
    <w:rsid w:val="00BA10AF"/>
    <w:rsid w:val="00BA1994"/>
    <w:rsid w:val="00BA2CFF"/>
    <w:rsid w:val="00BA4046"/>
    <w:rsid w:val="00BA440E"/>
    <w:rsid w:val="00BA46B9"/>
    <w:rsid w:val="00BA5272"/>
    <w:rsid w:val="00BA663C"/>
    <w:rsid w:val="00BA6B5A"/>
    <w:rsid w:val="00BA7007"/>
    <w:rsid w:val="00BB0798"/>
    <w:rsid w:val="00BB18FC"/>
    <w:rsid w:val="00BB2115"/>
    <w:rsid w:val="00BB2B2C"/>
    <w:rsid w:val="00BB2F5C"/>
    <w:rsid w:val="00BB327B"/>
    <w:rsid w:val="00BB3286"/>
    <w:rsid w:val="00BB45AF"/>
    <w:rsid w:val="00BB485C"/>
    <w:rsid w:val="00BB4AEE"/>
    <w:rsid w:val="00BB4EC8"/>
    <w:rsid w:val="00BB5421"/>
    <w:rsid w:val="00BB5695"/>
    <w:rsid w:val="00BB6049"/>
    <w:rsid w:val="00BB628B"/>
    <w:rsid w:val="00BB67C8"/>
    <w:rsid w:val="00BB6C22"/>
    <w:rsid w:val="00BB7332"/>
    <w:rsid w:val="00BB73AD"/>
    <w:rsid w:val="00BC0314"/>
    <w:rsid w:val="00BC031A"/>
    <w:rsid w:val="00BC1B38"/>
    <w:rsid w:val="00BC2615"/>
    <w:rsid w:val="00BC3956"/>
    <w:rsid w:val="00BC3B2E"/>
    <w:rsid w:val="00BC3CFD"/>
    <w:rsid w:val="00BC3FFB"/>
    <w:rsid w:val="00BC4017"/>
    <w:rsid w:val="00BC4533"/>
    <w:rsid w:val="00BC5292"/>
    <w:rsid w:val="00BC6013"/>
    <w:rsid w:val="00BC62A8"/>
    <w:rsid w:val="00BD2AD9"/>
    <w:rsid w:val="00BD36E3"/>
    <w:rsid w:val="00BD3CBA"/>
    <w:rsid w:val="00BD4392"/>
    <w:rsid w:val="00BD5F57"/>
    <w:rsid w:val="00BD7022"/>
    <w:rsid w:val="00BD73E3"/>
    <w:rsid w:val="00BE1D73"/>
    <w:rsid w:val="00BE1FDA"/>
    <w:rsid w:val="00BE2B32"/>
    <w:rsid w:val="00BE2C86"/>
    <w:rsid w:val="00BE3B7B"/>
    <w:rsid w:val="00BE3E35"/>
    <w:rsid w:val="00BE445B"/>
    <w:rsid w:val="00BE4967"/>
    <w:rsid w:val="00BE4A8B"/>
    <w:rsid w:val="00BE4CB9"/>
    <w:rsid w:val="00BE52F3"/>
    <w:rsid w:val="00BE54A7"/>
    <w:rsid w:val="00BE693F"/>
    <w:rsid w:val="00BE6D7C"/>
    <w:rsid w:val="00BF079F"/>
    <w:rsid w:val="00BF1595"/>
    <w:rsid w:val="00BF25D7"/>
    <w:rsid w:val="00BF282D"/>
    <w:rsid w:val="00BF2978"/>
    <w:rsid w:val="00BF375E"/>
    <w:rsid w:val="00BF3967"/>
    <w:rsid w:val="00BF500A"/>
    <w:rsid w:val="00BF59EB"/>
    <w:rsid w:val="00BF60DC"/>
    <w:rsid w:val="00BF7F4D"/>
    <w:rsid w:val="00C0105D"/>
    <w:rsid w:val="00C01E60"/>
    <w:rsid w:val="00C02F4E"/>
    <w:rsid w:val="00C03797"/>
    <w:rsid w:val="00C03D74"/>
    <w:rsid w:val="00C03F80"/>
    <w:rsid w:val="00C04AEA"/>
    <w:rsid w:val="00C05808"/>
    <w:rsid w:val="00C06602"/>
    <w:rsid w:val="00C06DA4"/>
    <w:rsid w:val="00C07CD9"/>
    <w:rsid w:val="00C10AEC"/>
    <w:rsid w:val="00C11241"/>
    <w:rsid w:val="00C1161A"/>
    <w:rsid w:val="00C116AA"/>
    <w:rsid w:val="00C116F9"/>
    <w:rsid w:val="00C13438"/>
    <w:rsid w:val="00C14378"/>
    <w:rsid w:val="00C1475D"/>
    <w:rsid w:val="00C14A24"/>
    <w:rsid w:val="00C14A6A"/>
    <w:rsid w:val="00C14DB1"/>
    <w:rsid w:val="00C150E9"/>
    <w:rsid w:val="00C16FFB"/>
    <w:rsid w:val="00C17858"/>
    <w:rsid w:val="00C17CFA"/>
    <w:rsid w:val="00C2201B"/>
    <w:rsid w:val="00C23DB2"/>
    <w:rsid w:val="00C24EBF"/>
    <w:rsid w:val="00C25390"/>
    <w:rsid w:val="00C26745"/>
    <w:rsid w:val="00C26BC3"/>
    <w:rsid w:val="00C30609"/>
    <w:rsid w:val="00C30DE1"/>
    <w:rsid w:val="00C30FA4"/>
    <w:rsid w:val="00C31249"/>
    <w:rsid w:val="00C32A8E"/>
    <w:rsid w:val="00C34161"/>
    <w:rsid w:val="00C34326"/>
    <w:rsid w:val="00C34796"/>
    <w:rsid w:val="00C3480C"/>
    <w:rsid w:val="00C352BB"/>
    <w:rsid w:val="00C35608"/>
    <w:rsid w:val="00C36813"/>
    <w:rsid w:val="00C37F49"/>
    <w:rsid w:val="00C40340"/>
    <w:rsid w:val="00C40671"/>
    <w:rsid w:val="00C40968"/>
    <w:rsid w:val="00C40A50"/>
    <w:rsid w:val="00C40E6F"/>
    <w:rsid w:val="00C41FA1"/>
    <w:rsid w:val="00C4352F"/>
    <w:rsid w:val="00C4361E"/>
    <w:rsid w:val="00C45505"/>
    <w:rsid w:val="00C46186"/>
    <w:rsid w:val="00C461B6"/>
    <w:rsid w:val="00C4740D"/>
    <w:rsid w:val="00C47B98"/>
    <w:rsid w:val="00C47DF2"/>
    <w:rsid w:val="00C5095F"/>
    <w:rsid w:val="00C509DF"/>
    <w:rsid w:val="00C524A5"/>
    <w:rsid w:val="00C55D79"/>
    <w:rsid w:val="00C5665E"/>
    <w:rsid w:val="00C608CF"/>
    <w:rsid w:val="00C61BD0"/>
    <w:rsid w:val="00C61F86"/>
    <w:rsid w:val="00C62802"/>
    <w:rsid w:val="00C62C7F"/>
    <w:rsid w:val="00C64047"/>
    <w:rsid w:val="00C64EBC"/>
    <w:rsid w:val="00C65BF8"/>
    <w:rsid w:val="00C661A6"/>
    <w:rsid w:val="00C66355"/>
    <w:rsid w:val="00C663E5"/>
    <w:rsid w:val="00C67C34"/>
    <w:rsid w:val="00C702D8"/>
    <w:rsid w:val="00C70735"/>
    <w:rsid w:val="00C70785"/>
    <w:rsid w:val="00C71294"/>
    <w:rsid w:val="00C7145D"/>
    <w:rsid w:val="00C725BD"/>
    <w:rsid w:val="00C72E7B"/>
    <w:rsid w:val="00C73431"/>
    <w:rsid w:val="00C73694"/>
    <w:rsid w:val="00C75768"/>
    <w:rsid w:val="00C75A37"/>
    <w:rsid w:val="00C75C83"/>
    <w:rsid w:val="00C763E6"/>
    <w:rsid w:val="00C77740"/>
    <w:rsid w:val="00C779CE"/>
    <w:rsid w:val="00C80B84"/>
    <w:rsid w:val="00C81BD7"/>
    <w:rsid w:val="00C83E94"/>
    <w:rsid w:val="00C842F4"/>
    <w:rsid w:val="00C84365"/>
    <w:rsid w:val="00C863DE"/>
    <w:rsid w:val="00C86A01"/>
    <w:rsid w:val="00C86FD0"/>
    <w:rsid w:val="00C91FCB"/>
    <w:rsid w:val="00C927CC"/>
    <w:rsid w:val="00C92A7E"/>
    <w:rsid w:val="00C93700"/>
    <w:rsid w:val="00C93A7B"/>
    <w:rsid w:val="00C93D0E"/>
    <w:rsid w:val="00C93E51"/>
    <w:rsid w:val="00C940D2"/>
    <w:rsid w:val="00C94201"/>
    <w:rsid w:val="00C95ED6"/>
    <w:rsid w:val="00C9687C"/>
    <w:rsid w:val="00C96B43"/>
    <w:rsid w:val="00C970CA"/>
    <w:rsid w:val="00C97465"/>
    <w:rsid w:val="00CA0643"/>
    <w:rsid w:val="00CA0927"/>
    <w:rsid w:val="00CA098E"/>
    <w:rsid w:val="00CA20E7"/>
    <w:rsid w:val="00CA24C5"/>
    <w:rsid w:val="00CA40B8"/>
    <w:rsid w:val="00CA4973"/>
    <w:rsid w:val="00CA4B1D"/>
    <w:rsid w:val="00CA5057"/>
    <w:rsid w:val="00CA59F9"/>
    <w:rsid w:val="00CA60D9"/>
    <w:rsid w:val="00CB05CB"/>
    <w:rsid w:val="00CB09A0"/>
    <w:rsid w:val="00CB144D"/>
    <w:rsid w:val="00CB1703"/>
    <w:rsid w:val="00CB1866"/>
    <w:rsid w:val="00CB1DA8"/>
    <w:rsid w:val="00CB22D2"/>
    <w:rsid w:val="00CB282D"/>
    <w:rsid w:val="00CB44FD"/>
    <w:rsid w:val="00CB48BB"/>
    <w:rsid w:val="00CB4D4E"/>
    <w:rsid w:val="00CB52A2"/>
    <w:rsid w:val="00CB5C01"/>
    <w:rsid w:val="00CB5F63"/>
    <w:rsid w:val="00CB6106"/>
    <w:rsid w:val="00CC06A2"/>
    <w:rsid w:val="00CC0720"/>
    <w:rsid w:val="00CC0A05"/>
    <w:rsid w:val="00CC12FC"/>
    <w:rsid w:val="00CC287B"/>
    <w:rsid w:val="00CC2B03"/>
    <w:rsid w:val="00CC325B"/>
    <w:rsid w:val="00CC3D61"/>
    <w:rsid w:val="00CC3E3B"/>
    <w:rsid w:val="00CC4970"/>
    <w:rsid w:val="00CC4CB1"/>
    <w:rsid w:val="00CC5086"/>
    <w:rsid w:val="00CC571B"/>
    <w:rsid w:val="00CC5954"/>
    <w:rsid w:val="00CC59D4"/>
    <w:rsid w:val="00CC6138"/>
    <w:rsid w:val="00CC6643"/>
    <w:rsid w:val="00CC6C23"/>
    <w:rsid w:val="00CD128F"/>
    <w:rsid w:val="00CD21C3"/>
    <w:rsid w:val="00CD41DE"/>
    <w:rsid w:val="00CD4925"/>
    <w:rsid w:val="00CD5E19"/>
    <w:rsid w:val="00CD66E7"/>
    <w:rsid w:val="00CD708A"/>
    <w:rsid w:val="00CE0D19"/>
    <w:rsid w:val="00CE271C"/>
    <w:rsid w:val="00CE40C0"/>
    <w:rsid w:val="00CE4329"/>
    <w:rsid w:val="00CE5947"/>
    <w:rsid w:val="00CE60BF"/>
    <w:rsid w:val="00CE6EAE"/>
    <w:rsid w:val="00CE7088"/>
    <w:rsid w:val="00CE7693"/>
    <w:rsid w:val="00CE7A0A"/>
    <w:rsid w:val="00CF05D5"/>
    <w:rsid w:val="00CF2A8F"/>
    <w:rsid w:val="00CF30D2"/>
    <w:rsid w:val="00CF4444"/>
    <w:rsid w:val="00CF4C56"/>
    <w:rsid w:val="00CF6D7B"/>
    <w:rsid w:val="00CF6E0B"/>
    <w:rsid w:val="00CF7136"/>
    <w:rsid w:val="00CF7563"/>
    <w:rsid w:val="00D00B51"/>
    <w:rsid w:val="00D015D7"/>
    <w:rsid w:val="00D01CBA"/>
    <w:rsid w:val="00D01D91"/>
    <w:rsid w:val="00D036EE"/>
    <w:rsid w:val="00D03F41"/>
    <w:rsid w:val="00D0504A"/>
    <w:rsid w:val="00D0513F"/>
    <w:rsid w:val="00D06004"/>
    <w:rsid w:val="00D063B8"/>
    <w:rsid w:val="00D064ED"/>
    <w:rsid w:val="00D072FB"/>
    <w:rsid w:val="00D07E6D"/>
    <w:rsid w:val="00D1057C"/>
    <w:rsid w:val="00D10900"/>
    <w:rsid w:val="00D11C0E"/>
    <w:rsid w:val="00D12733"/>
    <w:rsid w:val="00D13851"/>
    <w:rsid w:val="00D13FB7"/>
    <w:rsid w:val="00D14482"/>
    <w:rsid w:val="00D14C7B"/>
    <w:rsid w:val="00D216DD"/>
    <w:rsid w:val="00D22696"/>
    <w:rsid w:val="00D245AE"/>
    <w:rsid w:val="00D25327"/>
    <w:rsid w:val="00D25845"/>
    <w:rsid w:val="00D25B07"/>
    <w:rsid w:val="00D25CE2"/>
    <w:rsid w:val="00D26B82"/>
    <w:rsid w:val="00D307CB"/>
    <w:rsid w:val="00D32F3E"/>
    <w:rsid w:val="00D33105"/>
    <w:rsid w:val="00D3463C"/>
    <w:rsid w:val="00D36152"/>
    <w:rsid w:val="00D40486"/>
    <w:rsid w:val="00D41555"/>
    <w:rsid w:val="00D4188B"/>
    <w:rsid w:val="00D42233"/>
    <w:rsid w:val="00D42C48"/>
    <w:rsid w:val="00D4355D"/>
    <w:rsid w:val="00D435E1"/>
    <w:rsid w:val="00D43638"/>
    <w:rsid w:val="00D43CC7"/>
    <w:rsid w:val="00D4446A"/>
    <w:rsid w:val="00D45338"/>
    <w:rsid w:val="00D468D2"/>
    <w:rsid w:val="00D46CC5"/>
    <w:rsid w:val="00D47F9C"/>
    <w:rsid w:val="00D50107"/>
    <w:rsid w:val="00D5020D"/>
    <w:rsid w:val="00D5029D"/>
    <w:rsid w:val="00D5056C"/>
    <w:rsid w:val="00D50822"/>
    <w:rsid w:val="00D50CC7"/>
    <w:rsid w:val="00D516CD"/>
    <w:rsid w:val="00D51B7B"/>
    <w:rsid w:val="00D52B63"/>
    <w:rsid w:val="00D53B02"/>
    <w:rsid w:val="00D54079"/>
    <w:rsid w:val="00D5468E"/>
    <w:rsid w:val="00D55B84"/>
    <w:rsid w:val="00D564B8"/>
    <w:rsid w:val="00D57107"/>
    <w:rsid w:val="00D600FE"/>
    <w:rsid w:val="00D61B90"/>
    <w:rsid w:val="00D63856"/>
    <w:rsid w:val="00D63960"/>
    <w:rsid w:val="00D6420B"/>
    <w:rsid w:val="00D65CDF"/>
    <w:rsid w:val="00D65E26"/>
    <w:rsid w:val="00D66DC8"/>
    <w:rsid w:val="00D672C2"/>
    <w:rsid w:val="00D70526"/>
    <w:rsid w:val="00D707E1"/>
    <w:rsid w:val="00D711AD"/>
    <w:rsid w:val="00D71794"/>
    <w:rsid w:val="00D71826"/>
    <w:rsid w:val="00D72AC1"/>
    <w:rsid w:val="00D73687"/>
    <w:rsid w:val="00D7493C"/>
    <w:rsid w:val="00D74B3D"/>
    <w:rsid w:val="00D74C9A"/>
    <w:rsid w:val="00D7517D"/>
    <w:rsid w:val="00D75C1B"/>
    <w:rsid w:val="00D76372"/>
    <w:rsid w:val="00D767D2"/>
    <w:rsid w:val="00D77F9C"/>
    <w:rsid w:val="00D804B2"/>
    <w:rsid w:val="00D804CC"/>
    <w:rsid w:val="00D80C87"/>
    <w:rsid w:val="00D81A2A"/>
    <w:rsid w:val="00D81F2F"/>
    <w:rsid w:val="00D822F0"/>
    <w:rsid w:val="00D82C84"/>
    <w:rsid w:val="00D85851"/>
    <w:rsid w:val="00D85A63"/>
    <w:rsid w:val="00D869EF"/>
    <w:rsid w:val="00D86A9F"/>
    <w:rsid w:val="00D875A3"/>
    <w:rsid w:val="00D87E14"/>
    <w:rsid w:val="00D87FF4"/>
    <w:rsid w:val="00D91DAF"/>
    <w:rsid w:val="00D921FD"/>
    <w:rsid w:val="00D92DF2"/>
    <w:rsid w:val="00D92FC3"/>
    <w:rsid w:val="00D9365D"/>
    <w:rsid w:val="00D93B34"/>
    <w:rsid w:val="00D93C32"/>
    <w:rsid w:val="00D94E97"/>
    <w:rsid w:val="00D956AE"/>
    <w:rsid w:val="00D970E6"/>
    <w:rsid w:val="00D9750F"/>
    <w:rsid w:val="00DA0066"/>
    <w:rsid w:val="00DA043C"/>
    <w:rsid w:val="00DA18EC"/>
    <w:rsid w:val="00DA318F"/>
    <w:rsid w:val="00DA3882"/>
    <w:rsid w:val="00DA3B74"/>
    <w:rsid w:val="00DA3DC5"/>
    <w:rsid w:val="00DA5497"/>
    <w:rsid w:val="00DA5ED0"/>
    <w:rsid w:val="00DA68F0"/>
    <w:rsid w:val="00DA7A22"/>
    <w:rsid w:val="00DB1548"/>
    <w:rsid w:val="00DB199D"/>
    <w:rsid w:val="00DB5599"/>
    <w:rsid w:val="00DB6569"/>
    <w:rsid w:val="00DB7DC7"/>
    <w:rsid w:val="00DC2375"/>
    <w:rsid w:val="00DC2DAB"/>
    <w:rsid w:val="00DC2E14"/>
    <w:rsid w:val="00DC3ED3"/>
    <w:rsid w:val="00DC4095"/>
    <w:rsid w:val="00DC4176"/>
    <w:rsid w:val="00DC52DA"/>
    <w:rsid w:val="00DC55C2"/>
    <w:rsid w:val="00DC5BAB"/>
    <w:rsid w:val="00DC63E2"/>
    <w:rsid w:val="00DC6DC6"/>
    <w:rsid w:val="00DC7811"/>
    <w:rsid w:val="00DD0DE3"/>
    <w:rsid w:val="00DD3E26"/>
    <w:rsid w:val="00DD3E40"/>
    <w:rsid w:val="00DD4223"/>
    <w:rsid w:val="00DD4BA7"/>
    <w:rsid w:val="00DD53B0"/>
    <w:rsid w:val="00DE1689"/>
    <w:rsid w:val="00DE2140"/>
    <w:rsid w:val="00DE48AB"/>
    <w:rsid w:val="00DE4C0D"/>
    <w:rsid w:val="00DE4FDB"/>
    <w:rsid w:val="00DE560B"/>
    <w:rsid w:val="00DE560E"/>
    <w:rsid w:val="00DE58BE"/>
    <w:rsid w:val="00DE63AE"/>
    <w:rsid w:val="00DE78CC"/>
    <w:rsid w:val="00DE7F45"/>
    <w:rsid w:val="00DF1177"/>
    <w:rsid w:val="00DF1523"/>
    <w:rsid w:val="00DF17C3"/>
    <w:rsid w:val="00DF1CE9"/>
    <w:rsid w:val="00DF2439"/>
    <w:rsid w:val="00DF2C6D"/>
    <w:rsid w:val="00DF3564"/>
    <w:rsid w:val="00DF4C29"/>
    <w:rsid w:val="00DF5662"/>
    <w:rsid w:val="00DF58BC"/>
    <w:rsid w:val="00DF5A48"/>
    <w:rsid w:val="00DF5E51"/>
    <w:rsid w:val="00DF6D45"/>
    <w:rsid w:val="00E00B39"/>
    <w:rsid w:val="00E01796"/>
    <w:rsid w:val="00E017D3"/>
    <w:rsid w:val="00E01BAB"/>
    <w:rsid w:val="00E02C7F"/>
    <w:rsid w:val="00E037CD"/>
    <w:rsid w:val="00E05595"/>
    <w:rsid w:val="00E05839"/>
    <w:rsid w:val="00E064B8"/>
    <w:rsid w:val="00E0686F"/>
    <w:rsid w:val="00E06D47"/>
    <w:rsid w:val="00E06ED9"/>
    <w:rsid w:val="00E078A6"/>
    <w:rsid w:val="00E1060B"/>
    <w:rsid w:val="00E113DE"/>
    <w:rsid w:val="00E116BE"/>
    <w:rsid w:val="00E11966"/>
    <w:rsid w:val="00E12A28"/>
    <w:rsid w:val="00E13409"/>
    <w:rsid w:val="00E13456"/>
    <w:rsid w:val="00E14144"/>
    <w:rsid w:val="00E1717E"/>
    <w:rsid w:val="00E17E28"/>
    <w:rsid w:val="00E2165F"/>
    <w:rsid w:val="00E21946"/>
    <w:rsid w:val="00E2209B"/>
    <w:rsid w:val="00E224CD"/>
    <w:rsid w:val="00E242CB"/>
    <w:rsid w:val="00E25268"/>
    <w:rsid w:val="00E25B8A"/>
    <w:rsid w:val="00E27012"/>
    <w:rsid w:val="00E30C23"/>
    <w:rsid w:val="00E30C63"/>
    <w:rsid w:val="00E3256E"/>
    <w:rsid w:val="00E33101"/>
    <w:rsid w:val="00E3328B"/>
    <w:rsid w:val="00E33FE8"/>
    <w:rsid w:val="00E34E1E"/>
    <w:rsid w:val="00E35AD5"/>
    <w:rsid w:val="00E3661E"/>
    <w:rsid w:val="00E36C1A"/>
    <w:rsid w:val="00E376D0"/>
    <w:rsid w:val="00E40567"/>
    <w:rsid w:val="00E40BAF"/>
    <w:rsid w:val="00E41650"/>
    <w:rsid w:val="00E41902"/>
    <w:rsid w:val="00E4217B"/>
    <w:rsid w:val="00E429AD"/>
    <w:rsid w:val="00E42E7F"/>
    <w:rsid w:val="00E44593"/>
    <w:rsid w:val="00E44C43"/>
    <w:rsid w:val="00E45094"/>
    <w:rsid w:val="00E4598F"/>
    <w:rsid w:val="00E459C0"/>
    <w:rsid w:val="00E45C09"/>
    <w:rsid w:val="00E45C93"/>
    <w:rsid w:val="00E460A5"/>
    <w:rsid w:val="00E46182"/>
    <w:rsid w:val="00E4732B"/>
    <w:rsid w:val="00E501C0"/>
    <w:rsid w:val="00E501CB"/>
    <w:rsid w:val="00E503CE"/>
    <w:rsid w:val="00E504D1"/>
    <w:rsid w:val="00E50820"/>
    <w:rsid w:val="00E50B77"/>
    <w:rsid w:val="00E50EF3"/>
    <w:rsid w:val="00E5112B"/>
    <w:rsid w:val="00E5193C"/>
    <w:rsid w:val="00E52B5F"/>
    <w:rsid w:val="00E53900"/>
    <w:rsid w:val="00E54B12"/>
    <w:rsid w:val="00E54D92"/>
    <w:rsid w:val="00E55B72"/>
    <w:rsid w:val="00E5675D"/>
    <w:rsid w:val="00E571EE"/>
    <w:rsid w:val="00E60E45"/>
    <w:rsid w:val="00E6161B"/>
    <w:rsid w:val="00E62E39"/>
    <w:rsid w:val="00E62F28"/>
    <w:rsid w:val="00E643EB"/>
    <w:rsid w:val="00E64C0A"/>
    <w:rsid w:val="00E64E46"/>
    <w:rsid w:val="00E66E51"/>
    <w:rsid w:val="00E6722E"/>
    <w:rsid w:val="00E67BAC"/>
    <w:rsid w:val="00E7010D"/>
    <w:rsid w:val="00E703D6"/>
    <w:rsid w:val="00E7113C"/>
    <w:rsid w:val="00E726D8"/>
    <w:rsid w:val="00E72B54"/>
    <w:rsid w:val="00E731B2"/>
    <w:rsid w:val="00E745E8"/>
    <w:rsid w:val="00E75919"/>
    <w:rsid w:val="00E775E1"/>
    <w:rsid w:val="00E77E6E"/>
    <w:rsid w:val="00E80044"/>
    <w:rsid w:val="00E805FB"/>
    <w:rsid w:val="00E818FC"/>
    <w:rsid w:val="00E82500"/>
    <w:rsid w:val="00E83A9B"/>
    <w:rsid w:val="00E84395"/>
    <w:rsid w:val="00E849E0"/>
    <w:rsid w:val="00E852DF"/>
    <w:rsid w:val="00E85478"/>
    <w:rsid w:val="00E85A7B"/>
    <w:rsid w:val="00E86A8B"/>
    <w:rsid w:val="00E90F96"/>
    <w:rsid w:val="00E91938"/>
    <w:rsid w:val="00E940DE"/>
    <w:rsid w:val="00E9461D"/>
    <w:rsid w:val="00E9582F"/>
    <w:rsid w:val="00E96FD6"/>
    <w:rsid w:val="00E973D2"/>
    <w:rsid w:val="00E974A5"/>
    <w:rsid w:val="00E9777B"/>
    <w:rsid w:val="00EA0DB6"/>
    <w:rsid w:val="00EA2E8C"/>
    <w:rsid w:val="00EA2FBB"/>
    <w:rsid w:val="00EA316B"/>
    <w:rsid w:val="00EA4C8E"/>
    <w:rsid w:val="00EA53FD"/>
    <w:rsid w:val="00EA6245"/>
    <w:rsid w:val="00EA66B0"/>
    <w:rsid w:val="00EA7047"/>
    <w:rsid w:val="00EB0AB1"/>
    <w:rsid w:val="00EB0BEB"/>
    <w:rsid w:val="00EB2822"/>
    <w:rsid w:val="00EB35F1"/>
    <w:rsid w:val="00EB36FE"/>
    <w:rsid w:val="00EB3E17"/>
    <w:rsid w:val="00EB4733"/>
    <w:rsid w:val="00EB7362"/>
    <w:rsid w:val="00EB7E42"/>
    <w:rsid w:val="00EC0BFB"/>
    <w:rsid w:val="00EC12BD"/>
    <w:rsid w:val="00EC2DC3"/>
    <w:rsid w:val="00EC3109"/>
    <w:rsid w:val="00EC3366"/>
    <w:rsid w:val="00EC35AB"/>
    <w:rsid w:val="00EC5916"/>
    <w:rsid w:val="00EC656D"/>
    <w:rsid w:val="00EC6778"/>
    <w:rsid w:val="00EC6A13"/>
    <w:rsid w:val="00EC6C09"/>
    <w:rsid w:val="00ED05A1"/>
    <w:rsid w:val="00ED1B72"/>
    <w:rsid w:val="00ED1E94"/>
    <w:rsid w:val="00ED37E5"/>
    <w:rsid w:val="00ED422F"/>
    <w:rsid w:val="00ED4683"/>
    <w:rsid w:val="00ED6B01"/>
    <w:rsid w:val="00ED6B68"/>
    <w:rsid w:val="00EE08DD"/>
    <w:rsid w:val="00EE0CB0"/>
    <w:rsid w:val="00EE0E05"/>
    <w:rsid w:val="00EE154F"/>
    <w:rsid w:val="00EE16AE"/>
    <w:rsid w:val="00EE339D"/>
    <w:rsid w:val="00EE3D3A"/>
    <w:rsid w:val="00EE5055"/>
    <w:rsid w:val="00EE53E4"/>
    <w:rsid w:val="00EE5AF8"/>
    <w:rsid w:val="00EE66E0"/>
    <w:rsid w:val="00EE6E13"/>
    <w:rsid w:val="00EE7371"/>
    <w:rsid w:val="00EE7620"/>
    <w:rsid w:val="00EE7901"/>
    <w:rsid w:val="00EF1179"/>
    <w:rsid w:val="00EF257A"/>
    <w:rsid w:val="00EF26E6"/>
    <w:rsid w:val="00EF27C9"/>
    <w:rsid w:val="00EF39D7"/>
    <w:rsid w:val="00EF6874"/>
    <w:rsid w:val="00EF6CDA"/>
    <w:rsid w:val="00EF6F87"/>
    <w:rsid w:val="00F00088"/>
    <w:rsid w:val="00F00737"/>
    <w:rsid w:val="00F02ED6"/>
    <w:rsid w:val="00F03753"/>
    <w:rsid w:val="00F03933"/>
    <w:rsid w:val="00F03B50"/>
    <w:rsid w:val="00F0432A"/>
    <w:rsid w:val="00F054C9"/>
    <w:rsid w:val="00F05768"/>
    <w:rsid w:val="00F06C3F"/>
    <w:rsid w:val="00F06E7B"/>
    <w:rsid w:val="00F103F3"/>
    <w:rsid w:val="00F1074F"/>
    <w:rsid w:val="00F10A6C"/>
    <w:rsid w:val="00F11DC3"/>
    <w:rsid w:val="00F11E31"/>
    <w:rsid w:val="00F1281B"/>
    <w:rsid w:val="00F12F1B"/>
    <w:rsid w:val="00F12F92"/>
    <w:rsid w:val="00F1449E"/>
    <w:rsid w:val="00F148C1"/>
    <w:rsid w:val="00F14D7B"/>
    <w:rsid w:val="00F16DAD"/>
    <w:rsid w:val="00F1766E"/>
    <w:rsid w:val="00F17F00"/>
    <w:rsid w:val="00F202E0"/>
    <w:rsid w:val="00F203ED"/>
    <w:rsid w:val="00F21600"/>
    <w:rsid w:val="00F22360"/>
    <w:rsid w:val="00F22887"/>
    <w:rsid w:val="00F228EC"/>
    <w:rsid w:val="00F23E5C"/>
    <w:rsid w:val="00F24421"/>
    <w:rsid w:val="00F244D5"/>
    <w:rsid w:val="00F2495B"/>
    <w:rsid w:val="00F24D83"/>
    <w:rsid w:val="00F258D6"/>
    <w:rsid w:val="00F25920"/>
    <w:rsid w:val="00F25F42"/>
    <w:rsid w:val="00F26651"/>
    <w:rsid w:val="00F27180"/>
    <w:rsid w:val="00F27CF6"/>
    <w:rsid w:val="00F27FF4"/>
    <w:rsid w:val="00F320AC"/>
    <w:rsid w:val="00F32809"/>
    <w:rsid w:val="00F3495F"/>
    <w:rsid w:val="00F3518D"/>
    <w:rsid w:val="00F351CB"/>
    <w:rsid w:val="00F355C8"/>
    <w:rsid w:val="00F3565E"/>
    <w:rsid w:val="00F35A16"/>
    <w:rsid w:val="00F36265"/>
    <w:rsid w:val="00F362BB"/>
    <w:rsid w:val="00F36B0A"/>
    <w:rsid w:val="00F40AA5"/>
    <w:rsid w:val="00F40E61"/>
    <w:rsid w:val="00F41480"/>
    <w:rsid w:val="00F41539"/>
    <w:rsid w:val="00F41840"/>
    <w:rsid w:val="00F41CEE"/>
    <w:rsid w:val="00F41DF5"/>
    <w:rsid w:val="00F4304E"/>
    <w:rsid w:val="00F44D97"/>
    <w:rsid w:val="00F4597B"/>
    <w:rsid w:val="00F476C4"/>
    <w:rsid w:val="00F500E0"/>
    <w:rsid w:val="00F50CA4"/>
    <w:rsid w:val="00F50E40"/>
    <w:rsid w:val="00F50F9A"/>
    <w:rsid w:val="00F535CA"/>
    <w:rsid w:val="00F540A4"/>
    <w:rsid w:val="00F54244"/>
    <w:rsid w:val="00F54734"/>
    <w:rsid w:val="00F559EC"/>
    <w:rsid w:val="00F55B79"/>
    <w:rsid w:val="00F55D44"/>
    <w:rsid w:val="00F56A0F"/>
    <w:rsid w:val="00F56DE7"/>
    <w:rsid w:val="00F57500"/>
    <w:rsid w:val="00F57517"/>
    <w:rsid w:val="00F5796C"/>
    <w:rsid w:val="00F57AEB"/>
    <w:rsid w:val="00F6076E"/>
    <w:rsid w:val="00F61233"/>
    <w:rsid w:val="00F61A09"/>
    <w:rsid w:val="00F61E74"/>
    <w:rsid w:val="00F61F59"/>
    <w:rsid w:val="00F62A17"/>
    <w:rsid w:val="00F62AE1"/>
    <w:rsid w:val="00F637CA"/>
    <w:rsid w:val="00F63B49"/>
    <w:rsid w:val="00F644FE"/>
    <w:rsid w:val="00F64ADE"/>
    <w:rsid w:val="00F656B4"/>
    <w:rsid w:val="00F65854"/>
    <w:rsid w:val="00F65F69"/>
    <w:rsid w:val="00F66807"/>
    <w:rsid w:val="00F671C2"/>
    <w:rsid w:val="00F67943"/>
    <w:rsid w:val="00F70605"/>
    <w:rsid w:val="00F70CFF"/>
    <w:rsid w:val="00F71A21"/>
    <w:rsid w:val="00F71CB5"/>
    <w:rsid w:val="00F72DFC"/>
    <w:rsid w:val="00F73E96"/>
    <w:rsid w:val="00F747B7"/>
    <w:rsid w:val="00F7495C"/>
    <w:rsid w:val="00F74965"/>
    <w:rsid w:val="00F759E5"/>
    <w:rsid w:val="00F75A57"/>
    <w:rsid w:val="00F75DC6"/>
    <w:rsid w:val="00F75F54"/>
    <w:rsid w:val="00F76500"/>
    <w:rsid w:val="00F7752F"/>
    <w:rsid w:val="00F77571"/>
    <w:rsid w:val="00F8006C"/>
    <w:rsid w:val="00F808D1"/>
    <w:rsid w:val="00F8201A"/>
    <w:rsid w:val="00F839EC"/>
    <w:rsid w:val="00F857F2"/>
    <w:rsid w:val="00F878D6"/>
    <w:rsid w:val="00F87B09"/>
    <w:rsid w:val="00F90581"/>
    <w:rsid w:val="00F907AC"/>
    <w:rsid w:val="00F909A6"/>
    <w:rsid w:val="00F910AD"/>
    <w:rsid w:val="00F9247C"/>
    <w:rsid w:val="00F9257C"/>
    <w:rsid w:val="00F9496C"/>
    <w:rsid w:val="00F95B9F"/>
    <w:rsid w:val="00F96004"/>
    <w:rsid w:val="00F96DA6"/>
    <w:rsid w:val="00F970FC"/>
    <w:rsid w:val="00F97379"/>
    <w:rsid w:val="00F97EDB"/>
    <w:rsid w:val="00FA13EB"/>
    <w:rsid w:val="00FA156C"/>
    <w:rsid w:val="00FA21AB"/>
    <w:rsid w:val="00FA2E19"/>
    <w:rsid w:val="00FA39B8"/>
    <w:rsid w:val="00FA3BB8"/>
    <w:rsid w:val="00FA3D00"/>
    <w:rsid w:val="00FA6224"/>
    <w:rsid w:val="00FA62BF"/>
    <w:rsid w:val="00FA6BDA"/>
    <w:rsid w:val="00FA727D"/>
    <w:rsid w:val="00FB0058"/>
    <w:rsid w:val="00FB05CB"/>
    <w:rsid w:val="00FB1174"/>
    <w:rsid w:val="00FB394B"/>
    <w:rsid w:val="00FB456D"/>
    <w:rsid w:val="00FB559D"/>
    <w:rsid w:val="00FB6062"/>
    <w:rsid w:val="00FB610F"/>
    <w:rsid w:val="00FB6F1C"/>
    <w:rsid w:val="00FB6FA5"/>
    <w:rsid w:val="00FB74B9"/>
    <w:rsid w:val="00FC0D06"/>
    <w:rsid w:val="00FC10CF"/>
    <w:rsid w:val="00FC1911"/>
    <w:rsid w:val="00FC1B66"/>
    <w:rsid w:val="00FC34D1"/>
    <w:rsid w:val="00FC36F8"/>
    <w:rsid w:val="00FC3966"/>
    <w:rsid w:val="00FC521B"/>
    <w:rsid w:val="00FC6F22"/>
    <w:rsid w:val="00FD043C"/>
    <w:rsid w:val="00FD0615"/>
    <w:rsid w:val="00FD11CB"/>
    <w:rsid w:val="00FD15CF"/>
    <w:rsid w:val="00FD1F84"/>
    <w:rsid w:val="00FD2639"/>
    <w:rsid w:val="00FD2A8C"/>
    <w:rsid w:val="00FD47B7"/>
    <w:rsid w:val="00FD49A5"/>
    <w:rsid w:val="00FD669E"/>
    <w:rsid w:val="00FD6A99"/>
    <w:rsid w:val="00FD6F10"/>
    <w:rsid w:val="00FE02AF"/>
    <w:rsid w:val="00FE2BC4"/>
    <w:rsid w:val="00FE2EE1"/>
    <w:rsid w:val="00FE541D"/>
    <w:rsid w:val="00FE6414"/>
    <w:rsid w:val="00FE7719"/>
    <w:rsid w:val="00FE7E29"/>
    <w:rsid w:val="00FF1F53"/>
    <w:rsid w:val="00FF21A7"/>
    <w:rsid w:val="00FF2A67"/>
    <w:rsid w:val="00FF3A57"/>
    <w:rsid w:val="00FF46AE"/>
    <w:rsid w:val="00FF5167"/>
    <w:rsid w:val="00FF568F"/>
    <w:rsid w:val="00FF5D44"/>
    <w:rsid w:val="00FF683E"/>
    <w:rsid w:val="0566474A"/>
    <w:rsid w:val="1A7914CA"/>
    <w:rsid w:val="3D9235B8"/>
    <w:rsid w:val="40F23B1F"/>
    <w:rsid w:val="59633CE8"/>
    <w:rsid w:val="625D774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4D830A"/>
  <w15:chartTrackingRefBased/>
  <w15:docId w15:val="{C0D8C2A0-8F68-4E6C-9BAE-172D8B696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qFormat="1"/>
    <w:lsdException w:name="Strong" w:qFormat="1"/>
    <w:lsdException w:name="Emphasis" w:uiPriority="20"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7671F"/>
    <w:pPr>
      <w:overflowPunct w:val="0"/>
      <w:autoSpaceDE w:val="0"/>
      <w:autoSpaceDN w:val="0"/>
      <w:adjustRightInd w:val="0"/>
      <w:spacing w:after="180"/>
      <w:textAlignment w:val="baseline"/>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7671F"/>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qFormat/>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basedOn w:val="TH"/>
    <w:link w:val="TFChar"/>
    <w:qFormat/>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qFormat/>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题注"/>
    <w:basedOn w:val="Normal"/>
    <w:next w:val="Normal"/>
    <w:link w:val="CaptionChar1"/>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qFormat/>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qFormat/>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qFormat/>
    <w:rsid w:val="009529F2"/>
    <w:rPr>
      <w:rFonts w:ascii="Arial" w:hAnsi="Arial"/>
      <w:b/>
      <w:sz w:val="18"/>
      <w:lang w:val="en-GB" w:eastAsia="en-US" w:bidi="ar-SA"/>
    </w:rPr>
  </w:style>
  <w:style w:type="character" w:customStyle="1" w:styleId="TFChar">
    <w:name w:val="TF Char"/>
    <w:link w:val="TF"/>
    <w:qFormat/>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题注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uiPriority w:val="99"/>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9493B"/>
    <w:rPr>
      <w:rFonts w:ascii="Arial" w:hAnsi="Arial"/>
      <w:lang w:val="en-GB" w:eastAsia="en-US" w:bidi="ar-SA"/>
    </w:rPr>
  </w:style>
  <w:style w:type="character" w:customStyle="1" w:styleId="T1Char1">
    <w:name w:val="T1 Char1"/>
    <w:aliases w:val="Header 6 Char Char1"/>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9493B"/>
    <w:rPr>
      <w:rFonts w:eastAsia="Batang"/>
      <w:lang w:eastAsia="en-US"/>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eastAsia="en-US"/>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link w:val="ListBullet"/>
    <w:rsid w:val="00675341"/>
    <w:rPr>
      <w:lang w:val="en-GB" w:eastAsia="en-US" w:bidi="ar-SA"/>
    </w:rPr>
  </w:style>
  <w:style w:type="character" w:customStyle="1" w:styleId="ListBullet2Char">
    <w:name w:val="List Bullet 2 Char"/>
    <w:link w:val="ListBullet2"/>
    <w:rsid w:val="00675341"/>
    <w:rPr>
      <w:lang w:val="en-GB" w:eastAsia="en-US" w:bidi="ar-SA"/>
    </w:rPr>
  </w:style>
  <w:style w:type="character" w:customStyle="1" w:styleId="ListBullet3Char">
    <w:name w:val="List Bullet 3 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eastAsia="en-US"/>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eastAsia="en-US"/>
    </w:rPr>
  </w:style>
  <w:style w:type="paragraph" w:customStyle="1" w:styleId="tdoc-header">
    <w:name w:val="tdoc-header"/>
    <w:rsid w:val="00675341"/>
    <w:rPr>
      <w:rFonts w:ascii="Arial" w:hAnsi="Arial"/>
      <w:noProof/>
      <w:sz w:val="24"/>
      <w:lang w:eastAsia="en-US"/>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qFormat/>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0">
    <w:name w:val="toc 90"/>
    <w:basedOn w:val="TOC8"/>
    <w:rsid w:val="00675341"/>
    <w:pPr>
      <w:ind w:left="1418" w:hanging="1418"/>
    </w:pPr>
    <w:rPr>
      <w:rFonts w:eastAsia="MS Mincho"/>
      <w:lang w:val="en-GB" w:eastAsia="en-GB"/>
    </w:rPr>
  </w:style>
  <w:style w:type="paragraph" w:customStyle="1" w:styleId="caption0">
    <w:name w:val="caption0"/>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eastAsia="en-US"/>
    </w:rPr>
  </w:style>
  <w:style w:type="paragraph" w:customStyle="1" w:styleId="ZC">
    <w:name w:val="ZC"/>
    <w:rsid w:val="00675341"/>
    <w:pPr>
      <w:spacing w:line="360" w:lineRule="atLeast"/>
      <w:jc w:val="center"/>
    </w:pPr>
    <w:rPr>
      <w:rFonts w:eastAsia="MS Mincho"/>
      <w:lang w:eastAsia="en-US"/>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eastAsia="ko-KR"/>
    </w:rPr>
  </w:style>
  <w:style w:type="paragraph" w:customStyle="1" w:styleId="-PAGE-">
    <w:name w:val="- PAGE -"/>
    <w:rsid w:val="00675341"/>
    <w:rPr>
      <w:sz w:val="24"/>
      <w:szCs w:val="24"/>
      <w:lang w:eastAsia="ko-KR"/>
    </w:rPr>
  </w:style>
  <w:style w:type="paragraph" w:customStyle="1" w:styleId="PageXofY">
    <w:name w:val="Page X of Y"/>
    <w:rsid w:val="00675341"/>
    <w:rPr>
      <w:sz w:val="24"/>
      <w:szCs w:val="24"/>
      <w:lang w:eastAsia="ko-KR"/>
    </w:rPr>
  </w:style>
  <w:style w:type="paragraph" w:customStyle="1" w:styleId="Createdby">
    <w:name w:val="Created by"/>
    <w:rsid w:val="00675341"/>
    <w:rPr>
      <w:sz w:val="24"/>
      <w:szCs w:val="24"/>
      <w:lang w:eastAsia="ko-KR"/>
    </w:rPr>
  </w:style>
  <w:style w:type="paragraph" w:customStyle="1" w:styleId="Createdon">
    <w:name w:val="Created on"/>
    <w:rsid w:val="00675341"/>
    <w:rPr>
      <w:sz w:val="24"/>
      <w:szCs w:val="24"/>
      <w:lang w:eastAsia="ko-KR"/>
    </w:rPr>
  </w:style>
  <w:style w:type="paragraph" w:customStyle="1" w:styleId="Lastprinted">
    <w:name w:val="Last printed"/>
    <w:rsid w:val="00675341"/>
    <w:rPr>
      <w:sz w:val="24"/>
      <w:szCs w:val="24"/>
      <w:lang w:eastAsia="ko-KR"/>
    </w:rPr>
  </w:style>
  <w:style w:type="paragraph" w:customStyle="1" w:styleId="Lastsavedby">
    <w:name w:val="Last saved by"/>
    <w:rsid w:val="00675341"/>
    <w:rPr>
      <w:sz w:val="24"/>
      <w:szCs w:val="24"/>
      <w:lang w:eastAsia="ko-KR"/>
    </w:rPr>
  </w:style>
  <w:style w:type="paragraph" w:customStyle="1" w:styleId="Filename">
    <w:name w:val="Filename"/>
    <w:rsid w:val="00675341"/>
    <w:rPr>
      <w:sz w:val="24"/>
      <w:szCs w:val="24"/>
      <w:lang w:eastAsia="ko-KR"/>
    </w:rPr>
  </w:style>
  <w:style w:type="paragraph" w:customStyle="1" w:styleId="Filenameandpath">
    <w:name w:val="Filename and path"/>
    <w:rsid w:val="00675341"/>
    <w:rPr>
      <w:sz w:val="24"/>
      <w:szCs w:val="24"/>
      <w:lang w:eastAsia="ko-KR"/>
    </w:rPr>
  </w:style>
  <w:style w:type="paragraph" w:customStyle="1" w:styleId="AuthorPageDate">
    <w:name w:val="Author  Page #  Date"/>
    <w:rsid w:val="00675341"/>
    <w:rPr>
      <w:sz w:val="24"/>
      <w:szCs w:val="24"/>
      <w:lang w:eastAsia="ko-KR"/>
    </w:rPr>
  </w:style>
  <w:style w:type="paragraph" w:customStyle="1" w:styleId="ConfidentialPageDate">
    <w:name w:val="Confidential  Page #  Date"/>
    <w:rsid w:val="00675341"/>
    <w:rPr>
      <w:sz w:val="24"/>
      <w:szCs w:val="24"/>
      <w:lang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uiPriority w:val="20"/>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401CB9"/>
    <w:rPr>
      <w:lang w:val="en-GB" w:eastAsia="en-US"/>
    </w:rPr>
  </w:style>
  <w:style w:type="paragraph" w:customStyle="1" w:styleId="tah0">
    <w:name w:val="tah"/>
    <w:basedOn w:val="Normal"/>
    <w:rsid w:val="00067EA6"/>
    <w:pPr>
      <w:overflowPunct/>
      <w:autoSpaceDE/>
      <w:autoSpaceDN/>
      <w:adjustRightInd/>
      <w:spacing w:before="100" w:beforeAutospacing="1" w:after="100" w:afterAutospacing="1" w:line="259" w:lineRule="auto"/>
      <w:textAlignment w:val="auto"/>
    </w:pPr>
    <w:rPr>
      <w:rFonts w:ascii="Calibri" w:eastAsia="Calibri" w:hAnsi="Calibri"/>
      <w:sz w:val="24"/>
      <w:szCs w:val="24"/>
      <w:lang w:val="en-US"/>
    </w:rPr>
  </w:style>
  <w:style w:type="character" w:customStyle="1" w:styleId="gt-baf-cell">
    <w:name w:val="gt-baf-cell"/>
    <w:rsid w:val="0071722A"/>
  </w:style>
  <w:style w:type="paragraph" w:customStyle="1" w:styleId="claimbody">
    <w:name w:val="claimbody"/>
    <w:basedOn w:val="Normal"/>
    <w:uiPriority w:val="99"/>
    <w:rsid w:val="0070612F"/>
    <w:pPr>
      <w:overflowPunct/>
      <w:autoSpaceDE/>
      <w:autoSpaceDN/>
      <w:adjustRightInd/>
      <w:spacing w:after="0" w:line="360" w:lineRule="auto"/>
      <w:ind w:firstLine="720"/>
      <w:textAlignment w:val="auto"/>
    </w:pPr>
    <w:rPr>
      <w:rFonts w:eastAsia="SimSun" w:cs="Lucida Sans Unicode"/>
      <w:sz w:val="26"/>
      <w:lang w:val="en-US"/>
    </w:rPr>
  </w:style>
  <w:style w:type="table" w:styleId="GridTable3-Accent5">
    <w:name w:val="Grid Table 3 Accent 5"/>
    <w:basedOn w:val="TableNormal"/>
    <w:uiPriority w:val="48"/>
    <w:rsid w:val="00F6585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character" w:customStyle="1" w:styleId="CRCoverPageZchn">
    <w:name w:val="CR Cover Page Zchn"/>
    <w:rsid w:val="00736F67"/>
    <w:rPr>
      <w:rFonts w:ascii="Arial" w:hAnsi="Arial"/>
      <w:lang w:val="en-GB" w:eastAsia="en-US"/>
    </w:rPr>
  </w:style>
  <w:style w:type="character" w:styleId="UnresolvedMention">
    <w:name w:val="Unresolved Mention"/>
    <w:uiPriority w:val="99"/>
    <w:semiHidden/>
    <w:unhideWhenUsed/>
    <w:rsid w:val="007A7D13"/>
    <w:rPr>
      <w:color w:val="605E5C"/>
      <w:shd w:val="clear" w:color="auto" w:fill="E1DFDD"/>
    </w:rPr>
  </w:style>
  <w:style w:type="character" w:customStyle="1" w:styleId="st1">
    <w:name w:val="st1"/>
    <w:rsid w:val="0031207C"/>
  </w:style>
  <w:style w:type="paragraph" w:customStyle="1" w:styleId="Doc-title">
    <w:name w:val="Doc-title"/>
    <w:basedOn w:val="Normal"/>
    <w:next w:val="Doc-text2"/>
    <w:link w:val="Doc-titleChar"/>
    <w:qFormat/>
    <w:rsid w:val="00E5193C"/>
    <w:pPr>
      <w:spacing w:after="0"/>
      <w:ind w:left="1259" w:hanging="1259"/>
    </w:pPr>
    <w:rPr>
      <w:rFonts w:ascii="Arial" w:hAnsi="Arial"/>
      <w:noProof/>
      <w:lang w:eastAsia="ja-JP"/>
    </w:rPr>
  </w:style>
  <w:style w:type="paragraph" w:customStyle="1" w:styleId="Doc-text2">
    <w:name w:val="Doc-text2"/>
    <w:basedOn w:val="Normal"/>
    <w:link w:val="Doc-text2Char"/>
    <w:qFormat/>
    <w:rsid w:val="00E5193C"/>
    <w:pPr>
      <w:tabs>
        <w:tab w:val="left" w:pos="1622"/>
      </w:tabs>
      <w:spacing w:after="0"/>
      <w:ind w:left="1622" w:hanging="363"/>
    </w:pPr>
    <w:rPr>
      <w:rFonts w:ascii="Arial" w:hAnsi="Arial"/>
      <w:lang w:eastAsia="ja-JP"/>
    </w:rPr>
  </w:style>
  <w:style w:type="character" w:customStyle="1" w:styleId="Doc-text2Char">
    <w:name w:val="Doc-text2 Char"/>
    <w:link w:val="Doc-text2"/>
    <w:qFormat/>
    <w:rsid w:val="00E5193C"/>
    <w:rPr>
      <w:rFonts w:ascii="Arial" w:hAnsi="Arial"/>
    </w:rPr>
  </w:style>
  <w:style w:type="character" w:customStyle="1" w:styleId="Doc-titleChar">
    <w:name w:val="Doc-title Char"/>
    <w:link w:val="Doc-title"/>
    <w:qFormat/>
    <w:rsid w:val="00E5193C"/>
    <w:rPr>
      <w:rFonts w:ascii="Arial" w:hAnsi="Arial"/>
      <w:noProof/>
    </w:rPr>
  </w:style>
  <w:style w:type="paragraph" w:customStyle="1" w:styleId="Comments">
    <w:name w:val="Comments"/>
    <w:basedOn w:val="Normal"/>
    <w:link w:val="CommentsChar"/>
    <w:qFormat/>
    <w:rsid w:val="00E5193C"/>
    <w:pPr>
      <w:spacing w:before="40" w:after="0"/>
    </w:pPr>
    <w:rPr>
      <w:rFonts w:ascii="Arial" w:hAnsi="Arial"/>
      <w:i/>
      <w:noProof/>
      <w:sz w:val="18"/>
      <w:lang w:eastAsia="ja-JP"/>
    </w:rPr>
  </w:style>
  <w:style w:type="character" w:customStyle="1" w:styleId="CommentsChar">
    <w:name w:val="Comments Char"/>
    <w:link w:val="Comments"/>
    <w:qFormat/>
    <w:rsid w:val="00E5193C"/>
    <w:rPr>
      <w:rFonts w:ascii="Arial" w:hAnsi="Arial"/>
      <w:i/>
      <w:noProof/>
      <w:sz w:val="18"/>
    </w:rPr>
  </w:style>
  <w:style w:type="paragraph" w:customStyle="1" w:styleId="Agreement">
    <w:name w:val="Agreement"/>
    <w:basedOn w:val="Normal"/>
    <w:next w:val="Doc-text2"/>
    <w:qFormat/>
    <w:rsid w:val="00E5193C"/>
    <w:pPr>
      <w:numPr>
        <w:numId w:val="36"/>
      </w:numPr>
      <w:tabs>
        <w:tab w:val="clear" w:pos="1619"/>
      </w:tabs>
      <w:spacing w:before="60" w:after="0"/>
      <w:ind w:left="1706" w:hanging="357"/>
    </w:pPr>
    <w:rPr>
      <w:rFonts w:ascii="Arial" w:hAnsi="Arial"/>
      <w:b/>
      <w:lang w:val="fr-FR" w:eastAsia="ja-JP"/>
    </w:rPr>
  </w:style>
  <w:style w:type="paragraph" w:customStyle="1" w:styleId="EmailDiscussion">
    <w:name w:val="EmailDiscussion"/>
    <w:basedOn w:val="Normal"/>
    <w:next w:val="EmailDiscussion2"/>
    <w:link w:val="EmailDiscussionChar"/>
    <w:qFormat/>
    <w:rsid w:val="00E5193C"/>
    <w:pPr>
      <w:numPr>
        <w:numId w:val="37"/>
      </w:numPr>
      <w:spacing w:after="0"/>
      <w:ind w:left="1706" w:hanging="357"/>
    </w:pPr>
    <w:rPr>
      <w:rFonts w:ascii="Arial" w:hAnsi="Arial"/>
      <w:b/>
      <w:lang w:eastAsia="ja-JP"/>
    </w:rPr>
  </w:style>
  <w:style w:type="character" w:customStyle="1" w:styleId="EmailDiscussionChar">
    <w:name w:val="EmailDiscussion Char"/>
    <w:link w:val="EmailDiscussion"/>
    <w:rsid w:val="00E5193C"/>
    <w:rPr>
      <w:rFonts w:ascii="Arial" w:hAnsi="Arial"/>
      <w:b/>
    </w:rPr>
  </w:style>
  <w:style w:type="paragraph" w:customStyle="1" w:styleId="EmailDiscussion2">
    <w:name w:val="EmailDiscussion2"/>
    <w:basedOn w:val="Doc-text2"/>
    <w:qFormat/>
    <w:rsid w:val="00E5193C"/>
    <w:pPr>
      <w:ind w:left="1710" w:firstLine="0"/>
    </w:pPr>
  </w:style>
  <w:style w:type="paragraph" w:customStyle="1" w:styleId="BoldComments">
    <w:name w:val="Bold Comments"/>
    <w:basedOn w:val="Normal"/>
    <w:link w:val="BoldCommentsChar"/>
    <w:qFormat/>
    <w:rsid w:val="00E5193C"/>
    <w:pPr>
      <w:spacing w:before="240" w:after="60"/>
      <w:outlineLvl w:val="8"/>
    </w:pPr>
    <w:rPr>
      <w:rFonts w:ascii="Arial" w:hAnsi="Arial"/>
      <w:b/>
      <w:lang w:eastAsia="ja-JP"/>
    </w:rPr>
  </w:style>
  <w:style w:type="character" w:customStyle="1" w:styleId="BoldCommentsChar">
    <w:name w:val="Bold Comments Char"/>
    <w:link w:val="BoldComments"/>
    <w:rsid w:val="00E5193C"/>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54740200">
      <w:bodyDiv w:val="1"/>
      <w:marLeft w:val="0"/>
      <w:marRight w:val="0"/>
      <w:marTop w:val="0"/>
      <w:marBottom w:val="0"/>
      <w:divBdr>
        <w:top w:val="none" w:sz="0" w:space="0" w:color="auto"/>
        <w:left w:val="none" w:sz="0" w:space="0" w:color="auto"/>
        <w:bottom w:val="none" w:sz="0" w:space="0" w:color="auto"/>
        <w:right w:val="none" w:sz="0" w:space="0" w:color="auto"/>
      </w:divBdr>
      <w:divsChild>
        <w:div w:id="65493806">
          <w:marLeft w:val="1800"/>
          <w:marRight w:val="0"/>
          <w:marTop w:val="100"/>
          <w:marBottom w:val="0"/>
          <w:divBdr>
            <w:top w:val="none" w:sz="0" w:space="0" w:color="auto"/>
            <w:left w:val="none" w:sz="0" w:space="0" w:color="auto"/>
            <w:bottom w:val="none" w:sz="0" w:space="0" w:color="auto"/>
            <w:right w:val="none" w:sz="0" w:space="0" w:color="auto"/>
          </w:divBdr>
        </w:div>
        <w:div w:id="87772219">
          <w:marLeft w:val="1800"/>
          <w:marRight w:val="0"/>
          <w:marTop w:val="100"/>
          <w:marBottom w:val="0"/>
          <w:divBdr>
            <w:top w:val="none" w:sz="0" w:space="0" w:color="auto"/>
            <w:left w:val="none" w:sz="0" w:space="0" w:color="auto"/>
            <w:bottom w:val="none" w:sz="0" w:space="0" w:color="auto"/>
            <w:right w:val="none" w:sz="0" w:space="0" w:color="auto"/>
          </w:divBdr>
        </w:div>
        <w:div w:id="306587691">
          <w:marLeft w:val="1800"/>
          <w:marRight w:val="0"/>
          <w:marTop w:val="100"/>
          <w:marBottom w:val="0"/>
          <w:divBdr>
            <w:top w:val="none" w:sz="0" w:space="0" w:color="auto"/>
            <w:left w:val="none" w:sz="0" w:space="0" w:color="auto"/>
            <w:bottom w:val="none" w:sz="0" w:space="0" w:color="auto"/>
            <w:right w:val="none" w:sz="0" w:space="0" w:color="auto"/>
          </w:divBdr>
        </w:div>
        <w:div w:id="381906711">
          <w:marLeft w:val="2520"/>
          <w:marRight w:val="0"/>
          <w:marTop w:val="100"/>
          <w:marBottom w:val="0"/>
          <w:divBdr>
            <w:top w:val="none" w:sz="0" w:space="0" w:color="auto"/>
            <w:left w:val="none" w:sz="0" w:space="0" w:color="auto"/>
            <w:bottom w:val="none" w:sz="0" w:space="0" w:color="auto"/>
            <w:right w:val="none" w:sz="0" w:space="0" w:color="auto"/>
          </w:divBdr>
        </w:div>
        <w:div w:id="678972099">
          <w:marLeft w:val="2520"/>
          <w:marRight w:val="0"/>
          <w:marTop w:val="100"/>
          <w:marBottom w:val="0"/>
          <w:divBdr>
            <w:top w:val="none" w:sz="0" w:space="0" w:color="auto"/>
            <w:left w:val="none" w:sz="0" w:space="0" w:color="auto"/>
            <w:bottom w:val="none" w:sz="0" w:space="0" w:color="auto"/>
            <w:right w:val="none" w:sz="0" w:space="0" w:color="auto"/>
          </w:divBdr>
        </w:div>
        <w:div w:id="700086892">
          <w:marLeft w:val="1800"/>
          <w:marRight w:val="0"/>
          <w:marTop w:val="100"/>
          <w:marBottom w:val="0"/>
          <w:divBdr>
            <w:top w:val="none" w:sz="0" w:space="0" w:color="auto"/>
            <w:left w:val="none" w:sz="0" w:space="0" w:color="auto"/>
            <w:bottom w:val="none" w:sz="0" w:space="0" w:color="auto"/>
            <w:right w:val="none" w:sz="0" w:space="0" w:color="auto"/>
          </w:divBdr>
        </w:div>
        <w:div w:id="865561875">
          <w:marLeft w:val="2520"/>
          <w:marRight w:val="0"/>
          <w:marTop w:val="100"/>
          <w:marBottom w:val="0"/>
          <w:divBdr>
            <w:top w:val="none" w:sz="0" w:space="0" w:color="auto"/>
            <w:left w:val="none" w:sz="0" w:space="0" w:color="auto"/>
            <w:bottom w:val="none" w:sz="0" w:space="0" w:color="auto"/>
            <w:right w:val="none" w:sz="0" w:space="0" w:color="auto"/>
          </w:divBdr>
        </w:div>
        <w:div w:id="888415350">
          <w:marLeft w:val="1800"/>
          <w:marRight w:val="0"/>
          <w:marTop w:val="100"/>
          <w:marBottom w:val="0"/>
          <w:divBdr>
            <w:top w:val="none" w:sz="0" w:space="0" w:color="auto"/>
            <w:left w:val="none" w:sz="0" w:space="0" w:color="auto"/>
            <w:bottom w:val="none" w:sz="0" w:space="0" w:color="auto"/>
            <w:right w:val="none" w:sz="0" w:space="0" w:color="auto"/>
          </w:divBdr>
        </w:div>
        <w:div w:id="946229416">
          <w:marLeft w:val="1080"/>
          <w:marRight w:val="0"/>
          <w:marTop w:val="100"/>
          <w:marBottom w:val="0"/>
          <w:divBdr>
            <w:top w:val="none" w:sz="0" w:space="0" w:color="auto"/>
            <w:left w:val="none" w:sz="0" w:space="0" w:color="auto"/>
            <w:bottom w:val="none" w:sz="0" w:space="0" w:color="auto"/>
            <w:right w:val="none" w:sz="0" w:space="0" w:color="auto"/>
          </w:divBdr>
        </w:div>
        <w:div w:id="952980789">
          <w:marLeft w:val="2520"/>
          <w:marRight w:val="0"/>
          <w:marTop w:val="100"/>
          <w:marBottom w:val="0"/>
          <w:divBdr>
            <w:top w:val="none" w:sz="0" w:space="0" w:color="auto"/>
            <w:left w:val="none" w:sz="0" w:space="0" w:color="auto"/>
            <w:bottom w:val="none" w:sz="0" w:space="0" w:color="auto"/>
            <w:right w:val="none" w:sz="0" w:space="0" w:color="auto"/>
          </w:divBdr>
        </w:div>
        <w:div w:id="1017736480">
          <w:marLeft w:val="2520"/>
          <w:marRight w:val="0"/>
          <w:marTop w:val="100"/>
          <w:marBottom w:val="0"/>
          <w:divBdr>
            <w:top w:val="none" w:sz="0" w:space="0" w:color="auto"/>
            <w:left w:val="none" w:sz="0" w:space="0" w:color="auto"/>
            <w:bottom w:val="none" w:sz="0" w:space="0" w:color="auto"/>
            <w:right w:val="none" w:sz="0" w:space="0" w:color="auto"/>
          </w:divBdr>
        </w:div>
        <w:div w:id="1127624202">
          <w:marLeft w:val="1800"/>
          <w:marRight w:val="0"/>
          <w:marTop w:val="100"/>
          <w:marBottom w:val="0"/>
          <w:divBdr>
            <w:top w:val="none" w:sz="0" w:space="0" w:color="auto"/>
            <w:left w:val="none" w:sz="0" w:space="0" w:color="auto"/>
            <w:bottom w:val="none" w:sz="0" w:space="0" w:color="auto"/>
            <w:right w:val="none" w:sz="0" w:space="0" w:color="auto"/>
          </w:divBdr>
        </w:div>
        <w:div w:id="1422871226">
          <w:marLeft w:val="2520"/>
          <w:marRight w:val="0"/>
          <w:marTop w:val="100"/>
          <w:marBottom w:val="0"/>
          <w:divBdr>
            <w:top w:val="none" w:sz="0" w:space="0" w:color="auto"/>
            <w:left w:val="none" w:sz="0" w:space="0" w:color="auto"/>
            <w:bottom w:val="none" w:sz="0" w:space="0" w:color="auto"/>
            <w:right w:val="none" w:sz="0" w:space="0" w:color="auto"/>
          </w:divBdr>
        </w:div>
        <w:div w:id="2061250298">
          <w:marLeft w:val="1080"/>
          <w:marRight w:val="0"/>
          <w:marTop w:val="100"/>
          <w:marBottom w:val="0"/>
          <w:divBdr>
            <w:top w:val="none" w:sz="0" w:space="0" w:color="auto"/>
            <w:left w:val="none" w:sz="0" w:space="0" w:color="auto"/>
            <w:bottom w:val="none" w:sz="0" w:space="0" w:color="auto"/>
            <w:right w:val="none" w:sz="0" w:space="0" w:color="auto"/>
          </w:divBdr>
        </w:div>
      </w:divsChild>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04472996">
      <w:bodyDiv w:val="1"/>
      <w:marLeft w:val="0"/>
      <w:marRight w:val="0"/>
      <w:marTop w:val="0"/>
      <w:marBottom w:val="0"/>
      <w:divBdr>
        <w:top w:val="none" w:sz="0" w:space="0" w:color="auto"/>
        <w:left w:val="none" w:sz="0" w:space="0" w:color="auto"/>
        <w:bottom w:val="none" w:sz="0" w:space="0" w:color="auto"/>
        <w:right w:val="none" w:sz="0" w:space="0" w:color="auto"/>
      </w:divBdr>
    </w:div>
    <w:div w:id="125973235">
      <w:bodyDiv w:val="1"/>
      <w:marLeft w:val="0"/>
      <w:marRight w:val="0"/>
      <w:marTop w:val="0"/>
      <w:marBottom w:val="0"/>
      <w:divBdr>
        <w:top w:val="none" w:sz="0" w:space="0" w:color="auto"/>
        <w:left w:val="none" w:sz="0" w:space="0" w:color="auto"/>
        <w:bottom w:val="none" w:sz="0" w:space="0" w:color="auto"/>
        <w:right w:val="none" w:sz="0" w:space="0" w:color="auto"/>
      </w:divBdr>
      <w:divsChild>
        <w:div w:id="1383752754">
          <w:marLeft w:val="1800"/>
          <w:marRight w:val="0"/>
          <w:marTop w:val="10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72329927">
      <w:bodyDiv w:val="1"/>
      <w:marLeft w:val="0"/>
      <w:marRight w:val="0"/>
      <w:marTop w:val="0"/>
      <w:marBottom w:val="0"/>
      <w:divBdr>
        <w:top w:val="none" w:sz="0" w:space="0" w:color="auto"/>
        <w:left w:val="none" w:sz="0" w:space="0" w:color="auto"/>
        <w:bottom w:val="none" w:sz="0" w:space="0" w:color="auto"/>
        <w:right w:val="none" w:sz="0" w:space="0" w:color="auto"/>
      </w:divBdr>
      <w:divsChild>
        <w:div w:id="305428388">
          <w:marLeft w:val="446"/>
          <w:marRight w:val="0"/>
          <w:marTop w:val="0"/>
          <w:marBottom w:val="0"/>
          <w:divBdr>
            <w:top w:val="none" w:sz="0" w:space="0" w:color="auto"/>
            <w:left w:val="none" w:sz="0" w:space="0" w:color="auto"/>
            <w:bottom w:val="none" w:sz="0" w:space="0" w:color="auto"/>
            <w:right w:val="none" w:sz="0" w:space="0" w:color="auto"/>
          </w:divBdr>
        </w:div>
        <w:div w:id="405348051">
          <w:marLeft w:val="446"/>
          <w:marRight w:val="0"/>
          <w:marTop w:val="0"/>
          <w:marBottom w:val="0"/>
          <w:divBdr>
            <w:top w:val="none" w:sz="0" w:space="0" w:color="auto"/>
            <w:left w:val="none" w:sz="0" w:space="0" w:color="auto"/>
            <w:bottom w:val="none" w:sz="0" w:space="0" w:color="auto"/>
            <w:right w:val="none" w:sz="0" w:space="0" w:color="auto"/>
          </w:divBdr>
        </w:div>
        <w:div w:id="1062874878">
          <w:marLeft w:val="446"/>
          <w:marRight w:val="0"/>
          <w:marTop w:val="0"/>
          <w:marBottom w:val="0"/>
          <w:divBdr>
            <w:top w:val="none" w:sz="0" w:space="0" w:color="auto"/>
            <w:left w:val="none" w:sz="0" w:space="0" w:color="auto"/>
            <w:bottom w:val="none" w:sz="0" w:space="0" w:color="auto"/>
            <w:right w:val="none" w:sz="0" w:space="0" w:color="auto"/>
          </w:divBdr>
        </w:div>
        <w:div w:id="1609267077">
          <w:marLeft w:val="1166"/>
          <w:marRight w:val="0"/>
          <w:marTop w:val="0"/>
          <w:marBottom w:val="0"/>
          <w:divBdr>
            <w:top w:val="none" w:sz="0" w:space="0" w:color="auto"/>
            <w:left w:val="none" w:sz="0" w:space="0" w:color="auto"/>
            <w:bottom w:val="none" w:sz="0" w:space="0" w:color="auto"/>
            <w:right w:val="none" w:sz="0" w:space="0" w:color="auto"/>
          </w:divBdr>
        </w:div>
        <w:div w:id="1795709741">
          <w:marLeft w:val="1166"/>
          <w:marRight w:val="0"/>
          <w:marTop w:val="0"/>
          <w:marBottom w:val="0"/>
          <w:divBdr>
            <w:top w:val="none" w:sz="0" w:space="0" w:color="auto"/>
            <w:left w:val="none" w:sz="0" w:space="0" w:color="auto"/>
            <w:bottom w:val="none" w:sz="0" w:space="0" w:color="auto"/>
            <w:right w:val="none" w:sz="0" w:space="0" w:color="auto"/>
          </w:divBdr>
        </w:div>
        <w:div w:id="1841580523">
          <w:marLeft w:val="1166"/>
          <w:marRight w:val="0"/>
          <w:marTop w:val="0"/>
          <w:marBottom w:val="0"/>
          <w:divBdr>
            <w:top w:val="none" w:sz="0" w:space="0" w:color="auto"/>
            <w:left w:val="none" w:sz="0" w:space="0" w:color="auto"/>
            <w:bottom w:val="none" w:sz="0" w:space="0" w:color="auto"/>
            <w:right w:val="none" w:sz="0" w:space="0" w:color="auto"/>
          </w:divBdr>
        </w:div>
        <w:div w:id="1923177184">
          <w:marLeft w:val="1166"/>
          <w:marRight w:val="0"/>
          <w:marTop w:val="0"/>
          <w:marBottom w:val="0"/>
          <w:divBdr>
            <w:top w:val="none" w:sz="0" w:space="0" w:color="auto"/>
            <w:left w:val="none" w:sz="0" w:space="0" w:color="auto"/>
            <w:bottom w:val="none" w:sz="0" w:space="0" w:color="auto"/>
            <w:right w:val="none" w:sz="0" w:space="0" w:color="auto"/>
          </w:divBdr>
        </w:div>
      </w:divsChild>
    </w:div>
    <w:div w:id="272977813">
      <w:bodyDiv w:val="1"/>
      <w:marLeft w:val="0"/>
      <w:marRight w:val="0"/>
      <w:marTop w:val="0"/>
      <w:marBottom w:val="0"/>
      <w:divBdr>
        <w:top w:val="none" w:sz="0" w:space="0" w:color="auto"/>
        <w:left w:val="none" w:sz="0" w:space="0" w:color="auto"/>
        <w:bottom w:val="none" w:sz="0" w:space="0" w:color="auto"/>
        <w:right w:val="none" w:sz="0" w:space="0" w:color="auto"/>
      </w:divBdr>
    </w:div>
    <w:div w:id="301204014">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5036445">
      <w:bodyDiv w:val="1"/>
      <w:marLeft w:val="0"/>
      <w:marRight w:val="0"/>
      <w:marTop w:val="0"/>
      <w:marBottom w:val="0"/>
      <w:divBdr>
        <w:top w:val="none" w:sz="0" w:space="0" w:color="auto"/>
        <w:left w:val="none" w:sz="0" w:space="0" w:color="auto"/>
        <w:bottom w:val="none" w:sz="0" w:space="0" w:color="auto"/>
        <w:right w:val="none" w:sz="0" w:space="0" w:color="auto"/>
      </w:divBdr>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149478">
      <w:bodyDiv w:val="1"/>
      <w:marLeft w:val="0"/>
      <w:marRight w:val="0"/>
      <w:marTop w:val="0"/>
      <w:marBottom w:val="0"/>
      <w:divBdr>
        <w:top w:val="none" w:sz="0" w:space="0" w:color="auto"/>
        <w:left w:val="none" w:sz="0" w:space="0" w:color="auto"/>
        <w:bottom w:val="none" w:sz="0" w:space="0" w:color="auto"/>
        <w:right w:val="none" w:sz="0" w:space="0" w:color="auto"/>
      </w:divBdr>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19190400">
      <w:bodyDiv w:val="1"/>
      <w:marLeft w:val="0"/>
      <w:marRight w:val="0"/>
      <w:marTop w:val="0"/>
      <w:marBottom w:val="0"/>
      <w:divBdr>
        <w:top w:val="none" w:sz="0" w:space="0" w:color="auto"/>
        <w:left w:val="none" w:sz="0" w:space="0" w:color="auto"/>
        <w:bottom w:val="none" w:sz="0" w:space="0" w:color="auto"/>
        <w:right w:val="none" w:sz="0" w:space="0" w:color="auto"/>
      </w:divBdr>
      <w:divsChild>
        <w:div w:id="898789988">
          <w:marLeft w:val="1166"/>
          <w:marRight w:val="0"/>
          <w:marTop w:val="0"/>
          <w:marBottom w:val="0"/>
          <w:divBdr>
            <w:top w:val="none" w:sz="0" w:space="0" w:color="auto"/>
            <w:left w:val="none" w:sz="0" w:space="0" w:color="auto"/>
            <w:bottom w:val="none" w:sz="0" w:space="0" w:color="auto"/>
            <w:right w:val="none" w:sz="0" w:space="0" w:color="auto"/>
          </w:divBdr>
        </w:div>
        <w:div w:id="932665883">
          <w:marLeft w:val="1166"/>
          <w:marRight w:val="0"/>
          <w:marTop w:val="0"/>
          <w:marBottom w:val="0"/>
          <w:divBdr>
            <w:top w:val="none" w:sz="0" w:space="0" w:color="auto"/>
            <w:left w:val="none" w:sz="0" w:space="0" w:color="auto"/>
            <w:bottom w:val="none" w:sz="0" w:space="0" w:color="auto"/>
            <w:right w:val="none" w:sz="0" w:space="0" w:color="auto"/>
          </w:divBdr>
        </w:div>
        <w:div w:id="1262029312">
          <w:marLeft w:val="446"/>
          <w:marRight w:val="0"/>
          <w:marTop w:val="0"/>
          <w:marBottom w:val="0"/>
          <w:divBdr>
            <w:top w:val="none" w:sz="0" w:space="0" w:color="auto"/>
            <w:left w:val="none" w:sz="0" w:space="0" w:color="auto"/>
            <w:bottom w:val="none" w:sz="0" w:space="0" w:color="auto"/>
            <w:right w:val="none" w:sz="0" w:space="0" w:color="auto"/>
          </w:divBdr>
        </w:div>
        <w:div w:id="1423843829">
          <w:marLeft w:val="1166"/>
          <w:marRight w:val="0"/>
          <w:marTop w:val="0"/>
          <w:marBottom w:val="0"/>
          <w:divBdr>
            <w:top w:val="none" w:sz="0" w:space="0" w:color="auto"/>
            <w:left w:val="none" w:sz="0" w:space="0" w:color="auto"/>
            <w:bottom w:val="none" w:sz="0" w:space="0" w:color="auto"/>
            <w:right w:val="none" w:sz="0" w:space="0" w:color="auto"/>
          </w:divBdr>
        </w:div>
        <w:div w:id="1618369384">
          <w:marLeft w:val="1886"/>
          <w:marRight w:val="0"/>
          <w:marTop w:val="0"/>
          <w:marBottom w:val="0"/>
          <w:divBdr>
            <w:top w:val="none" w:sz="0" w:space="0" w:color="auto"/>
            <w:left w:val="none" w:sz="0" w:space="0" w:color="auto"/>
            <w:bottom w:val="none" w:sz="0" w:space="0" w:color="auto"/>
            <w:right w:val="none" w:sz="0" w:space="0" w:color="auto"/>
          </w:divBdr>
        </w:div>
        <w:div w:id="1802071028">
          <w:marLeft w:val="446"/>
          <w:marRight w:val="0"/>
          <w:marTop w:val="0"/>
          <w:marBottom w:val="0"/>
          <w:divBdr>
            <w:top w:val="none" w:sz="0" w:space="0" w:color="auto"/>
            <w:left w:val="none" w:sz="0" w:space="0" w:color="auto"/>
            <w:bottom w:val="none" w:sz="0" w:space="0" w:color="auto"/>
            <w:right w:val="none" w:sz="0" w:space="0" w:color="auto"/>
          </w:divBdr>
        </w:div>
        <w:div w:id="1945573642">
          <w:marLeft w:val="1886"/>
          <w:marRight w:val="0"/>
          <w:marTop w:val="0"/>
          <w:marBottom w:val="0"/>
          <w:divBdr>
            <w:top w:val="none" w:sz="0" w:space="0" w:color="auto"/>
            <w:left w:val="none" w:sz="0" w:space="0" w:color="auto"/>
            <w:bottom w:val="none" w:sz="0" w:space="0" w:color="auto"/>
            <w:right w:val="none" w:sz="0" w:space="0" w:color="auto"/>
          </w:divBdr>
        </w:div>
        <w:div w:id="2017533585">
          <w:marLeft w:val="446"/>
          <w:marRight w:val="0"/>
          <w:marTop w:val="0"/>
          <w:marBottom w:val="0"/>
          <w:divBdr>
            <w:top w:val="none" w:sz="0" w:space="0" w:color="auto"/>
            <w:left w:val="none" w:sz="0" w:space="0" w:color="auto"/>
            <w:bottom w:val="none" w:sz="0" w:space="0" w:color="auto"/>
            <w:right w:val="none" w:sz="0" w:space="0" w:color="auto"/>
          </w:divBdr>
        </w:div>
        <w:div w:id="2090536216">
          <w:marLeft w:val="1886"/>
          <w:marRight w:val="0"/>
          <w:marTop w:val="0"/>
          <w:marBottom w:val="0"/>
          <w:divBdr>
            <w:top w:val="none" w:sz="0" w:space="0" w:color="auto"/>
            <w:left w:val="none" w:sz="0" w:space="0" w:color="auto"/>
            <w:bottom w:val="none" w:sz="0" w:space="0" w:color="auto"/>
            <w:right w:val="none" w:sz="0" w:space="0" w:color="auto"/>
          </w:divBdr>
        </w:div>
      </w:divsChild>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839345370">
      <w:bodyDiv w:val="1"/>
      <w:marLeft w:val="0"/>
      <w:marRight w:val="0"/>
      <w:marTop w:val="0"/>
      <w:marBottom w:val="0"/>
      <w:divBdr>
        <w:top w:val="none" w:sz="0" w:space="0" w:color="auto"/>
        <w:left w:val="none" w:sz="0" w:space="0" w:color="auto"/>
        <w:bottom w:val="none" w:sz="0" w:space="0" w:color="auto"/>
        <w:right w:val="none" w:sz="0" w:space="0" w:color="auto"/>
      </w:divBdr>
    </w:div>
    <w:div w:id="848911763">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7403147">
      <w:bodyDiv w:val="1"/>
      <w:marLeft w:val="0"/>
      <w:marRight w:val="0"/>
      <w:marTop w:val="0"/>
      <w:marBottom w:val="0"/>
      <w:divBdr>
        <w:top w:val="none" w:sz="0" w:space="0" w:color="auto"/>
        <w:left w:val="none" w:sz="0" w:space="0" w:color="auto"/>
        <w:bottom w:val="none" w:sz="0" w:space="0" w:color="auto"/>
        <w:right w:val="none" w:sz="0" w:space="0" w:color="auto"/>
      </w:divBdr>
    </w:div>
    <w:div w:id="950087499">
      <w:bodyDiv w:val="1"/>
      <w:marLeft w:val="0"/>
      <w:marRight w:val="0"/>
      <w:marTop w:val="0"/>
      <w:marBottom w:val="0"/>
      <w:divBdr>
        <w:top w:val="none" w:sz="0" w:space="0" w:color="auto"/>
        <w:left w:val="none" w:sz="0" w:space="0" w:color="auto"/>
        <w:bottom w:val="none" w:sz="0" w:space="0" w:color="auto"/>
        <w:right w:val="none" w:sz="0" w:space="0" w:color="auto"/>
      </w:divBdr>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945954">
      <w:bodyDiv w:val="1"/>
      <w:marLeft w:val="0"/>
      <w:marRight w:val="0"/>
      <w:marTop w:val="0"/>
      <w:marBottom w:val="0"/>
      <w:divBdr>
        <w:top w:val="none" w:sz="0" w:space="0" w:color="auto"/>
        <w:left w:val="none" w:sz="0" w:space="0" w:color="auto"/>
        <w:bottom w:val="none" w:sz="0" w:space="0" w:color="auto"/>
        <w:right w:val="none" w:sz="0" w:space="0" w:color="auto"/>
      </w:divBdr>
    </w:div>
    <w:div w:id="1028414316">
      <w:bodyDiv w:val="1"/>
      <w:marLeft w:val="0"/>
      <w:marRight w:val="0"/>
      <w:marTop w:val="0"/>
      <w:marBottom w:val="0"/>
      <w:divBdr>
        <w:top w:val="none" w:sz="0" w:space="0" w:color="auto"/>
        <w:left w:val="none" w:sz="0" w:space="0" w:color="auto"/>
        <w:bottom w:val="none" w:sz="0" w:space="0" w:color="auto"/>
        <w:right w:val="none" w:sz="0" w:space="0" w:color="auto"/>
      </w:divBdr>
      <w:divsChild>
        <w:div w:id="655110179">
          <w:marLeft w:val="360"/>
          <w:marRight w:val="0"/>
          <w:marTop w:val="200"/>
          <w:marBottom w:val="0"/>
          <w:divBdr>
            <w:top w:val="none" w:sz="0" w:space="0" w:color="auto"/>
            <w:left w:val="none" w:sz="0" w:space="0" w:color="auto"/>
            <w:bottom w:val="none" w:sz="0" w:space="0" w:color="auto"/>
            <w:right w:val="none" w:sz="0" w:space="0" w:color="auto"/>
          </w:divBdr>
        </w:div>
        <w:div w:id="1313020095">
          <w:marLeft w:val="360"/>
          <w:marRight w:val="0"/>
          <w:marTop w:val="200"/>
          <w:marBottom w:val="0"/>
          <w:divBdr>
            <w:top w:val="none" w:sz="0" w:space="0" w:color="auto"/>
            <w:left w:val="none" w:sz="0" w:space="0" w:color="auto"/>
            <w:bottom w:val="none" w:sz="0" w:space="0" w:color="auto"/>
            <w:right w:val="none" w:sz="0" w:space="0" w:color="auto"/>
          </w:divBdr>
        </w:div>
        <w:div w:id="1440569914">
          <w:marLeft w:val="360"/>
          <w:marRight w:val="0"/>
          <w:marTop w:val="200"/>
          <w:marBottom w:val="0"/>
          <w:divBdr>
            <w:top w:val="none" w:sz="0" w:space="0" w:color="auto"/>
            <w:left w:val="none" w:sz="0" w:space="0" w:color="auto"/>
            <w:bottom w:val="none" w:sz="0" w:space="0" w:color="auto"/>
            <w:right w:val="none" w:sz="0" w:space="0" w:color="auto"/>
          </w:divBdr>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111373">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1455">
      <w:bodyDiv w:val="1"/>
      <w:marLeft w:val="0"/>
      <w:marRight w:val="0"/>
      <w:marTop w:val="0"/>
      <w:marBottom w:val="0"/>
      <w:divBdr>
        <w:top w:val="none" w:sz="0" w:space="0" w:color="auto"/>
        <w:left w:val="none" w:sz="0" w:space="0" w:color="auto"/>
        <w:bottom w:val="none" w:sz="0" w:space="0" w:color="auto"/>
        <w:right w:val="none" w:sz="0" w:space="0" w:color="auto"/>
      </w:divBdr>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10404571">
      <w:bodyDiv w:val="1"/>
      <w:marLeft w:val="0"/>
      <w:marRight w:val="0"/>
      <w:marTop w:val="0"/>
      <w:marBottom w:val="0"/>
      <w:divBdr>
        <w:top w:val="none" w:sz="0" w:space="0" w:color="auto"/>
        <w:left w:val="none" w:sz="0" w:space="0" w:color="auto"/>
        <w:bottom w:val="none" w:sz="0" w:space="0" w:color="auto"/>
        <w:right w:val="none" w:sz="0" w:space="0" w:color="auto"/>
      </w:divBdr>
      <w:divsChild>
        <w:div w:id="54352013">
          <w:marLeft w:val="446"/>
          <w:marRight w:val="0"/>
          <w:marTop w:val="0"/>
          <w:marBottom w:val="120"/>
          <w:divBdr>
            <w:top w:val="none" w:sz="0" w:space="0" w:color="auto"/>
            <w:left w:val="none" w:sz="0" w:space="0" w:color="auto"/>
            <w:bottom w:val="none" w:sz="0" w:space="0" w:color="auto"/>
            <w:right w:val="none" w:sz="0" w:space="0" w:color="auto"/>
          </w:divBdr>
        </w:div>
      </w:divsChild>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3386030">
      <w:bodyDiv w:val="1"/>
      <w:marLeft w:val="0"/>
      <w:marRight w:val="0"/>
      <w:marTop w:val="0"/>
      <w:marBottom w:val="0"/>
      <w:divBdr>
        <w:top w:val="none" w:sz="0" w:space="0" w:color="auto"/>
        <w:left w:val="none" w:sz="0" w:space="0" w:color="auto"/>
        <w:bottom w:val="none" w:sz="0" w:space="0" w:color="auto"/>
        <w:right w:val="none" w:sz="0" w:space="0" w:color="auto"/>
      </w:divBdr>
      <w:divsChild>
        <w:div w:id="1483043780">
          <w:marLeft w:val="1800"/>
          <w:marRight w:val="0"/>
          <w:marTop w:val="100"/>
          <w:marBottom w:val="0"/>
          <w:divBdr>
            <w:top w:val="none" w:sz="0" w:space="0" w:color="auto"/>
            <w:left w:val="none" w:sz="0" w:space="0" w:color="auto"/>
            <w:bottom w:val="none" w:sz="0" w:space="0" w:color="auto"/>
            <w:right w:val="none" w:sz="0" w:space="0" w:color="auto"/>
          </w:divBdr>
        </w:div>
      </w:divsChild>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616192">
      <w:bodyDiv w:val="1"/>
      <w:marLeft w:val="0"/>
      <w:marRight w:val="0"/>
      <w:marTop w:val="0"/>
      <w:marBottom w:val="0"/>
      <w:divBdr>
        <w:top w:val="none" w:sz="0" w:space="0" w:color="auto"/>
        <w:left w:val="none" w:sz="0" w:space="0" w:color="auto"/>
        <w:bottom w:val="none" w:sz="0" w:space="0" w:color="auto"/>
        <w:right w:val="none" w:sz="0" w:space="0" w:color="auto"/>
      </w:divBdr>
      <w:divsChild>
        <w:div w:id="31073759">
          <w:marLeft w:val="360"/>
          <w:marRight w:val="0"/>
          <w:marTop w:val="200"/>
          <w:marBottom w:val="0"/>
          <w:divBdr>
            <w:top w:val="none" w:sz="0" w:space="0" w:color="auto"/>
            <w:left w:val="none" w:sz="0" w:space="0" w:color="auto"/>
            <w:bottom w:val="none" w:sz="0" w:space="0" w:color="auto"/>
            <w:right w:val="none" w:sz="0" w:space="0" w:color="auto"/>
          </w:divBdr>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3gpp.org/ftp/TSG_RAN/WG2_RL2/TSGR2_111-e/Docs/R2-2007376.zip" TargetMode="External"/><Relationship Id="rId26" Type="http://schemas.openxmlformats.org/officeDocument/2006/relationships/hyperlink" Target="https://www.3gpp.org/ftp/TSG_RAN/WG2_RL2/TSGR2_111-e/Docs/R2-2007377.zip" TargetMode="External"/><Relationship Id="rId39" Type="http://schemas.openxmlformats.org/officeDocument/2006/relationships/chart" Target="charts/chart1.xml"/><Relationship Id="rId3" Type="http://schemas.openxmlformats.org/officeDocument/2006/relationships/customXml" Target="../customXml/item3.xml"/><Relationship Id="rId21" Type="http://schemas.openxmlformats.org/officeDocument/2006/relationships/hyperlink" Target="https://www.3gpp.org/ftp/TSG_RAN/WG2_RL2/TSGR2_111-e/Docs/R2-2007379.zip" TargetMode="External"/><Relationship Id="rId34" Type="http://schemas.openxmlformats.org/officeDocument/2006/relationships/hyperlink" Target="http://3gpp.org/ftp/tsg_ran/WG4_Radio/TSGR4_94_e/Docs/R4-2002916.zip" TargetMode="External"/><Relationship Id="rId42"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www.3gpp.org/ftp/TSG_RAN/WG2_RL2/TSGR2_111-e/Docs/R2-2007379.zip" TargetMode="External"/><Relationship Id="rId25" Type="http://schemas.openxmlformats.org/officeDocument/2006/relationships/hyperlink" Target="https://www.3gpp.org/ftp/TSG_RAN/WG2_RL2/TSGR2_111-e/Docs/R2-2007376.zip" TargetMode="External"/><Relationship Id="rId33" Type="http://schemas.openxmlformats.org/officeDocument/2006/relationships/hyperlink" Target="http://3gpp.org/ftp/tsg_ran/WG4_Radio/TSGR4_92/Docs/R4-1907994.zip" TargetMode="External"/><Relationship Id="rId38" Type="http://schemas.openxmlformats.org/officeDocument/2006/relationships/hyperlink" Target="https://www.3gpp.org/ftp/tsg_ran/WG4_Radio/TSGR4_94_eBis/Docs/R4-2005734.zip" TargetMode="External"/><Relationship Id="rId2" Type="http://schemas.openxmlformats.org/officeDocument/2006/relationships/customXml" Target="../customXml/item2.xml"/><Relationship Id="rId16" Type="http://schemas.openxmlformats.org/officeDocument/2006/relationships/hyperlink" Target="https://www.3gpp.org/ftp/tsg_ran/WG4_Radio/TSGR4_94_eBis/Docs/R4-2005734.zip" TargetMode="External"/><Relationship Id="rId20" Type="http://schemas.openxmlformats.org/officeDocument/2006/relationships/hyperlink" Target="https://www.3gpp.org/ftp/TSG_RAN/WG2_RL2/TSGR2_111-e/Docs/R2-2007378.zip" TargetMode="External"/><Relationship Id="rId29" Type="http://schemas.openxmlformats.org/officeDocument/2006/relationships/hyperlink" Target="http://3gpp.org/ftp/tsg_ran/WG4_Radio/TSGR4_92Bis/Docs/R4-1913057.zip"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www.3gpp.org/ftp/TSG_RAN/WG2_RL2/TSGR2_111-e/Docs/R2-2007379.zip" TargetMode="External"/><Relationship Id="rId32" Type="http://schemas.openxmlformats.org/officeDocument/2006/relationships/hyperlink" Target="http://3gpp.org/ftp/tsg_ran/WG4_Radio/TSGR4_92/Docs/R4-1910278.zip" TargetMode="External"/><Relationship Id="rId37" Type="http://schemas.openxmlformats.org/officeDocument/2006/relationships/hyperlink" Target="http://3gpp.org/ftp/tsg_ran/WG4_Radio/TSGR4_94_eBis/Docs/R4-2005670.zip" TargetMode="External"/><Relationship Id="rId40" Type="http://schemas.openxmlformats.org/officeDocument/2006/relationships/chart" Target="charts/chart2.xml"/><Relationship Id="rId5" Type="http://schemas.openxmlformats.org/officeDocument/2006/relationships/customXml" Target="../customXml/item5.xml"/><Relationship Id="rId15" Type="http://schemas.openxmlformats.org/officeDocument/2006/relationships/hyperlink" Target="https://www.3gpp.org/ftp/tsg_ran/WG4_Radio/TSGR4_94_eBis/Docs/R4-2005734.zip" TargetMode="External"/><Relationship Id="rId23" Type="http://schemas.openxmlformats.org/officeDocument/2006/relationships/hyperlink" Target="https://www.3gpp.org/ftp/TSG_RAN/WG2_RL2/TSGR2_111-e/Docs/R2-2007377.zip" TargetMode="External"/><Relationship Id="rId28" Type="http://schemas.openxmlformats.org/officeDocument/2006/relationships/hyperlink" Target="http://www.3gpp.org/ftp/tsg_ran/wg2_rl2/tsgr2_109_e/docs/R2-2000046.zip" TargetMode="External"/><Relationship Id="rId36" Type="http://schemas.openxmlformats.org/officeDocument/2006/relationships/hyperlink" Target="http://3gpp.org/ftp/tsg_ran/WG2_RL2/TSGR2_110-e/LSin/R2-2004341.zip" TargetMode="External"/><Relationship Id="rId10" Type="http://schemas.openxmlformats.org/officeDocument/2006/relationships/settings" Target="settings.xml"/><Relationship Id="rId19" Type="http://schemas.openxmlformats.org/officeDocument/2006/relationships/hyperlink" Target="https://www.3gpp.org/ftp/TSG_RAN/WG2_RL2/TSGR2_111-e/Docs/R2-2007377.zip" TargetMode="External"/><Relationship Id="rId31" Type="http://schemas.openxmlformats.org/officeDocument/2006/relationships/hyperlink" Target="http://3gpp.org/ftp/tsg_ran/WG4_Radio/TSGR4_92Bis/Docs/R4-1911526.zi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ftp/tsg_ran/WG2_RL2/TSGR2_110-e/Docs/R2-2006300.zip" TargetMode="External"/><Relationship Id="rId22" Type="http://schemas.openxmlformats.org/officeDocument/2006/relationships/hyperlink" Target="https://www.3gpp.org/ftp/TSG_RAN/WG2_RL2/TSGR2_111-e/Docs/R2-2007376.zip" TargetMode="External"/><Relationship Id="rId27" Type="http://schemas.openxmlformats.org/officeDocument/2006/relationships/hyperlink" Target="https://www.3gpp.org/ftp/TSG_RAN/TSG_RAN/TSGR_87e/Docs/RP-200246.zip" TargetMode="External"/><Relationship Id="rId30" Type="http://schemas.openxmlformats.org/officeDocument/2006/relationships/hyperlink" Target="http://3gpp.org/ftp/tsg_ran/WG4_Radio/TSGR4_93/Docs/R4-1916170.zip" TargetMode="External"/><Relationship Id="rId35" Type="http://schemas.openxmlformats.org/officeDocument/2006/relationships/hyperlink" Target="http://3gpp.org/ftp/tsg_ran/WG4_Radio/TSGR4_94_e/Docs/R4-200281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https://nokia-my.sharepoint.com/personal/samantha_caporal_del_barrio_nokia-bell-labs_com/Documents/MPE/FSPL.xlsx"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https://nokia-my.sharepoint.com/personal/samantha_caporal_del_barrio_nokia-bell-labs_com/Documents/MPE/FSPL.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scatterChart>
        <c:scatterStyle val="smoothMarker"/>
        <c:varyColors val="0"/>
        <c:ser>
          <c:idx val="0"/>
          <c:order val="0"/>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'EIRP MPE'!$E$16:$E$32</c:f>
              <c:numCache>
                <c:formatCode>General</c:formatCode>
                <c:ptCount val="17"/>
                <c:pt idx="0">
                  <c:v>7.0876976066331102E-2</c:v>
                </c:pt>
                <c:pt idx="1">
                  <c:v>6.3169171411200611E-2</c:v>
                </c:pt>
                <c:pt idx="2">
                  <c:v>5.6299583281363925E-2</c:v>
                </c:pt>
                <c:pt idx="3">
                  <c:v>5.0177056416054536E-2</c:v>
                </c:pt>
                <c:pt idx="4">
                  <c:v>4.4720348603598477E-2</c:v>
                </c:pt>
                <c:pt idx="5">
                  <c:v>3.9857052646625285E-2</c:v>
                </c:pt>
                <c:pt idx="6">
                  <c:v>3.5522635562550864E-2</c:v>
                </c:pt>
                <c:pt idx="7">
                  <c:v>3.1659582270106609E-2</c:v>
                </c:pt>
                <c:pt idx="8">
                  <c:v>2.8216632399155017E-2</c:v>
                </c:pt>
                <c:pt idx="9">
                  <c:v>2.5148100096721939E-2</c:v>
                </c:pt>
                <c:pt idx="10">
                  <c:v>2.2413267803484769E-2</c:v>
                </c:pt>
                <c:pt idx="11">
                  <c:v>1.9975845956498671E-2</c:v>
                </c:pt>
                <c:pt idx="12">
                  <c:v>1.7803491448744633E-2</c:v>
                </c:pt>
                <c:pt idx="13">
                  <c:v>1.5867378455749769E-2</c:v>
                </c:pt>
                <c:pt idx="14">
                  <c:v>1.4141815934410161E-2</c:v>
                </c:pt>
                <c:pt idx="15">
                  <c:v>1.2603906718457809E-2</c:v>
                </c:pt>
                <c:pt idx="16">
                  <c:v>1.1233243686975737E-2</c:v>
                </c:pt>
              </c:numCache>
            </c:numRef>
          </c:xVal>
          <c:yVal>
            <c:numRef>
              <c:f>'EIRP MPE'!$D$16:$D$32</c:f>
              <c:numCache>
                <c:formatCode>General</c:formatCode>
                <c:ptCount val="17"/>
                <c:pt idx="0">
                  <c:v>28</c:v>
                </c:pt>
                <c:pt idx="1">
                  <c:v>27</c:v>
                </c:pt>
                <c:pt idx="2">
                  <c:v>26</c:v>
                </c:pt>
                <c:pt idx="3">
                  <c:v>25</c:v>
                </c:pt>
                <c:pt idx="4">
                  <c:v>24</c:v>
                </c:pt>
                <c:pt idx="5">
                  <c:v>23</c:v>
                </c:pt>
                <c:pt idx="6">
                  <c:v>22</c:v>
                </c:pt>
                <c:pt idx="7">
                  <c:v>21</c:v>
                </c:pt>
                <c:pt idx="8">
                  <c:v>20</c:v>
                </c:pt>
                <c:pt idx="9">
                  <c:v>19</c:v>
                </c:pt>
                <c:pt idx="10">
                  <c:v>18</c:v>
                </c:pt>
                <c:pt idx="11">
                  <c:v>17</c:v>
                </c:pt>
                <c:pt idx="12">
                  <c:v>16</c:v>
                </c:pt>
                <c:pt idx="13">
                  <c:v>15</c:v>
                </c:pt>
                <c:pt idx="14">
                  <c:v>14</c:v>
                </c:pt>
                <c:pt idx="15">
                  <c:v>13</c:v>
                </c:pt>
                <c:pt idx="16">
                  <c:v>12</c:v>
                </c:pt>
              </c:numCache>
            </c:numRef>
          </c:yVal>
          <c:smooth val="1"/>
          <c:extLst>
            <c:ext xmlns:c16="http://schemas.microsoft.com/office/drawing/2014/chart" uri="{C3380CC4-5D6E-409C-BE32-E72D297353CC}">
              <c16:uniqueId val="{00000000-2937-4765-A65A-67AB3115BA48}"/>
            </c:ext>
          </c:extLst>
        </c:ser>
        <c:dLbls>
          <c:showLegendKey val="0"/>
          <c:showVal val="0"/>
          <c:showCatName val="0"/>
          <c:showSerName val="0"/>
          <c:showPercent val="0"/>
          <c:showBubbleSize val="0"/>
        </c:dLbls>
        <c:axId val="613794592"/>
        <c:axId val="613794264"/>
      </c:scatterChart>
      <c:valAx>
        <c:axId val="613794592"/>
        <c:scaling>
          <c:orientation val="minMax"/>
          <c:max val="7.5000000000000011E-2"/>
          <c:min val="1.0000000000000002E-2"/>
        </c:scaling>
        <c:delete val="0"/>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Antenna-User</a:t>
                </a:r>
                <a:r>
                  <a:rPr lang="en-US" baseline="0"/>
                  <a:t> separation (cm)</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 sourceLinked="0"/>
        <c:majorTickMark val="none"/>
        <c:minorTickMark val="in"/>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13794264"/>
        <c:crosses val="autoZero"/>
        <c:crossBetween val="midCat"/>
        <c:majorUnit val="1.0000000000000002E-2"/>
        <c:minorUnit val="5.000000000000001E-3"/>
        <c:dispUnits>
          <c:custUnit val="1.0000000000000002E-2"/>
        </c:dispUnits>
      </c:valAx>
      <c:valAx>
        <c:axId val="613794264"/>
        <c:scaling>
          <c:orientation val="minMax"/>
          <c:max val="28"/>
          <c:min val="12"/>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Max allowed</a:t>
                </a:r>
                <a:r>
                  <a:rPr lang="en-US" baseline="0"/>
                  <a:t>  EIRP for MPE compliance (dBm)</a:t>
                </a:r>
                <a:endParaRPr lang="en-US"/>
              </a:p>
            </c:rich>
          </c:tx>
          <c:layout>
            <c:manualLayout>
              <c:xMode val="edge"/>
              <c:yMode val="edge"/>
              <c:x val="2.2222222222222223E-2"/>
              <c:y val="2.0833340168418691E-2"/>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13794592"/>
        <c:crosses val="autoZero"/>
        <c:crossBetween val="midCat"/>
        <c:majorUnit val="2"/>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scatterChart>
        <c:scatterStyle val="smoothMarker"/>
        <c:varyColors val="0"/>
        <c:ser>
          <c:idx val="0"/>
          <c:order val="0"/>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FSPL!$J$34:$J$50</c:f>
              <c:numCache>
                <c:formatCode>General</c:formatCode>
                <c:ptCount val="17"/>
                <c:pt idx="0">
                  <c:v>0</c:v>
                </c:pt>
                <c:pt idx="1">
                  <c:v>10.8749061866256</c:v>
                </c:pt>
                <c:pt idx="2">
                  <c:v>20.567176527571927</c:v>
                </c:pt>
                <c:pt idx="3">
                  <c:v>29.205421561586242</c:v>
                </c:pt>
                <c:pt idx="4">
                  <c:v>36.904265551980686</c:v>
                </c:pt>
                <c:pt idx="5">
                  <c:v>43.765867480965071</c:v>
                </c:pt>
                <c:pt idx="6">
                  <c:v>49.881276637272912</c:v>
                </c:pt>
                <c:pt idx="7">
                  <c:v>55.331640784903783</c:v>
                </c:pt>
                <c:pt idx="8">
                  <c:v>60.189282944650337</c:v>
                </c:pt>
                <c:pt idx="9">
                  <c:v>64.518661076642502</c:v>
                </c:pt>
                <c:pt idx="10">
                  <c:v>68.377223398316232</c:v>
                </c:pt>
                <c:pt idx="11">
                  <c:v>71.816170687355523</c:v>
                </c:pt>
                <c:pt idx="12">
                  <c:v>74.881135684904237</c:v>
                </c:pt>
                <c:pt idx="13">
                  <c:v>77.612788614316628</c:v>
                </c:pt>
                <c:pt idx="14">
                  <c:v>80.047376850311224</c:v>
                </c:pt>
                <c:pt idx="15">
                  <c:v>82.217205899610775</c:v>
                </c:pt>
                <c:pt idx="16">
                  <c:v>84.151068075388892</c:v>
                </c:pt>
              </c:numCache>
            </c:numRef>
          </c:xVal>
          <c:yVal>
            <c:numRef>
              <c:f>FSPL!$E$34:$E$50</c:f>
              <c:numCache>
                <c:formatCode>General</c:formatCode>
                <c:ptCount val="17"/>
                <c:pt idx="0">
                  <c:v>28</c:v>
                </c:pt>
                <c:pt idx="1">
                  <c:v>27</c:v>
                </c:pt>
                <c:pt idx="2">
                  <c:v>26</c:v>
                </c:pt>
                <c:pt idx="3">
                  <c:v>25</c:v>
                </c:pt>
                <c:pt idx="4">
                  <c:v>24</c:v>
                </c:pt>
                <c:pt idx="5">
                  <c:v>23</c:v>
                </c:pt>
                <c:pt idx="6">
                  <c:v>22</c:v>
                </c:pt>
                <c:pt idx="7">
                  <c:v>21</c:v>
                </c:pt>
                <c:pt idx="8">
                  <c:v>20</c:v>
                </c:pt>
                <c:pt idx="9">
                  <c:v>19</c:v>
                </c:pt>
                <c:pt idx="10">
                  <c:v>18</c:v>
                </c:pt>
                <c:pt idx="11">
                  <c:v>17</c:v>
                </c:pt>
                <c:pt idx="12">
                  <c:v>16</c:v>
                </c:pt>
                <c:pt idx="13">
                  <c:v>15</c:v>
                </c:pt>
                <c:pt idx="14">
                  <c:v>14</c:v>
                </c:pt>
                <c:pt idx="15">
                  <c:v>13</c:v>
                </c:pt>
                <c:pt idx="16">
                  <c:v>12</c:v>
                </c:pt>
              </c:numCache>
            </c:numRef>
          </c:yVal>
          <c:smooth val="1"/>
          <c:extLst>
            <c:ext xmlns:c16="http://schemas.microsoft.com/office/drawing/2014/chart" uri="{C3380CC4-5D6E-409C-BE32-E72D297353CC}">
              <c16:uniqueId val="{00000000-B156-4F52-82F5-61BC47B29A85}"/>
            </c:ext>
          </c:extLst>
        </c:ser>
        <c:dLbls>
          <c:showLegendKey val="0"/>
          <c:showVal val="0"/>
          <c:showCatName val="0"/>
          <c:showSerName val="0"/>
          <c:showPercent val="0"/>
          <c:showBubbleSize val="0"/>
        </c:dLbls>
        <c:axId val="555708608"/>
        <c:axId val="555709264"/>
      </c:scatterChart>
      <c:valAx>
        <c:axId val="555708608"/>
        <c:scaling>
          <c:orientation val="minMax"/>
        </c:scaling>
        <c:delete val="0"/>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UE LOS range reduction (%)</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55709264"/>
        <c:crosses val="autoZero"/>
        <c:crossBetween val="midCat"/>
      </c:valAx>
      <c:valAx>
        <c:axId val="555709264"/>
        <c:scaling>
          <c:orientation val="minMax"/>
          <c:max val="28"/>
          <c:min val="12"/>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000" b="0" i="0" u="none" strike="noStrike" kern="1200" baseline="0">
                    <a:solidFill>
                      <a:sysClr val="windowText" lastClr="000000">
                        <a:lumMod val="65000"/>
                        <a:lumOff val="35000"/>
                      </a:sysClr>
                    </a:solidFill>
                    <a:latin typeface="+mn-lt"/>
                    <a:ea typeface="+mn-ea"/>
                    <a:cs typeface="+mn-cs"/>
                  </a:defRPr>
                </a:pPr>
                <a:r>
                  <a:rPr lang="en-US" sz="1000" b="0" i="0" baseline="0">
                    <a:effectLst/>
                  </a:rPr>
                  <a:t>Max allowed EIRP for MPE compliance (dBm)</a:t>
                </a:r>
                <a:endParaRPr lang="en-US" sz="1000">
                  <a:effectLst/>
                </a:endParaRPr>
              </a:p>
            </c:rich>
          </c:tx>
          <c:layout>
            <c:manualLayout>
              <c:xMode val="edge"/>
              <c:yMode val="edge"/>
              <c:x val="1.9444444444444445E-2"/>
              <c:y val="2.9661617156519441E-2"/>
            </c:manualLayout>
          </c:layout>
          <c:overlay val="0"/>
          <c:spPr>
            <a:noFill/>
            <a:ln>
              <a:noFill/>
            </a:ln>
            <a:effectLst/>
          </c:spPr>
          <c:txPr>
            <a:bodyPr rot="-540000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000" b="0" i="0" u="none" strike="noStrike" kern="1200" baseline="0">
                  <a:solidFill>
                    <a:sysClr val="windowText" lastClr="000000">
                      <a:lumMod val="65000"/>
                      <a:lumOff val="35000"/>
                    </a:sys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55708608"/>
        <c:crosses val="autoZero"/>
        <c:crossBetween val="midCat"/>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5AIRPNAIUNRU-859666464-7145</_dlc_DocId>
    <_dlc_DocIdUrl xmlns="71c5aaf6-e6ce-465b-b873-5148d2a4c105">
      <Url>https://nokia.sharepoint.com/sites/c5g/e2earch/_layouts/15/DocIdRedir.aspx?ID=5AIRPNAIUNRU-859666464-7145</Url>
      <Description>5AIRPNAIUNRU-859666464-7145</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AAD270-B08A-4D83-AE6B-95BF66232652}">
  <ds:schemaRefs>
    <ds:schemaRef ds:uri="http://schemas.microsoft.com/office/2006/metadata/longProperties"/>
  </ds:schemaRefs>
</ds:datastoreItem>
</file>

<file path=customXml/itemProps2.xml><?xml version="1.0" encoding="utf-8"?>
<ds:datastoreItem xmlns:ds="http://schemas.openxmlformats.org/officeDocument/2006/customXml" ds:itemID="{50EE826E-272F-4268-923F-E2C461E5B4BE}">
  <ds:schemaRefs>
    <ds:schemaRef ds:uri="http://schemas.microsoft.com/sharepoint/events"/>
  </ds:schemaRefs>
</ds:datastoreItem>
</file>

<file path=customXml/itemProps3.xml><?xml version="1.0" encoding="utf-8"?>
<ds:datastoreItem xmlns:ds="http://schemas.openxmlformats.org/officeDocument/2006/customXml" ds:itemID="{95DBFDF1-9C3E-4EEF-B2E8-A5C6E856A0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074C59-5F35-4E9B-AE33-82D2945A751A}">
  <ds:schemaRefs>
    <ds:schemaRef ds:uri="http://schemas.microsoft.com/sharepoint/v3/contenttype/forms"/>
  </ds:schemaRefs>
</ds:datastoreItem>
</file>

<file path=customXml/itemProps5.xml><?xml version="1.0" encoding="utf-8"?>
<ds:datastoreItem xmlns:ds="http://schemas.openxmlformats.org/officeDocument/2006/customXml" ds:itemID="{2A711D11-0D4C-48D0-A558-98C180C6F401}">
  <ds:schemaRefs>
    <ds:schemaRef ds:uri="Microsoft.SharePoint.Taxonomy.ContentTypeSync"/>
  </ds:schemaRefs>
</ds:datastoreItem>
</file>

<file path=customXml/itemProps6.xml><?xml version="1.0" encoding="utf-8"?>
<ds:datastoreItem xmlns:ds="http://schemas.openxmlformats.org/officeDocument/2006/customXml" ds:itemID="{38FD9CB8-BC43-45FF-8819-745FF84F23C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313CA0D2-8F60-42D3-8F97-EE0338594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TotalTime>
  <Pages>8</Pages>
  <Words>4268</Words>
  <Characters>24329</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28540</CharactersWithSpaces>
  <SharedDoc>false</SharedDoc>
  <HLinks>
    <vt:vector size="204" baseType="variant">
      <vt:variant>
        <vt:i4>3342381</vt:i4>
      </vt:variant>
      <vt:variant>
        <vt:i4>99</vt:i4>
      </vt:variant>
      <vt:variant>
        <vt:i4>0</vt:i4>
      </vt:variant>
      <vt:variant>
        <vt:i4>5</vt:i4>
      </vt:variant>
      <vt:variant>
        <vt:lpwstr>https://www.3gpp.org/ftp/tsg_ran/WG4_Radio/TSGR4_94_eBis/Docs/R4-2005734.zip</vt:lpwstr>
      </vt:variant>
      <vt:variant>
        <vt:lpwstr/>
      </vt:variant>
      <vt:variant>
        <vt:i4>4325383</vt:i4>
      </vt:variant>
      <vt:variant>
        <vt:i4>96</vt:i4>
      </vt:variant>
      <vt:variant>
        <vt:i4>0</vt:i4>
      </vt:variant>
      <vt:variant>
        <vt:i4>5</vt:i4>
      </vt:variant>
      <vt:variant>
        <vt:lpwstr>http://3gpp.org/ftp/tsg_ran/WG4_Radio/TSGR4_94_eBis/Docs/R4-2005670.zip</vt:lpwstr>
      </vt:variant>
      <vt:variant>
        <vt:lpwstr/>
      </vt:variant>
      <vt:variant>
        <vt:i4>65581</vt:i4>
      </vt:variant>
      <vt:variant>
        <vt:i4>93</vt:i4>
      </vt:variant>
      <vt:variant>
        <vt:i4>0</vt:i4>
      </vt:variant>
      <vt:variant>
        <vt:i4>5</vt:i4>
      </vt:variant>
      <vt:variant>
        <vt:lpwstr>http://3gpp.org/ftp/tsg_ran/WG2_RL2/TSGR2_110-e/LSin/R2-2004341.zip</vt:lpwstr>
      </vt:variant>
      <vt:variant>
        <vt:lpwstr/>
      </vt:variant>
      <vt:variant>
        <vt:i4>2556012</vt:i4>
      </vt:variant>
      <vt:variant>
        <vt:i4>90</vt:i4>
      </vt:variant>
      <vt:variant>
        <vt:i4>0</vt:i4>
      </vt:variant>
      <vt:variant>
        <vt:i4>5</vt:i4>
      </vt:variant>
      <vt:variant>
        <vt:lpwstr>http://3gpp.org/ftp/tsg_ran/WG4_Radio/TSGR4_94_e/Docs/R4-2002819.zip</vt:lpwstr>
      </vt:variant>
      <vt:variant>
        <vt:lpwstr/>
      </vt:variant>
      <vt:variant>
        <vt:i4>2687084</vt:i4>
      </vt:variant>
      <vt:variant>
        <vt:i4>87</vt:i4>
      </vt:variant>
      <vt:variant>
        <vt:i4>0</vt:i4>
      </vt:variant>
      <vt:variant>
        <vt:i4>5</vt:i4>
      </vt:variant>
      <vt:variant>
        <vt:lpwstr>http://3gpp.org/ftp/tsg_ran/WG4_Radio/TSGR4_94_e/Docs/R4-2002916.zip</vt:lpwstr>
      </vt:variant>
      <vt:variant>
        <vt:lpwstr/>
      </vt:variant>
      <vt:variant>
        <vt:i4>4915255</vt:i4>
      </vt:variant>
      <vt:variant>
        <vt:i4>84</vt:i4>
      </vt:variant>
      <vt:variant>
        <vt:i4>0</vt:i4>
      </vt:variant>
      <vt:variant>
        <vt:i4>5</vt:i4>
      </vt:variant>
      <vt:variant>
        <vt:lpwstr>http://3gpp.org/ftp/tsg_ran/WG4_Radio/TSGR4_92/Docs/R4-1907994.zip</vt:lpwstr>
      </vt:variant>
      <vt:variant>
        <vt:lpwstr/>
      </vt:variant>
      <vt:variant>
        <vt:i4>5046334</vt:i4>
      </vt:variant>
      <vt:variant>
        <vt:i4>81</vt:i4>
      </vt:variant>
      <vt:variant>
        <vt:i4>0</vt:i4>
      </vt:variant>
      <vt:variant>
        <vt:i4>5</vt:i4>
      </vt:variant>
      <vt:variant>
        <vt:lpwstr>http://3gpp.org/ftp/tsg_ran/WG4_Radio/TSGR4_92/Docs/R4-1910278.zip</vt:lpwstr>
      </vt:variant>
      <vt:variant>
        <vt:lpwstr/>
      </vt:variant>
      <vt:variant>
        <vt:i4>2687071</vt:i4>
      </vt:variant>
      <vt:variant>
        <vt:i4>78</vt:i4>
      </vt:variant>
      <vt:variant>
        <vt:i4>0</vt:i4>
      </vt:variant>
      <vt:variant>
        <vt:i4>5</vt:i4>
      </vt:variant>
      <vt:variant>
        <vt:lpwstr>http://3gpp.org/ftp/tsg_ran/WG4_Radio/TSGR4_92Bis/Docs/R4-1911526.zip</vt:lpwstr>
      </vt:variant>
      <vt:variant>
        <vt:lpwstr/>
      </vt:variant>
      <vt:variant>
        <vt:i4>4653112</vt:i4>
      </vt:variant>
      <vt:variant>
        <vt:i4>75</vt:i4>
      </vt:variant>
      <vt:variant>
        <vt:i4>0</vt:i4>
      </vt:variant>
      <vt:variant>
        <vt:i4>5</vt:i4>
      </vt:variant>
      <vt:variant>
        <vt:lpwstr>http://3gpp.org/ftp/tsg_ran/WG4_Radio/TSGR4_93/Docs/R4-1916170.zip</vt:lpwstr>
      </vt:variant>
      <vt:variant>
        <vt:lpwstr/>
      </vt:variant>
      <vt:variant>
        <vt:i4>2883675</vt:i4>
      </vt:variant>
      <vt:variant>
        <vt:i4>72</vt:i4>
      </vt:variant>
      <vt:variant>
        <vt:i4>0</vt:i4>
      </vt:variant>
      <vt:variant>
        <vt:i4>5</vt:i4>
      </vt:variant>
      <vt:variant>
        <vt:lpwstr>http://3gpp.org/ftp/tsg_ran/WG4_Radio/TSGR4_92Bis/Docs/R4-1913057.zip</vt:lpwstr>
      </vt:variant>
      <vt:variant>
        <vt:lpwstr/>
      </vt:variant>
      <vt:variant>
        <vt:i4>7798907</vt:i4>
      </vt:variant>
      <vt:variant>
        <vt:i4>69</vt:i4>
      </vt:variant>
      <vt:variant>
        <vt:i4>0</vt:i4>
      </vt:variant>
      <vt:variant>
        <vt:i4>5</vt:i4>
      </vt:variant>
      <vt:variant>
        <vt:lpwstr>http://www.3gpp.org/ftp/tsg_ran/wg2_rl2/tsgr2_109_e/docs/R2-2000046.zip</vt:lpwstr>
      </vt:variant>
      <vt:variant>
        <vt:lpwstr/>
      </vt:variant>
      <vt:variant>
        <vt:i4>6815838</vt:i4>
      </vt:variant>
      <vt:variant>
        <vt:i4>66</vt:i4>
      </vt:variant>
      <vt:variant>
        <vt:i4>0</vt:i4>
      </vt:variant>
      <vt:variant>
        <vt:i4>5</vt:i4>
      </vt:variant>
      <vt:variant>
        <vt:lpwstr>https://www.3gpp.org/ftp/TSG_RAN/TSG_RAN/TSGR_87e/Docs/RP-200246.zip</vt:lpwstr>
      </vt:variant>
      <vt:variant>
        <vt:lpwstr/>
      </vt:variant>
      <vt:variant>
        <vt:i4>5242973</vt:i4>
      </vt:variant>
      <vt:variant>
        <vt:i4>63</vt:i4>
      </vt:variant>
      <vt:variant>
        <vt:i4>0</vt:i4>
      </vt:variant>
      <vt:variant>
        <vt:i4>5</vt:i4>
      </vt:variant>
      <vt:variant>
        <vt:lpwstr>http://www.3gpp.org/ftp/tsg_ran/wg2_rl2/tsgr2_109bis_e/docs/R2-2002687.zip</vt:lpwstr>
      </vt:variant>
      <vt:variant>
        <vt:lpwstr/>
      </vt:variant>
      <vt:variant>
        <vt:i4>5308509</vt:i4>
      </vt:variant>
      <vt:variant>
        <vt:i4>60</vt:i4>
      </vt:variant>
      <vt:variant>
        <vt:i4>0</vt:i4>
      </vt:variant>
      <vt:variant>
        <vt:i4>5</vt:i4>
      </vt:variant>
      <vt:variant>
        <vt:lpwstr>http://www.3gpp.org/ftp/tsg_ran/wg2_rl2/tsgr2_109bis_e/docs/R2-2002686.zip</vt:lpwstr>
      </vt:variant>
      <vt:variant>
        <vt:lpwstr/>
      </vt:variant>
      <vt:variant>
        <vt:i4>5374045</vt:i4>
      </vt:variant>
      <vt:variant>
        <vt:i4>57</vt:i4>
      </vt:variant>
      <vt:variant>
        <vt:i4>0</vt:i4>
      </vt:variant>
      <vt:variant>
        <vt:i4>5</vt:i4>
      </vt:variant>
      <vt:variant>
        <vt:lpwstr>http://www.3gpp.org/ftp/tsg_ran/wg2_rl2/tsgr2_109bis_e/docs/R2-2002685.zip</vt:lpwstr>
      </vt:variant>
      <vt:variant>
        <vt:lpwstr/>
      </vt:variant>
      <vt:variant>
        <vt:i4>6226013</vt:i4>
      </vt:variant>
      <vt:variant>
        <vt:i4>54</vt:i4>
      </vt:variant>
      <vt:variant>
        <vt:i4>0</vt:i4>
      </vt:variant>
      <vt:variant>
        <vt:i4>5</vt:i4>
      </vt:variant>
      <vt:variant>
        <vt:lpwstr>http://www.3gpp.org/ftp/tsg_ran/wg2_rl2/tsgr2_109bis_e/docs/R2-2002688.zip</vt:lpwstr>
      </vt:variant>
      <vt:variant>
        <vt:lpwstr/>
      </vt:variant>
      <vt:variant>
        <vt:i4>5242973</vt:i4>
      </vt:variant>
      <vt:variant>
        <vt:i4>51</vt:i4>
      </vt:variant>
      <vt:variant>
        <vt:i4>0</vt:i4>
      </vt:variant>
      <vt:variant>
        <vt:i4>5</vt:i4>
      </vt:variant>
      <vt:variant>
        <vt:lpwstr>http://www.3gpp.org/ftp/tsg_ran/wg2_rl2/tsgr2_109bis_e/docs/R2-2002687.zip</vt:lpwstr>
      </vt:variant>
      <vt:variant>
        <vt:lpwstr/>
      </vt:variant>
      <vt:variant>
        <vt:i4>5308509</vt:i4>
      </vt:variant>
      <vt:variant>
        <vt:i4>48</vt:i4>
      </vt:variant>
      <vt:variant>
        <vt:i4>0</vt:i4>
      </vt:variant>
      <vt:variant>
        <vt:i4>5</vt:i4>
      </vt:variant>
      <vt:variant>
        <vt:lpwstr>http://www.3gpp.org/ftp/tsg_ran/wg2_rl2/tsgr2_109bis_e/docs/R2-2002686.zip</vt:lpwstr>
      </vt:variant>
      <vt:variant>
        <vt:lpwstr/>
      </vt:variant>
      <vt:variant>
        <vt:i4>5374045</vt:i4>
      </vt:variant>
      <vt:variant>
        <vt:i4>45</vt:i4>
      </vt:variant>
      <vt:variant>
        <vt:i4>0</vt:i4>
      </vt:variant>
      <vt:variant>
        <vt:i4>5</vt:i4>
      </vt:variant>
      <vt:variant>
        <vt:lpwstr>http://www.3gpp.org/ftp/tsg_ran/wg2_rl2/tsgr2_109bis_e/docs/R2-2002685.zip</vt:lpwstr>
      </vt:variant>
      <vt:variant>
        <vt:lpwstr/>
      </vt:variant>
      <vt:variant>
        <vt:i4>6226013</vt:i4>
      </vt:variant>
      <vt:variant>
        <vt:i4>42</vt:i4>
      </vt:variant>
      <vt:variant>
        <vt:i4>0</vt:i4>
      </vt:variant>
      <vt:variant>
        <vt:i4>5</vt:i4>
      </vt:variant>
      <vt:variant>
        <vt:lpwstr>http://www.3gpp.org/ftp/tsg_ran/wg2_rl2/tsgr2_109bis_e/docs/R2-2002688.zip</vt:lpwstr>
      </vt:variant>
      <vt:variant>
        <vt:lpwstr/>
      </vt:variant>
      <vt:variant>
        <vt:i4>5242973</vt:i4>
      </vt:variant>
      <vt:variant>
        <vt:i4>39</vt:i4>
      </vt:variant>
      <vt:variant>
        <vt:i4>0</vt:i4>
      </vt:variant>
      <vt:variant>
        <vt:i4>5</vt:i4>
      </vt:variant>
      <vt:variant>
        <vt:lpwstr>http://www.3gpp.org/ftp/tsg_ran/wg2_rl2/tsgr2_109bis_e/docs/R2-2002687.zip</vt:lpwstr>
      </vt:variant>
      <vt:variant>
        <vt:lpwstr/>
      </vt:variant>
      <vt:variant>
        <vt:i4>5308509</vt:i4>
      </vt:variant>
      <vt:variant>
        <vt:i4>36</vt:i4>
      </vt:variant>
      <vt:variant>
        <vt:i4>0</vt:i4>
      </vt:variant>
      <vt:variant>
        <vt:i4>5</vt:i4>
      </vt:variant>
      <vt:variant>
        <vt:lpwstr>http://www.3gpp.org/ftp/tsg_ran/wg2_rl2/tsgr2_109bis_e/docs/R2-2002686.zip</vt:lpwstr>
      </vt:variant>
      <vt:variant>
        <vt:lpwstr/>
      </vt:variant>
      <vt:variant>
        <vt:i4>5374045</vt:i4>
      </vt:variant>
      <vt:variant>
        <vt:i4>33</vt:i4>
      </vt:variant>
      <vt:variant>
        <vt:i4>0</vt:i4>
      </vt:variant>
      <vt:variant>
        <vt:i4>5</vt:i4>
      </vt:variant>
      <vt:variant>
        <vt:lpwstr>http://www.3gpp.org/ftp/tsg_ran/wg2_rl2/tsgr2_109bis_e/docs/R2-2002685.zip</vt:lpwstr>
      </vt:variant>
      <vt:variant>
        <vt:lpwstr/>
      </vt:variant>
      <vt:variant>
        <vt:i4>6226013</vt:i4>
      </vt:variant>
      <vt:variant>
        <vt:i4>30</vt:i4>
      </vt:variant>
      <vt:variant>
        <vt:i4>0</vt:i4>
      </vt:variant>
      <vt:variant>
        <vt:i4>5</vt:i4>
      </vt:variant>
      <vt:variant>
        <vt:lpwstr>http://www.3gpp.org/ftp/tsg_ran/wg2_rl2/tsgr2_109bis_e/docs/R2-2002688.zip</vt:lpwstr>
      </vt:variant>
      <vt:variant>
        <vt:lpwstr/>
      </vt:variant>
      <vt:variant>
        <vt:i4>3342381</vt:i4>
      </vt:variant>
      <vt:variant>
        <vt:i4>27</vt:i4>
      </vt:variant>
      <vt:variant>
        <vt:i4>0</vt:i4>
      </vt:variant>
      <vt:variant>
        <vt:i4>5</vt:i4>
      </vt:variant>
      <vt:variant>
        <vt:lpwstr>https://www.3gpp.org/ftp/tsg_ran/WG4_Radio/TSGR4_94_eBis/Docs/R4-2005734.zip</vt:lpwstr>
      </vt:variant>
      <vt:variant>
        <vt:lpwstr/>
      </vt:variant>
      <vt:variant>
        <vt:i4>3342381</vt:i4>
      </vt:variant>
      <vt:variant>
        <vt:i4>24</vt:i4>
      </vt:variant>
      <vt:variant>
        <vt:i4>0</vt:i4>
      </vt:variant>
      <vt:variant>
        <vt:i4>5</vt:i4>
      </vt:variant>
      <vt:variant>
        <vt:lpwstr>https://www.3gpp.org/ftp/tsg_ran/WG4_Radio/TSGR4_94_eBis/Docs/R4-2005734.zip</vt:lpwstr>
      </vt:variant>
      <vt:variant>
        <vt:lpwstr/>
      </vt:variant>
      <vt:variant>
        <vt:i4>6225967</vt:i4>
      </vt:variant>
      <vt:variant>
        <vt:i4>21</vt:i4>
      </vt:variant>
      <vt:variant>
        <vt:i4>0</vt:i4>
      </vt:variant>
      <vt:variant>
        <vt:i4>5</vt:i4>
      </vt:variant>
      <vt:variant>
        <vt:lpwstr>http://www.3gpp.org/ftp/tsg_ran/WG2_RL2/TSGR2_109bis-e/Docs/R2-2002688.zip</vt:lpwstr>
      </vt:variant>
      <vt:variant>
        <vt:lpwstr/>
      </vt:variant>
      <vt:variant>
        <vt:i4>5242927</vt:i4>
      </vt:variant>
      <vt:variant>
        <vt:i4>18</vt:i4>
      </vt:variant>
      <vt:variant>
        <vt:i4>0</vt:i4>
      </vt:variant>
      <vt:variant>
        <vt:i4>5</vt:i4>
      </vt:variant>
      <vt:variant>
        <vt:lpwstr>http://www.3gpp.org/ftp/tsg_ran/WG2_RL2/TSGR2_109bis-e/Docs/R2-2002687.zip</vt:lpwstr>
      </vt:variant>
      <vt:variant>
        <vt:lpwstr/>
      </vt:variant>
      <vt:variant>
        <vt:i4>5308463</vt:i4>
      </vt:variant>
      <vt:variant>
        <vt:i4>15</vt:i4>
      </vt:variant>
      <vt:variant>
        <vt:i4>0</vt:i4>
      </vt:variant>
      <vt:variant>
        <vt:i4>5</vt:i4>
      </vt:variant>
      <vt:variant>
        <vt:lpwstr>http://www.3gpp.org/ftp/tsg_ran/WG2_RL2/TSGR2_109bis-e/Docs/R2-2002686.zip</vt:lpwstr>
      </vt:variant>
      <vt:variant>
        <vt:lpwstr/>
      </vt:variant>
      <vt:variant>
        <vt:i4>5373999</vt:i4>
      </vt:variant>
      <vt:variant>
        <vt:i4>12</vt:i4>
      </vt:variant>
      <vt:variant>
        <vt:i4>0</vt:i4>
      </vt:variant>
      <vt:variant>
        <vt:i4>5</vt:i4>
      </vt:variant>
      <vt:variant>
        <vt:lpwstr>http://www.3gpp.org/ftp/tsg_ran/WG2_RL2/TSGR2_109bis-e/Docs/R2-2002685.zip</vt:lpwstr>
      </vt:variant>
      <vt:variant>
        <vt:lpwstr/>
      </vt:variant>
      <vt:variant>
        <vt:i4>5439535</vt:i4>
      </vt:variant>
      <vt:variant>
        <vt:i4>9</vt:i4>
      </vt:variant>
      <vt:variant>
        <vt:i4>0</vt:i4>
      </vt:variant>
      <vt:variant>
        <vt:i4>5</vt:i4>
      </vt:variant>
      <vt:variant>
        <vt:lpwstr>http://www.3gpp.org/ftp/tsg_ran/WG2_RL2/TSGR2_109bis-e/Docs/R2-2002684.zip</vt:lpwstr>
      </vt:variant>
      <vt:variant>
        <vt:lpwstr/>
      </vt:variant>
      <vt:variant>
        <vt:i4>5832741</vt:i4>
      </vt:variant>
      <vt:variant>
        <vt:i4>6</vt:i4>
      </vt:variant>
      <vt:variant>
        <vt:i4>0</vt:i4>
      </vt:variant>
      <vt:variant>
        <vt:i4>5</vt:i4>
      </vt:variant>
      <vt:variant>
        <vt:lpwstr>http://www.3gpp.org/ftp/tsg_ran/WG2_RL2/TSGR2_109bis-e/Docs/R2-2002820.zip</vt:lpwstr>
      </vt:variant>
      <vt:variant>
        <vt:lpwstr/>
      </vt:variant>
      <vt:variant>
        <vt:i4>5242916</vt:i4>
      </vt:variant>
      <vt:variant>
        <vt:i4>3</vt:i4>
      </vt:variant>
      <vt:variant>
        <vt:i4>0</vt:i4>
      </vt:variant>
      <vt:variant>
        <vt:i4>5</vt:i4>
      </vt:variant>
      <vt:variant>
        <vt:lpwstr>http://www.3gpp.org/ftp/tsg_ran/WG2_RL2/TSGR2_109bis-e/Docs/R2-2002534.zip</vt:lpwstr>
      </vt:variant>
      <vt:variant>
        <vt:lpwstr/>
      </vt:variant>
      <vt:variant>
        <vt:i4>5439525</vt:i4>
      </vt:variant>
      <vt:variant>
        <vt:i4>0</vt:i4>
      </vt:variant>
      <vt:variant>
        <vt:i4>0</vt:i4>
      </vt:variant>
      <vt:variant>
        <vt:i4>5</vt:i4>
      </vt:variant>
      <vt:variant>
        <vt:lpwstr>http://www.3gpp.org/ftp/tsg_ran/WG2_RL2/TSGR2_109bis-e/Docs/R2-2002527.zip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cp:keywords>
  <dc:description/>
  <cp:lastModifiedBy>Nokia, Nokia Shanghai Bell</cp:lastModifiedBy>
  <cp:revision>76</cp:revision>
  <cp:lastPrinted>2013-03-23T16:57:00Z</cp:lastPrinted>
  <dcterms:created xsi:type="dcterms:W3CDTF">2020-05-21T07:29:00Z</dcterms:created>
  <dcterms:modified xsi:type="dcterms:W3CDTF">2020-08-07T05:02:00Z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beabf4aa-105e-4580-b140-77406648776e</vt:lpwstr>
  </property>
  <property fmtid="{D5CDD505-2E9C-101B-9397-08002B2CF9AE}" pid="4" name="_dlc_DocId">
    <vt:lpwstr>5AIRPNAIUNRU-859666464-6309</vt:lpwstr>
  </property>
  <property fmtid="{D5CDD505-2E9C-101B-9397-08002B2CF9AE}" pid="5" name="_dlc_DocIdUrl">
    <vt:lpwstr>https://nokia.sharepoint.com/sites/c5g/e2earch/_layouts/15/DocIdRedir.aspx?ID=5AIRPNAIUNRU-859666464-6309, 5AIRPNAIUNRU-859666464-6309</vt:lpwstr>
  </property>
</Properties>
</file>