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59BD1D55"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w:t>
      </w:r>
      <w:r w:rsidR="00B87FD6">
        <w:rPr>
          <w:rFonts w:ascii="Arial" w:hAnsi="Arial" w:cs="Arial"/>
          <w:b/>
          <w:sz w:val="24"/>
          <w:lang w:val="en-US"/>
        </w:rPr>
        <w:t>GPP TSG RAN WG2 Meeting #10</w:t>
      </w:r>
      <w:r w:rsidR="00684E6A">
        <w:rPr>
          <w:rFonts w:ascii="Arial" w:hAnsi="Arial" w:cs="Arial"/>
          <w:b/>
          <w:sz w:val="24"/>
          <w:lang w:val="en-US"/>
        </w:rPr>
        <w:t>9</w:t>
      </w:r>
      <w:r w:rsidR="00465A09">
        <w:rPr>
          <w:rFonts w:ascii="Arial" w:hAnsi="Arial" w:cs="Arial"/>
          <w:b/>
          <w:sz w:val="24"/>
          <w:lang w:val="en-US"/>
        </w:rPr>
        <w:t>e</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371090">
        <w:rPr>
          <w:rFonts w:ascii="Arial" w:hAnsi="Arial" w:cs="Arial"/>
          <w:b/>
          <w:sz w:val="24"/>
        </w:rPr>
        <w:t>R2-</w:t>
      </w:r>
      <w:r w:rsidR="00277D72">
        <w:rPr>
          <w:rFonts w:ascii="Arial" w:hAnsi="Arial" w:cs="Arial"/>
          <w:b/>
          <w:sz w:val="24"/>
        </w:rPr>
        <w:t>2001170</w:t>
      </w:r>
    </w:p>
    <w:p w14:paraId="71DCD6A9" w14:textId="57C2692F" w:rsidR="00700715" w:rsidRPr="00FC7BBB" w:rsidRDefault="00465A09" w:rsidP="00700715">
      <w:pPr>
        <w:spacing w:after="0"/>
        <w:rPr>
          <w:rFonts w:ascii="Arial" w:hAnsi="Arial" w:cs="Arial"/>
          <w:b/>
          <w:sz w:val="24"/>
        </w:rPr>
      </w:pPr>
      <w:r>
        <w:rPr>
          <w:rFonts w:ascii="Arial" w:hAnsi="Arial" w:cs="Arial"/>
          <w:b/>
          <w:sz w:val="24"/>
          <w:lang w:val="en-US"/>
        </w:rPr>
        <w:t>E-Meeting</w:t>
      </w:r>
      <w:r w:rsidR="00371090">
        <w:rPr>
          <w:rFonts w:ascii="Arial" w:hAnsi="Arial" w:cs="Arial"/>
          <w:b/>
          <w:sz w:val="24"/>
          <w:lang w:val="en-US"/>
        </w:rPr>
        <w:t xml:space="preserve">, </w:t>
      </w:r>
      <w:r w:rsidR="00B87FD6">
        <w:rPr>
          <w:rFonts w:ascii="Arial" w:hAnsi="Arial" w:cs="Arial"/>
          <w:b/>
          <w:sz w:val="24"/>
          <w:lang w:val="en-US"/>
        </w:rPr>
        <w:t>2</w:t>
      </w:r>
      <w:r w:rsidR="00684E6A">
        <w:rPr>
          <w:rFonts w:ascii="Arial" w:hAnsi="Arial" w:cs="Arial"/>
          <w:b/>
          <w:sz w:val="24"/>
          <w:lang w:val="en-US"/>
        </w:rPr>
        <w:t>4</w:t>
      </w:r>
      <w:r w:rsidR="00B87FD6">
        <w:rPr>
          <w:rFonts w:ascii="Arial" w:hAnsi="Arial" w:cs="Arial"/>
          <w:b/>
          <w:sz w:val="24"/>
          <w:lang w:val="en-US"/>
        </w:rPr>
        <w:t xml:space="preserve"> </w:t>
      </w:r>
      <w:r w:rsidR="00684E6A">
        <w:rPr>
          <w:rFonts w:ascii="Arial" w:hAnsi="Arial" w:cs="Arial"/>
          <w:b/>
          <w:sz w:val="24"/>
          <w:lang w:val="en-US"/>
        </w:rPr>
        <w:t>February</w:t>
      </w:r>
      <w:r>
        <w:rPr>
          <w:rFonts w:ascii="Arial" w:hAnsi="Arial" w:cs="Arial"/>
          <w:b/>
          <w:sz w:val="24"/>
          <w:lang w:val="en-US"/>
        </w:rPr>
        <w:t xml:space="preserve"> – 6 March</w:t>
      </w:r>
      <w:r w:rsidR="00371090">
        <w:rPr>
          <w:rFonts w:ascii="Arial" w:hAnsi="Arial" w:cs="Arial"/>
          <w:b/>
          <w:sz w:val="24"/>
          <w:lang w:val="en-US"/>
        </w:rPr>
        <w:t>,</w:t>
      </w:r>
      <w:r w:rsidR="00700715">
        <w:rPr>
          <w:rFonts w:ascii="Arial" w:hAnsi="Arial" w:cs="Arial"/>
          <w:b/>
          <w:sz w:val="24"/>
          <w:lang w:val="en-US"/>
        </w:rPr>
        <w:t xml:space="preserve"> 20</w:t>
      </w:r>
      <w:r w:rsidR="00955C19">
        <w:rPr>
          <w:rFonts w:ascii="Arial" w:hAnsi="Arial" w:cs="Arial"/>
          <w:b/>
          <w:sz w:val="24"/>
          <w:lang w:val="en-US"/>
        </w:rPr>
        <w:t>20</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283FAC83"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890198">
        <w:rPr>
          <w:rFonts w:ascii="Arial" w:hAnsi="Arial" w:cs="Arial"/>
          <w:b/>
          <w:bCs/>
          <w:sz w:val="24"/>
          <w:lang w:val="en-US"/>
        </w:rPr>
        <w:t>6.18.2</w:t>
      </w:r>
      <w:bookmarkStart w:id="1" w:name="_GoBack"/>
      <w:bookmarkEnd w:id="1"/>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2229ED25" w:rsidR="00700715" w:rsidRPr="00700715" w:rsidRDefault="00700715" w:rsidP="7E4D301A">
      <w:pPr>
        <w:pStyle w:val="Header"/>
        <w:widowControl w:val="0"/>
        <w:tabs>
          <w:tab w:val="clear" w:pos="4536"/>
          <w:tab w:val="clear" w:pos="9072"/>
        </w:tabs>
        <w:spacing w:after="0"/>
        <w:ind w:left="2160" w:right="-57" w:hanging="2160"/>
        <w:rPr>
          <w:rFonts w:ascii="Arial" w:hAnsi="Arial" w:cs="Arial"/>
          <w:b/>
          <w:bCs/>
          <w:sz w:val="24"/>
          <w:lang w:val="en-US"/>
        </w:rPr>
      </w:pPr>
      <w:r w:rsidRPr="7E4D301A">
        <w:rPr>
          <w:rFonts w:ascii="Arial" w:hAnsi="Arial" w:cs="Arial"/>
          <w:b/>
          <w:bCs/>
          <w:sz w:val="24"/>
          <w:lang w:val="en-US"/>
        </w:rPr>
        <w:t>Title:</w:t>
      </w:r>
      <w:r w:rsidRPr="0099619E">
        <w:rPr>
          <w:rFonts w:ascii="Arial" w:hAnsi="Arial" w:cs="Arial"/>
          <w:b/>
          <w:bCs/>
          <w:sz w:val="24"/>
          <w:lang w:val="en-US"/>
        </w:rPr>
        <w:tab/>
      </w:r>
      <w:r w:rsidR="2426FC9B" w:rsidRPr="7E4D301A">
        <w:rPr>
          <w:rFonts w:ascii="Arial" w:hAnsi="Arial" w:cs="Arial"/>
          <w:b/>
          <w:bCs/>
          <w:sz w:val="24"/>
          <w:lang w:val="en-US"/>
        </w:rPr>
        <w:t xml:space="preserve">Remaining </w:t>
      </w:r>
      <w:r w:rsidR="0078704A" w:rsidRPr="7E4D301A">
        <w:rPr>
          <w:rFonts w:ascii="Arial" w:hAnsi="Arial" w:cs="Arial"/>
          <w:b/>
          <w:bCs/>
          <w:sz w:val="24"/>
          <w:lang w:val="en-US"/>
        </w:rPr>
        <w:t>mobility</w:t>
      </w:r>
      <w:r w:rsidR="000329F5" w:rsidRPr="7E4D301A">
        <w:rPr>
          <w:rFonts w:ascii="Arial" w:hAnsi="Arial" w:cs="Arial"/>
          <w:b/>
          <w:bCs/>
          <w:sz w:val="24"/>
          <w:lang w:val="en-US"/>
        </w:rPr>
        <w:t xml:space="preserve"> issue</w:t>
      </w:r>
      <w:r w:rsidR="7F27C59D" w:rsidRPr="7E4D301A">
        <w:rPr>
          <w:rFonts w:ascii="Arial" w:hAnsi="Arial" w:cs="Arial"/>
          <w:b/>
          <w:bCs/>
          <w:sz w:val="24"/>
          <w:lang w:val="en-US"/>
        </w:rPr>
        <w:t>s</w:t>
      </w:r>
      <w:r w:rsidR="00623CA3" w:rsidRPr="7E4D301A">
        <w:rPr>
          <w:rFonts w:ascii="Arial" w:hAnsi="Arial" w:cs="Arial"/>
          <w:b/>
          <w:bCs/>
          <w:sz w:val="24"/>
          <w:lang w:val="en-US"/>
        </w:rPr>
        <w:t xml:space="preserve"> for SNPN and CAG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317C5635" w14:textId="4E3DE0F4" w:rsidR="00684E6A" w:rsidRDefault="00684E6A" w:rsidP="00684E6A">
      <w:r>
        <w:t>In this contribution, the remaining issue</w:t>
      </w:r>
      <w:r w:rsidR="0068419E">
        <w:t>s</w:t>
      </w:r>
      <w:r>
        <w:t xml:space="preserve"> for idle mode and connected mode mobility for the SNPN and PNI-NPN are discussed and the way forward is proposed.</w:t>
      </w:r>
    </w:p>
    <w:p w14:paraId="6988593C" w14:textId="5437EC8A" w:rsidR="003F6588" w:rsidRPr="003F6588" w:rsidRDefault="00201426" w:rsidP="00583CC0">
      <w:pPr>
        <w:pStyle w:val="Heading1"/>
      </w:pPr>
      <w:r w:rsidRPr="00583CC0">
        <w:t>Discussion</w:t>
      </w:r>
    </w:p>
    <w:p w14:paraId="7941D3B3" w14:textId="77777777" w:rsidR="00684E6A" w:rsidRDefault="00684E6A" w:rsidP="00684E6A">
      <w:pPr>
        <w:pStyle w:val="Heading2"/>
      </w:pPr>
      <w:r>
        <w:t>Cell restriction due to RAN sharing</w:t>
      </w:r>
    </w:p>
    <w:p w14:paraId="052D517D" w14:textId="77777777" w:rsidR="00834F79" w:rsidRDefault="00834F79" w:rsidP="00834F79">
      <w:pPr>
        <w:pStyle w:val="B1"/>
        <w:ind w:left="0" w:firstLine="0"/>
        <w:rPr>
          <w:lang w:val="en-GB"/>
        </w:rPr>
      </w:pPr>
      <w:r>
        <w:rPr>
          <w:lang w:val="en-GB"/>
        </w:rPr>
        <w:t xml:space="preserve">Currently in Rel-15 NR, if the intra-frequency cell or inter-frequency cell is not suitable due to network identification issue (i.e. PLMN does not match the registered PLMN), not only the concerned cell is not considered as a candidate for cell reselection but also other cells in the same frequency of the concerned cell.   </w:t>
      </w:r>
    </w:p>
    <w:p w14:paraId="6FECECD6" w14:textId="77777777" w:rsidR="00834F79" w:rsidRDefault="00834F79" w:rsidP="00834F79">
      <w:pPr>
        <w:pStyle w:val="B1"/>
        <w:ind w:left="720" w:firstLine="0"/>
        <w:rPr>
          <w:i/>
        </w:rPr>
      </w:pPr>
      <w:r w:rsidRPr="00456444">
        <w:rPr>
          <w:i/>
        </w:rPr>
        <w:t>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w:t>
      </w:r>
      <w:r>
        <w:rPr>
          <w:i/>
        </w:rPr>
        <w:t xml:space="preserve"> </w:t>
      </w:r>
    </w:p>
    <w:p w14:paraId="1C9FB7D2" w14:textId="6933CB51" w:rsidR="00684E6A" w:rsidRPr="00456444" w:rsidRDefault="00834F79" w:rsidP="00834F79">
      <w:pPr>
        <w:pStyle w:val="B1"/>
        <w:ind w:left="0" w:firstLine="0"/>
        <w:rPr>
          <w:i/>
          <w:lang w:val="en-GB"/>
        </w:rPr>
      </w:pPr>
      <w:r>
        <w:rPr>
          <w:lang w:val="en-GB"/>
        </w:rPr>
        <w:t xml:space="preserve">In the email discussion, it is assumed that this can be extended to SNPN UE as well, pending discussion on whether the restriction to other cells should be relaxed.  </w:t>
      </w:r>
      <w:r w:rsidR="00684E6A">
        <w:rPr>
          <w:lang w:val="en-GB"/>
        </w:rPr>
        <w:t xml:space="preserve">If the SNPN/CAG cell can be in the same frequency as other SNPN/CAG cell with different CAG ID and also PLMN cells, particularly in the RAN sharing case, the existing cell restriction rule </w:t>
      </w:r>
      <w:r w:rsidR="0068419E">
        <w:rPr>
          <w:lang w:val="en-GB"/>
        </w:rPr>
        <w:t>may be too restricted</w:t>
      </w:r>
      <w:r w:rsidR="00684E6A">
        <w:rPr>
          <w:lang w:val="en-GB"/>
        </w:rPr>
        <w:t xml:space="preserve">.  </w:t>
      </w:r>
    </w:p>
    <w:p w14:paraId="52C4B0C2" w14:textId="35092DFE" w:rsidR="00E11267" w:rsidRDefault="00E51C1C" w:rsidP="00684E6A">
      <w:pPr>
        <w:pStyle w:val="B1"/>
        <w:ind w:left="0" w:firstLine="0"/>
        <w:rPr>
          <w:lang w:val="en-GB"/>
        </w:rPr>
      </w:pPr>
      <w:r w:rsidRPr="18023F4B">
        <w:rPr>
          <w:lang w:val="en-GB"/>
        </w:rPr>
        <w:t>For PLMN only network, the above makes sense since it is quite unlikely the UE will find another cell of the registered PLMN in the frequency in the next 300s except in some corner cases where the UE ping-pong between country border.  In the case of NPN and with RAN sharing among PLMN, SNPN and CAG network in a frequency, it is quite likely that the</w:t>
      </w:r>
      <w:r w:rsidR="00E11267" w:rsidRPr="18023F4B">
        <w:rPr>
          <w:lang w:val="en-GB"/>
        </w:rPr>
        <w:t xml:space="preserve"> NPN coverage</w:t>
      </w:r>
      <w:r w:rsidRPr="18023F4B">
        <w:rPr>
          <w:lang w:val="en-GB"/>
        </w:rPr>
        <w:t xml:space="preserve"> occurs in a small area (e.g. a factory floor or a residential compound etc.) and the NPN UE may move in and out of the NPN coverage quite frequently</w:t>
      </w:r>
      <w:r w:rsidR="00E11267" w:rsidRPr="18023F4B">
        <w:rPr>
          <w:lang w:val="en-GB"/>
        </w:rPr>
        <w:t xml:space="preserve"> to/from normal PLMN coverage in the same frequency</w:t>
      </w:r>
      <w:r w:rsidRPr="18023F4B">
        <w:rPr>
          <w:lang w:val="en-GB"/>
        </w:rPr>
        <w:t xml:space="preserve">.  </w:t>
      </w:r>
      <w:r w:rsidR="00E11267" w:rsidRPr="18023F4B">
        <w:rPr>
          <w:lang w:val="en-GB"/>
        </w:rPr>
        <w:t xml:space="preserve">The following </w:t>
      </w:r>
      <w:r w:rsidR="00BE546F" w:rsidRPr="18023F4B">
        <w:rPr>
          <w:lang w:val="en-GB"/>
        </w:rPr>
        <w:t>are some</w:t>
      </w:r>
      <w:r w:rsidR="00E11267" w:rsidRPr="18023F4B">
        <w:rPr>
          <w:lang w:val="en-GB"/>
        </w:rPr>
        <w:t xml:space="preserve"> such scenario</w:t>
      </w:r>
      <w:r w:rsidR="00C26689" w:rsidRPr="18023F4B">
        <w:rPr>
          <w:lang w:val="en-GB"/>
        </w:rPr>
        <w:t>s</w:t>
      </w:r>
      <w:r w:rsidR="005269C9">
        <w:rPr>
          <w:lang w:val="en-GB"/>
        </w:rPr>
        <w:t xml:space="preserve"> in Figure (i) and (ii)</w:t>
      </w:r>
      <w:r w:rsidR="00C26689" w:rsidRPr="18023F4B">
        <w:rPr>
          <w:lang w:val="en-GB"/>
        </w:rPr>
        <w:t xml:space="preserve">: </w:t>
      </w:r>
    </w:p>
    <w:p w14:paraId="1AE788FB" w14:textId="53289F0D" w:rsidR="00D666AF" w:rsidRDefault="00014FE8" w:rsidP="00D666AF">
      <w:pPr>
        <w:pStyle w:val="B1"/>
        <w:ind w:left="0" w:firstLine="0"/>
        <w:jc w:val="center"/>
      </w:pPr>
      <w:r>
        <w:object w:dxaOrig="6031" w:dyaOrig="4351" w14:anchorId="0E5F5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5pt;height:174pt" o:ole="">
            <v:imagedata r:id="rId11" o:title=""/>
          </v:shape>
          <o:OLEObject Type="Embed" ProgID="Visio.Drawing.15" ShapeID="_x0000_i1025" DrawAspect="Content" ObjectID="_1643135164" r:id="rId12"/>
        </w:object>
      </w:r>
    </w:p>
    <w:p w14:paraId="066F7268" w14:textId="3E52FC2C" w:rsidR="00D666AF" w:rsidRPr="00D666AF" w:rsidRDefault="00D666AF" w:rsidP="00D666AF">
      <w:pPr>
        <w:pStyle w:val="B1"/>
        <w:ind w:left="0" w:firstLine="0"/>
        <w:jc w:val="center"/>
      </w:pPr>
      <w:r w:rsidRPr="18023F4B">
        <w:rPr>
          <w:lang w:val="en-GB"/>
        </w:rPr>
        <w:t xml:space="preserve">Figure (i) </w:t>
      </w:r>
      <w:r w:rsidR="006E224E">
        <w:rPr>
          <w:lang w:val="en-GB"/>
        </w:rPr>
        <w:t>A cell</w:t>
      </w:r>
      <w:r w:rsidRPr="18023F4B">
        <w:rPr>
          <w:lang w:val="en-GB"/>
        </w:rPr>
        <w:t xml:space="preserve"> broadcast PLMN#2, CAG+PLMN#1 and SNPN#A and another cell in the same frequency broadcasting only PLMN#2</w:t>
      </w:r>
      <w:r w:rsidR="006E224E">
        <w:rPr>
          <w:lang w:val="en-GB"/>
        </w:rPr>
        <w:t xml:space="preserve">; </w:t>
      </w:r>
      <w:r w:rsidR="00D37A0F">
        <w:rPr>
          <w:lang w:val="en-GB"/>
        </w:rPr>
        <w:t xml:space="preserve">A </w:t>
      </w:r>
      <w:r w:rsidR="006E224E" w:rsidRPr="18023F4B">
        <w:rPr>
          <w:lang w:val="en-GB"/>
        </w:rPr>
        <w:t xml:space="preserve">UE registered with SNPN#A or PLMN#1 with CAG selected moves between </w:t>
      </w:r>
      <w:r w:rsidR="00D37A0F">
        <w:rPr>
          <w:lang w:val="en-GB"/>
        </w:rPr>
        <w:t>the 2</w:t>
      </w:r>
      <w:r w:rsidR="006E224E" w:rsidRPr="18023F4B">
        <w:rPr>
          <w:lang w:val="en-GB"/>
        </w:rPr>
        <w:t xml:space="preserve"> cell</w:t>
      </w:r>
      <w:r w:rsidR="00D37A0F">
        <w:rPr>
          <w:lang w:val="en-GB"/>
        </w:rPr>
        <w:t>s</w:t>
      </w:r>
      <w:r w:rsidRPr="18023F4B">
        <w:rPr>
          <w:lang w:val="en-GB"/>
        </w:rPr>
        <w:t>;</w:t>
      </w:r>
    </w:p>
    <w:p w14:paraId="1C862CE6" w14:textId="12D3E561" w:rsidR="00E11267" w:rsidRDefault="00255EB3" w:rsidP="00570734">
      <w:pPr>
        <w:pStyle w:val="B1"/>
        <w:ind w:left="0" w:firstLine="0"/>
        <w:jc w:val="center"/>
        <w:rPr>
          <w:lang w:val="en-GB"/>
        </w:rPr>
      </w:pPr>
      <w:r>
        <w:object w:dxaOrig="4200" w:dyaOrig="3361" w14:anchorId="03C31B83">
          <v:shape id="_x0000_i1026" type="#_x0000_t75" style="width:210pt;height:167.5pt" o:ole="">
            <v:imagedata r:id="rId13" o:title=""/>
          </v:shape>
          <o:OLEObject Type="Embed" ProgID="Visio.Drawing.15" ShapeID="_x0000_i1026" DrawAspect="Content" ObjectID="_1643135165" r:id="rId14"/>
        </w:object>
      </w:r>
    </w:p>
    <w:p w14:paraId="32D827EC" w14:textId="1E655493" w:rsidR="00C26689" w:rsidRDefault="005269C9" w:rsidP="005269C9">
      <w:pPr>
        <w:pStyle w:val="B1"/>
        <w:ind w:left="0" w:firstLine="0"/>
        <w:jc w:val="center"/>
        <w:rPr>
          <w:lang w:val="en-GB"/>
        </w:rPr>
      </w:pPr>
      <w:r w:rsidRPr="18023F4B">
        <w:rPr>
          <w:lang w:val="en-GB"/>
        </w:rPr>
        <w:t xml:space="preserve">Figure (ii) </w:t>
      </w:r>
      <w:r w:rsidR="00D37A0F">
        <w:rPr>
          <w:lang w:val="en-GB"/>
        </w:rPr>
        <w:t>A cell</w:t>
      </w:r>
      <w:r w:rsidRPr="18023F4B">
        <w:rPr>
          <w:lang w:val="en-GB"/>
        </w:rPr>
        <w:t xml:space="preserve"> broadcast CAG#C+PLMN#1 and SNPN#A and another cell in the same frequency broadcasting CAG#D+PLMN#1 and SNPN#B</w:t>
      </w:r>
      <w:r w:rsidR="00D37A0F">
        <w:rPr>
          <w:lang w:val="en-GB"/>
        </w:rPr>
        <w:t xml:space="preserve">; A </w:t>
      </w:r>
      <w:r w:rsidR="00D37A0F" w:rsidRPr="18023F4B">
        <w:rPr>
          <w:lang w:val="en-GB"/>
        </w:rPr>
        <w:t>UE registered with SNPN#A or PLMN#1 with CAG#C selected moves between a cell</w:t>
      </w:r>
    </w:p>
    <w:p w14:paraId="7E660FDD" w14:textId="77777777" w:rsidR="00190B1C" w:rsidRDefault="00E51C1C" w:rsidP="00684E6A">
      <w:pPr>
        <w:pStyle w:val="B1"/>
        <w:ind w:left="0" w:firstLine="0"/>
        <w:rPr>
          <w:lang w:val="en-GB"/>
        </w:rPr>
      </w:pPr>
      <w:r w:rsidRPr="18023F4B">
        <w:rPr>
          <w:lang w:val="en-GB"/>
        </w:rPr>
        <w:t xml:space="preserve">Hence it seems </w:t>
      </w:r>
      <w:r w:rsidR="00684E6A" w:rsidRPr="18023F4B">
        <w:rPr>
          <w:lang w:val="en-GB"/>
        </w:rPr>
        <w:t xml:space="preserve">this </w:t>
      </w:r>
      <w:r w:rsidRPr="18023F4B">
        <w:rPr>
          <w:lang w:val="en-GB"/>
        </w:rPr>
        <w:t>restriction</w:t>
      </w:r>
      <w:r w:rsidR="000C67F4" w:rsidRPr="18023F4B">
        <w:rPr>
          <w:lang w:val="en-GB"/>
        </w:rPr>
        <w:t xml:space="preserve"> </w:t>
      </w:r>
      <w:r w:rsidR="2B09317A" w:rsidRPr="18023F4B">
        <w:rPr>
          <w:lang w:val="en-GB"/>
        </w:rPr>
        <w:t xml:space="preserve">in the current specification </w:t>
      </w:r>
      <w:r w:rsidR="00684E6A" w:rsidRPr="18023F4B">
        <w:rPr>
          <w:lang w:val="en-GB"/>
        </w:rPr>
        <w:t xml:space="preserve">needs to change such that only the concerned cell </w:t>
      </w:r>
      <w:r w:rsidR="00F651D0">
        <w:rPr>
          <w:lang w:val="en-GB"/>
        </w:rPr>
        <w:t xml:space="preserve">(i.e. </w:t>
      </w:r>
      <w:r w:rsidR="006636BC">
        <w:rPr>
          <w:lang w:val="en-GB"/>
        </w:rPr>
        <w:t xml:space="preserve">not broadcasting the registered or selected PLMN or E-PLMN or </w:t>
      </w:r>
      <w:r w:rsidR="00F651D0">
        <w:rPr>
          <w:lang w:val="en-GB"/>
        </w:rPr>
        <w:t>registered or selected SNPN</w:t>
      </w:r>
      <w:r w:rsidR="00684E6A" w:rsidRPr="18023F4B">
        <w:rPr>
          <w:lang w:val="en-GB"/>
        </w:rPr>
        <w:t xml:space="preserve"> </w:t>
      </w:r>
      <w:r w:rsidR="00F651D0">
        <w:rPr>
          <w:lang w:val="en-GB"/>
        </w:rPr>
        <w:t>)</w:t>
      </w:r>
      <w:r w:rsidR="00684E6A" w:rsidRPr="18023F4B">
        <w:rPr>
          <w:lang w:val="en-GB"/>
        </w:rPr>
        <w:t xml:space="preserve">is </w:t>
      </w:r>
      <w:r w:rsidR="0068419E" w:rsidRPr="18023F4B">
        <w:rPr>
          <w:lang w:val="en-GB"/>
        </w:rPr>
        <w:t>not considered as candidate for cell reselection</w:t>
      </w:r>
      <w:r w:rsidR="00684E6A" w:rsidRPr="18023F4B">
        <w:rPr>
          <w:lang w:val="en-GB"/>
        </w:rPr>
        <w:t xml:space="preserve"> but other cells within the same frequency is</w:t>
      </w:r>
      <w:r w:rsidR="0068419E" w:rsidRPr="18023F4B">
        <w:rPr>
          <w:lang w:val="en-GB"/>
        </w:rPr>
        <w:t xml:space="preserve"> still considered as candidate for cell reselection</w:t>
      </w:r>
      <w:r w:rsidR="00684E6A" w:rsidRPr="18023F4B">
        <w:rPr>
          <w:lang w:val="en-GB"/>
        </w:rPr>
        <w:t xml:space="preserve">.  </w:t>
      </w:r>
    </w:p>
    <w:p w14:paraId="365BB54D" w14:textId="7281D9FC" w:rsidR="00684E6A" w:rsidRDefault="00684E6A" w:rsidP="00684E6A">
      <w:pPr>
        <w:pStyle w:val="B1"/>
        <w:ind w:left="0" w:firstLine="0"/>
        <w:rPr>
          <w:lang w:val="en-GB"/>
        </w:rPr>
      </w:pPr>
      <w:r w:rsidRPr="18023F4B">
        <w:rPr>
          <w:lang w:val="en-GB"/>
        </w:rPr>
        <w:t xml:space="preserve">TS36.304 </w:t>
      </w:r>
      <w:r w:rsidR="00190B1C">
        <w:rPr>
          <w:lang w:val="en-GB"/>
        </w:rPr>
        <w:t xml:space="preserve">addresses the case </w:t>
      </w:r>
      <w:r w:rsidRPr="18023F4B">
        <w:rPr>
          <w:lang w:val="en-GB"/>
        </w:rPr>
        <w:t>for CSG cell</w:t>
      </w:r>
      <w:r w:rsidR="00B00595">
        <w:rPr>
          <w:lang w:val="en-GB"/>
        </w:rPr>
        <w:t xml:space="preserve"> with the following text</w:t>
      </w:r>
      <w:r w:rsidRPr="18023F4B">
        <w:rPr>
          <w:lang w:val="en-GB"/>
        </w:rPr>
        <w:t>:</w:t>
      </w:r>
    </w:p>
    <w:p w14:paraId="774725C8" w14:textId="69E9F96E" w:rsidR="00684E6A" w:rsidRPr="000B0E1F" w:rsidRDefault="00684E6A" w:rsidP="00684E6A">
      <w:pPr>
        <w:ind w:left="720"/>
        <w:rPr>
          <w:rFonts w:ascii="Times New Roman" w:hAnsi="Times New Roman"/>
          <w:i/>
          <w:szCs w:val="20"/>
        </w:rPr>
      </w:pPr>
      <w:r w:rsidRPr="000B0E1F">
        <w:rPr>
          <w:i/>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2BF29AC7" w14:textId="03433B6C" w:rsidR="00B00595" w:rsidRDefault="00B00595" w:rsidP="00465A09">
      <w:pPr>
        <w:pStyle w:val="B1"/>
        <w:ind w:left="0" w:firstLine="0"/>
        <w:rPr>
          <w:lang w:val="en-GB"/>
        </w:rPr>
      </w:pPr>
      <w:r>
        <w:rPr>
          <w:lang w:val="en-GB"/>
        </w:rPr>
        <w:t xml:space="preserve">However, this </w:t>
      </w:r>
      <w:r w:rsidR="00D90D71">
        <w:rPr>
          <w:lang w:val="en-GB"/>
        </w:rPr>
        <w:t>is not sufficient</w:t>
      </w:r>
      <w:r w:rsidR="00590508">
        <w:rPr>
          <w:lang w:val="en-GB"/>
        </w:rPr>
        <w:t xml:space="preserve"> for</w:t>
      </w:r>
      <w:r>
        <w:rPr>
          <w:lang w:val="en-GB"/>
        </w:rPr>
        <w:t xml:space="preserve"> the NPN</w:t>
      </w:r>
      <w:r w:rsidR="00BA4DF7">
        <w:rPr>
          <w:lang w:val="en-GB"/>
        </w:rPr>
        <w:t xml:space="preserve"> </w:t>
      </w:r>
      <w:r w:rsidR="00590508">
        <w:rPr>
          <w:lang w:val="en-GB"/>
        </w:rPr>
        <w:t>in</w:t>
      </w:r>
      <w:r>
        <w:rPr>
          <w:lang w:val="en-GB"/>
        </w:rPr>
        <w:t xml:space="preserve"> </w:t>
      </w:r>
      <w:r w:rsidR="00DE303C">
        <w:rPr>
          <w:lang w:val="en-GB"/>
        </w:rPr>
        <w:t>the RAN sharing case</w:t>
      </w:r>
      <w:r w:rsidR="00845F46">
        <w:rPr>
          <w:lang w:val="en-GB"/>
        </w:rPr>
        <w:t xml:space="preserve"> where the deployment may be that SNPN and CAG cells are </w:t>
      </w:r>
      <w:r w:rsidR="00BA4DF7">
        <w:rPr>
          <w:lang w:val="en-GB"/>
        </w:rPr>
        <w:t xml:space="preserve">RAN </w:t>
      </w:r>
      <w:r w:rsidR="00845F46">
        <w:rPr>
          <w:lang w:val="en-GB"/>
        </w:rPr>
        <w:t>sharing</w:t>
      </w:r>
      <w:r w:rsidR="00BA4DF7">
        <w:rPr>
          <w:lang w:val="en-GB"/>
        </w:rPr>
        <w:t xml:space="preserve"> in the same frequency</w:t>
      </w:r>
      <w:r w:rsidR="00845F46">
        <w:rPr>
          <w:lang w:val="en-GB"/>
        </w:rPr>
        <w:t xml:space="preserve"> </w:t>
      </w:r>
      <w:r w:rsidR="00F23F4E">
        <w:rPr>
          <w:lang w:val="en-GB"/>
        </w:rPr>
        <w:t>with PLMN cells</w:t>
      </w:r>
    </w:p>
    <w:p w14:paraId="5D405CFE" w14:textId="1BE84FF0" w:rsidR="00867B6B" w:rsidRDefault="00B00595" w:rsidP="00465A09">
      <w:pPr>
        <w:pStyle w:val="B1"/>
        <w:ind w:left="0" w:firstLine="0"/>
        <w:rPr>
          <w:lang w:val="en-GB"/>
        </w:rPr>
      </w:pPr>
      <w:r w:rsidRPr="009A2321">
        <w:rPr>
          <w:b/>
          <w:bCs/>
          <w:lang w:val="en-GB"/>
        </w:rPr>
        <w:t>Observation</w:t>
      </w:r>
      <w:r w:rsidR="00730DC8" w:rsidRPr="009A2321">
        <w:rPr>
          <w:b/>
          <w:bCs/>
          <w:lang w:val="en-GB"/>
        </w:rPr>
        <w:t>#</w:t>
      </w:r>
      <w:r w:rsidR="00795A48" w:rsidRPr="009A2321">
        <w:rPr>
          <w:b/>
          <w:bCs/>
          <w:lang w:val="en-GB"/>
        </w:rPr>
        <w:t>1</w:t>
      </w:r>
      <w:r w:rsidRPr="009A2321">
        <w:rPr>
          <w:b/>
          <w:bCs/>
          <w:lang w:val="en-GB"/>
        </w:rPr>
        <w:t>:</w:t>
      </w:r>
      <w:r>
        <w:rPr>
          <w:lang w:val="en-GB"/>
        </w:rPr>
        <w:t xml:space="preserve"> </w:t>
      </w:r>
      <w:r w:rsidR="00E4781C" w:rsidRPr="18023F4B">
        <w:rPr>
          <w:lang w:val="en-GB"/>
        </w:rPr>
        <w:t xml:space="preserve">TS36.304 </w:t>
      </w:r>
      <w:r w:rsidR="00E4781C">
        <w:rPr>
          <w:lang w:val="en-GB"/>
        </w:rPr>
        <w:t xml:space="preserve">addressing the case </w:t>
      </w:r>
      <w:r w:rsidR="00E4781C" w:rsidRPr="18023F4B">
        <w:rPr>
          <w:lang w:val="en-GB"/>
        </w:rPr>
        <w:t>for CSG cell</w:t>
      </w:r>
      <w:r w:rsidR="00E4781C">
        <w:rPr>
          <w:lang w:val="en-GB"/>
        </w:rPr>
        <w:t xml:space="preserve"> </w:t>
      </w:r>
      <w:r>
        <w:rPr>
          <w:lang w:val="en-GB"/>
        </w:rPr>
        <w:t xml:space="preserve">is not </w:t>
      </w:r>
      <w:r w:rsidR="006A2647">
        <w:rPr>
          <w:lang w:val="en-GB"/>
        </w:rPr>
        <w:t>sufficient</w:t>
      </w:r>
      <w:r>
        <w:rPr>
          <w:lang w:val="en-GB"/>
        </w:rPr>
        <w:t xml:space="preserve"> for NPN</w:t>
      </w:r>
      <w:r w:rsidR="00FD78D8">
        <w:rPr>
          <w:lang w:val="en-GB"/>
        </w:rPr>
        <w:t xml:space="preserve"> in the RAN sharing case</w:t>
      </w:r>
      <w:r w:rsidR="006A2647" w:rsidRPr="006A2647">
        <w:rPr>
          <w:lang w:val="en-GB"/>
        </w:rPr>
        <w:t xml:space="preserve"> </w:t>
      </w:r>
      <w:r w:rsidR="006A2647">
        <w:rPr>
          <w:lang w:val="en-GB"/>
        </w:rPr>
        <w:t>where the deployment may be that SNPN and CAG cells are RAN sharing in the same frequency with PLMN cells</w:t>
      </w:r>
      <w:r>
        <w:rPr>
          <w:lang w:val="en-GB"/>
        </w:rPr>
        <w:t>.</w:t>
      </w:r>
    </w:p>
    <w:p w14:paraId="1B5C640E" w14:textId="3A4F7B8F" w:rsidR="00F67830" w:rsidRDefault="0058126C" w:rsidP="00465A09">
      <w:pPr>
        <w:pStyle w:val="B1"/>
        <w:ind w:left="0" w:firstLine="0"/>
        <w:rPr>
          <w:lang w:val="en-GB"/>
        </w:rPr>
      </w:pPr>
      <w:r>
        <w:rPr>
          <w:lang w:val="en-GB"/>
        </w:rPr>
        <w:t>A</w:t>
      </w:r>
      <w:r w:rsidR="004509B2">
        <w:rPr>
          <w:lang w:val="en-GB"/>
        </w:rPr>
        <w:t xml:space="preserve"> way to resolve </w:t>
      </w:r>
      <w:r w:rsidR="0002447C">
        <w:rPr>
          <w:lang w:val="en-GB"/>
        </w:rPr>
        <w:t>the NR NPN scenario</w:t>
      </w:r>
      <w:r w:rsidR="004509B2">
        <w:rPr>
          <w:lang w:val="en-GB"/>
        </w:rPr>
        <w:t xml:space="preserve"> is to allow the UE </w:t>
      </w:r>
      <w:r w:rsidR="002D4DF4">
        <w:rPr>
          <w:lang w:val="en-GB"/>
        </w:rPr>
        <w:t xml:space="preserve">operating in SNPN access mode or UE with non-empty allowed CAG list to </w:t>
      </w:r>
      <w:r w:rsidR="0015609C">
        <w:rPr>
          <w:lang w:val="en-GB"/>
        </w:rPr>
        <w:t>c</w:t>
      </w:r>
      <w:r w:rsidR="002F3D02">
        <w:rPr>
          <w:lang w:val="en-GB"/>
        </w:rPr>
        <w:t xml:space="preserve">ontinue </w:t>
      </w:r>
      <w:r w:rsidR="0053003D">
        <w:rPr>
          <w:lang w:val="en-GB"/>
        </w:rPr>
        <w:t>monitor</w:t>
      </w:r>
      <w:r w:rsidR="002F3D02">
        <w:rPr>
          <w:lang w:val="en-GB"/>
        </w:rPr>
        <w:t xml:space="preserve"> in the same frequency</w:t>
      </w:r>
      <w:r w:rsidR="003F28BC">
        <w:rPr>
          <w:lang w:val="en-GB"/>
        </w:rPr>
        <w:t xml:space="preserve"> for cell reselection</w:t>
      </w:r>
      <w:r w:rsidR="0000633E">
        <w:rPr>
          <w:lang w:val="en-GB"/>
        </w:rPr>
        <w:t xml:space="preserve"> in which it has found a cell not broadcasting its registered or selected SNPN or </w:t>
      </w:r>
      <w:r w:rsidR="00FD2457">
        <w:rPr>
          <w:lang w:val="en-GB"/>
        </w:rPr>
        <w:t>PLMN + CAG</w:t>
      </w:r>
      <w:r w:rsidR="00B76DCF">
        <w:rPr>
          <w:lang w:val="en-GB"/>
        </w:rPr>
        <w:t>, as in the CSG case</w:t>
      </w:r>
      <w:r w:rsidR="009E3ACD">
        <w:rPr>
          <w:lang w:val="en-GB"/>
        </w:rPr>
        <w:t xml:space="preserve">. But if </w:t>
      </w:r>
      <w:r w:rsidR="00394F43">
        <w:rPr>
          <w:lang w:val="en-GB"/>
        </w:rPr>
        <w:t>the frequency</w:t>
      </w:r>
      <w:r w:rsidR="009E3ACD">
        <w:rPr>
          <w:lang w:val="en-GB"/>
        </w:rPr>
        <w:t xml:space="preserve"> is not</w:t>
      </w:r>
      <w:r w:rsidR="00394F43">
        <w:rPr>
          <w:lang w:val="en-GB"/>
        </w:rPr>
        <w:t xml:space="preserve"> used</w:t>
      </w:r>
      <w:r w:rsidR="009E3ACD">
        <w:rPr>
          <w:lang w:val="en-GB"/>
        </w:rPr>
        <w:t xml:space="preserve"> a RAN sharing </w:t>
      </w:r>
      <w:r w:rsidR="008C13EB">
        <w:rPr>
          <w:lang w:val="en-GB"/>
        </w:rPr>
        <w:t xml:space="preserve">deployment, it will result </w:t>
      </w:r>
      <w:r w:rsidR="007F0D82">
        <w:rPr>
          <w:lang w:val="en-GB"/>
        </w:rPr>
        <w:t>in unnecessary measurement on that frequency</w:t>
      </w:r>
      <w:r w:rsidR="009A0EC7">
        <w:rPr>
          <w:lang w:val="en-GB"/>
        </w:rPr>
        <w:t xml:space="preserve">. </w:t>
      </w:r>
    </w:p>
    <w:p w14:paraId="72734017" w14:textId="45C0CEE9" w:rsidR="00F67830" w:rsidRDefault="00F67830" w:rsidP="00465A09">
      <w:pPr>
        <w:pStyle w:val="B1"/>
        <w:ind w:left="0" w:firstLine="0"/>
        <w:rPr>
          <w:lang w:val="en-GB"/>
        </w:rPr>
      </w:pPr>
      <w:r w:rsidRPr="00EB10A9">
        <w:rPr>
          <w:b/>
          <w:bCs/>
          <w:lang w:val="en-GB"/>
        </w:rPr>
        <w:t>Observation</w:t>
      </w:r>
      <w:r w:rsidR="000E7322" w:rsidRPr="00EB10A9">
        <w:rPr>
          <w:b/>
          <w:bCs/>
          <w:lang w:val="en-GB"/>
        </w:rPr>
        <w:t>#</w:t>
      </w:r>
      <w:r w:rsidR="00795A48">
        <w:rPr>
          <w:b/>
          <w:bCs/>
          <w:lang w:val="en-GB"/>
        </w:rPr>
        <w:t>2</w:t>
      </w:r>
      <w:r w:rsidR="000E7322" w:rsidRPr="00EB10A9">
        <w:rPr>
          <w:b/>
          <w:bCs/>
          <w:lang w:val="en-GB"/>
        </w:rPr>
        <w:t>:</w:t>
      </w:r>
      <w:r w:rsidR="000E7322">
        <w:rPr>
          <w:lang w:val="en-GB"/>
        </w:rPr>
        <w:t xml:space="preserve"> </w:t>
      </w:r>
      <w:r w:rsidR="001467F1">
        <w:rPr>
          <w:lang w:val="en-GB"/>
        </w:rPr>
        <w:t xml:space="preserve">If UE operating in SNPN access mode or UE with non-empty allowed CAG list </w:t>
      </w:r>
      <w:r w:rsidR="004A2CAA">
        <w:rPr>
          <w:lang w:val="en-GB"/>
        </w:rPr>
        <w:t xml:space="preserve">were </w:t>
      </w:r>
      <w:r w:rsidR="001467F1">
        <w:rPr>
          <w:lang w:val="en-GB"/>
        </w:rPr>
        <w:t>to continue monitor in the same frequency for cell reselection in which it has found a cell not broadcasting its registered or selected SNPN or PLMN + CAG, as in the CSG case</w:t>
      </w:r>
      <w:r w:rsidR="00940B12">
        <w:rPr>
          <w:lang w:val="en-GB"/>
        </w:rPr>
        <w:t xml:space="preserve">, it may result in unnecessary </w:t>
      </w:r>
      <w:r w:rsidR="008F00EC">
        <w:rPr>
          <w:lang w:val="en-GB"/>
        </w:rPr>
        <w:t>measurement on that frequency if</w:t>
      </w:r>
      <w:r w:rsidR="00394F43" w:rsidRPr="00394F43">
        <w:rPr>
          <w:lang w:val="en-GB"/>
        </w:rPr>
        <w:t xml:space="preserve"> </w:t>
      </w:r>
      <w:r w:rsidR="00394F43">
        <w:rPr>
          <w:lang w:val="en-GB"/>
        </w:rPr>
        <w:t>the frequency is not used a RAN sharing deployment</w:t>
      </w:r>
    </w:p>
    <w:p w14:paraId="3137F101" w14:textId="42773684" w:rsidR="007E7029" w:rsidRPr="00AB4A8B" w:rsidRDefault="009A0EC7" w:rsidP="00465A09">
      <w:pPr>
        <w:pStyle w:val="B1"/>
        <w:ind w:left="0" w:firstLine="0"/>
        <w:rPr>
          <w:lang w:val="en-GB"/>
        </w:rPr>
      </w:pPr>
      <w:r>
        <w:rPr>
          <w:lang w:val="en-GB"/>
        </w:rPr>
        <w:t>Alternatively, it is to leave it to the UE implementation</w:t>
      </w:r>
      <w:r w:rsidR="00D43599">
        <w:rPr>
          <w:lang w:val="en-GB"/>
        </w:rPr>
        <w:t xml:space="preserve"> for UE </w:t>
      </w:r>
      <w:r w:rsidR="00F0612E">
        <w:rPr>
          <w:lang w:val="en-GB"/>
        </w:rPr>
        <w:t>in SNPN access mode or UE with non-empty CAG allowed list</w:t>
      </w:r>
      <w:r w:rsidR="00BA7D91">
        <w:rPr>
          <w:lang w:val="en-GB"/>
        </w:rPr>
        <w:t xml:space="preserve"> to decide on whether to continue </w:t>
      </w:r>
      <w:r w:rsidR="003B00AB">
        <w:rPr>
          <w:lang w:val="en-GB"/>
        </w:rPr>
        <w:t>monitoring that frequency</w:t>
      </w:r>
      <w:r w:rsidR="00E44D00">
        <w:rPr>
          <w:lang w:val="en-GB"/>
        </w:rPr>
        <w:t xml:space="preserve"> (based o</w:t>
      </w:r>
      <w:r w:rsidR="00FD5BD1">
        <w:rPr>
          <w:lang w:val="en-GB"/>
        </w:rPr>
        <w:t>n its knowledge of whether the frequency is for RAN sharing)</w:t>
      </w:r>
      <w:r w:rsidR="00AB4A8B">
        <w:rPr>
          <w:lang w:val="en-GB"/>
        </w:rPr>
        <w:t>.  Hence it is proposed:</w:t>
      </w:r>
    </w:p>
    <w:p w14:paraId="49B9959A" w14:textId="49F5E0D3" w:rsidR="00684E6A" w:rsidRDefault="00834F79" w:rsidP="00465A09">
      <w:pPr>
        <w:pStyle w:val="B1"/>
        <w:ind w:left="0" w:firstLine="0"/>
        <w:rPr>
          <w:lang w:val="en-GB"/>
        </w:rPr>
      </w:pPr>
      <w:r w:rsidRPr="18023F4B">
        <w:rPr>
          <w:b/>
          <w:bCs/>
          <w:lang w:val="en-GB"/>
        </w:rPr>
        <w:t>Proposal#1:</w:t>
      </w:r>
      <w:r w:rsidRPr="18023F4B">
        <w:rPr>
          <w:lang w:val="en-GB"/>
        </w:rPr>
        <w:t xml:space="preserve"> For a SNPN UE or a UE</w:t>
      </w:r>
      <w:r w:rsidR="009A0AEF" w:rsidRPr="18023F4B">
        <w:rPr>
          <w:lang w:val="en-GB"/>
        </w:rPr>
        <w:t xml:space="preserve"> </w:t>
      </w:r>
      <w:r w:rsidR="00D90344" w:rsidRPr="18023F4B">
        <w:rPr>
          <w:lang w:val="en-GB"/>
        </w:rPr>
        <w:t>with non-empty allowed CAG list</w:t>
      </w:r>
      <w:r w:rsidRPr="18023F4B">
        <w:rPr>
          <w:lang w:val="en-GB"/>
        </w:rPr>
        <w:t xml:space="preserve">, </w:t>
      </w:r>
      <w:r>
        <w:t>if the highest ranked cell or best cell according to absolute priority reselection rules is a cell not</w:t>
      </w:r>
      <w:r w:rsidRPr="18023F4B">
        <w:rPr>
          <w:lang w:eastAsia="ja-JP"/>
        </w:rPr>
        <w:t xml:space="preserve"> broadcasting the registered</w:t>
      </w:r>
      <w:r w:rsidR="00AA79A4" w:rsidRPr="18023F4B">
        <w:rPr>
          <w:lang w:eastAsia="ja-JP"/>
        </w:rPr>
        <w:t xml:space="preserve"> or selected</w:t>
      </w:r>
      <w:r w:rsidRPr="18023F4B">
        <w:rPr>
          <w:lang w:eastAsia="ja-JP"/>
        </w:rPr>
        <w:t xml:space="preserve"> SNPN ID or the CAG ID which is one of the UE’s Allowed CAG list for the selected PLMN or</w:t>
      </w:r>
      <w:r>
        <w:t xml:space="preserve"> the registered PLMN or </w:t>
      </w:r>
      <w:r w:rsidRPr="18023F4B">
        <w:rPr>
          <w:lang w:eastAsia="ja-JP"/>
        </w:rPr>
        <w:t xml:space="preserve">PLMN of the Equivalent PLMN list, </w:t>
      </w:r>
      <w:r>
        <w:t>the UE shall not consider this cell as candidate for cell reselection but sh</w:t>
      </w:r>
      <w:r w:rsidR="00776EDC">
        <w:t>ould</w:t>
      </w:r>
      <w:r>
        <w:t xml:space="preserve"> continue to consider other cells on the same frequency for cell reselection</w:t>
      </w:r>
      <w:r w:rsidR="00860EBD">
        <w:t xml:space="preserve"> (e.g. if RAN sharing of SNPN or CAG on the frequency)</w:t>
      </w:r>
      <w:r>
        <w:t xml:space="preserve">. </w:t>
      </w:r>
    </w:p>
    <w:p w14:paraId="6428BA32" w14:textId="77777777" w:rsidR="00943268" w:rsidRDefault="00943268" w:rsidP="00943268">
      <w:pPr>
        <w:pStyle w:val="Heading2"/>
      </w:pPr>
      <w:r>
        <w:t>Connected mode mobility for CAG UE</w:t>
      </w:r>
    </w:p>
    <w:p w14:paraId="0D9160FA" w14:textId="372086BC" w:rsidR="0067395C" w:rsidRDefault="0067395C" w:rsidP="00AA4409">
      <w:pPr>
        <w:rPr>
          <w:lang w:val="en-US"/>
        </w:rPr>
      </w:pPr>
      <w:r>
        <w:rPr>
          <w:lang w:val="en-US"/>
        </w:rPr>
        <w:t>Currently, there are the following Editor’s notes in Connected mode mobility in the running TS38.300 CR:</w:t>
      </w:r>
    </w:p>
    <w:p w14:paraId="00B7EC24" w14:textId="77777777" w:rsidR="0067395C" w:rsidRDefault="0067395C" w:rsidP="0067395C">
      <w:pPr>
        <w:pStyle w:val="EditorsNote"/>
        <w:ind w:left="720" w:firstLine="0"/>
      </w:pPr>
      <w:r>
        <w:t>Editor’s note: FFS is proximity indicator is needed.</w:t>
      </w:r>
    </w:p>
    <w:p w14:paraId="073BD4E0" w14:textId="2AEAC57F" w:rsidR="0067395C" w:rsidRDefault="0067395C" w:rsidP="0067395C">
      <w:pPr>
        <w:ind w:left="720"/>
        <w:rPr>
          <w:lang w:val="en-US"/>
        </w:rPr>
      </w:pPr>
      <w:r>
        <w:t xml:space="preserve">Editor’s note: describe mobility in CONNECTED [RAN2]. </w:t>
      </w:r>
      <w:r>
        <w:rPr>
          <w:lang w:val="en-US"/>
        </w:rPr>
        <w:t xml:space="preserve">  </w:t>
      </w:r>
    </w:p>
    <w:p w14:paraId="30B8C9FB" w14:textId="4958BCB2" w:rsidR="0067395C" w:rsidRDefault="0067395C" w:rsidP="0067395C">
      <w:r>
        <w:rPr>
          <w:lang w:val="en-US"/>
        </w:rPr>
        <w:t>A</w:t>
      </w:r>
      <w:r>
        <w:t>s specified in [</w:t>
      </w:r>
      <w:r w:rsidR="00890198">
        <w:t>1</w:t>
      </w:r>
      <w:r>
        <w:t>], the AMF provides the NG RAN with Mobility Restrictions:</w:t>
      </w:r>
    </w:p>
    <w:p w14:paraId="3C2962D9" w14:textId="77777777" w:rsidR="0067395C" w:rsidRDefault="0067395C" w:rsidP="0067395C">
      <w:pPr>
        <w:ind w:left="284"/>
        <w:rPr>
          <w:lang w:val="en-US"/>
        </w:rPr>
      </w:pPr>
      <w:r w:rsidRPr="00E50DCA">
        <w:rPr>
          <w:lang w:val="en-US"/>
        </w:rPr>
        <w:lastRenderedPageBreak/>
        <w:t>The Mobility Restrictions, the AMF provides to NG-RAN, shall be able to restrict the UE</w:t>
      </w:r>
      <w:r>
        <w:rPr>
          <w:lang w:val="en-US"/>
        </w:rPr>
        <w:t>’</w:t>
      </w:r>
      <w:r w:rsidRPr="00E50DCA">
        <w:rPr>
          <w:lang w:val="en-US"/>
        </w:rPr>
        <w:t>s mobility according to the Allowed CAG list (if configured in the subscription) and including support a UE that is only allowed to access CAG cells (if configured in the subscription).</w:t>
      </w:r>
    </w:p>
    <w:p w14:paraId="1AC1EF4F" w14:textId="77777777" w:rsidR="0067395C" w:rsidRDefault="0067395C" w:rsidP="0067395C">
      <w:pPr>
        <w:rPr>
          <w:lang w:val="en-US"/>
        </w:rPr>
      </w:pPr>
      <w:r>
        <w:rPr>
          <w:lang w:val="en-US"/>
        </w:rPr>
        <w:t>Based on this, the NG RAN can decide the following handover is allowed:</w:t>
      </w:r>
    </w:p>
    <w:p w14:paraId="1D066053" w14:textId="77777777" w:rsidR="0067395C" w:rsidRDefault="0067395C" w:rsidP="0067395C">
      <w:pPr>
        <w:pStyle w:val="B3"/>
      </w:pPr>
      <w:r w:rsidRPr="00E50DCA">
        <w:t>-</w:t>
      </w:r>
      <w:r w:rsidRPr="00E50DCA">
        <w:tab/>
      </w:r>
      <w:r>
        <w:t xml:space="preserve">1. </w:t>
      </w:r>
      <w:r w:rsidRPr="00E50DCA">
        <w:t>Source NG-RAN shall not handover the UE to a target NG-RAN node if the target is a CAG cell and the related CAG Identifier is not part of the UE's Allowed CAG list;</w:t>
      </w:r>
    </w:p>
    <w:p w14:paraId="18AA1397" w14:textId="77777777" w:rsidR="0067395C" w:rsidRPr="00AA4409" w:rsidRDefault="0067395C" w:rsidP="0067395C">
      <w:pPr>
        <w:pStyle w:val="B3"/>
      </w:pPr>
      <w:r w:rsidRPr="00E50DCA">
        <w:t>-</w:t>
      </w:r>
      <w:r w:rsidRPr="00E50DCA">
        <w:tab/>
      </w:r>
      <w:r>
        <w:t xml:space="preserve">2. </w:t>
      </w:r>
      <w:r w:rsidRPr="00E50DCA">
        <w:t>Source NG-RAN shall not handover the UE to a non-CAG cell if the UE is only allowed to access CAG cells;</w:t>
      </w:r>
    </w:p>
    <w:p w14:paraId="4FBE4D9D" w14:textId="77777777" w:rsidR="0067395C" w:rsidRDefault="0067395C" w:rsidP="0067395C">
      <w:r>
        <w:t>From the above, depending on the mobility restriction, support of handover between CAG and public network and between CAG cells belonging to the UE’s Allowed CAG list of the registered PLMN is possible.</w:t>
      </w:r>
    </w:p>
    <w:p w14:paraId="52B45DFF" w14:textId="7A7080AE" w:rsidR="0067395C" w:rsidRDefault="0067395C" w:rsidP="00890198">
      <w:pPr>
        <w:ind w:left="720"/>
      </w:pPr>
      <w:r>
        <w:t>Handover between CAG and public network is supported</w:t>
      </w:r>
    </w:p>
    <w:p w14:paraId="6C86D0EE" w14:textId="2F836A1B" w:rsidR="0067395C" w:rsidRDefault="0067395C" w:rsidP="00890198">
      <w:pPr>
        <w:ind w:left="720"/>
      </w:pPr>
      <w:r>
        <w:t>Handover between CAG depends on the UE’s Allowed CAG list of the registered PLMN.</w:t>
      </w:r>
    </w:p>
    <w:p w14:paraId="6257EAB8" w14:textId="4C8CCB0F" w:rsidR="00324351" w:rsidRDefault="00324351" w:rsidP="0078704A">
      <w:pPr>
        <w:rPr>
          <w:lang w:val="en-US"/>
        </w:rPr>
      </w:pPr>
      <w:r>
        <w:t xml:space="preserve">One purpose in LTE CSG of sending the proximity indication is that the network does not </w:t>
      </w:r>
      <w:r w:rsidR="1CCB0345">
        <w:t xml:space="preserve">unnecessarily </w:t>
      </w:r>
      <w:r>
        <w:t xml:space="preserve">configure the measurement configuration of the CSG frequency.  Since the allowed CAG list </w:t>
      </w:r>
      <w:r w:rsidR="00CF6652">
        <w:t xml:space="preserve">of a UE </w:t>
      </w:r>
      <w:r>
        <w:t>is known to the network (via mobility restriction), the measurement configuration of the C</w:t>
      </w:r>
      <w:r w:rsidR="001C7F84">
        <w:t>A</w:t>
      </w:r>
      <w:r>
        <w:t xml:space="preserve">G frequency </w:t>
      </w:r>
      <w:r w:rsidR="00CF6652">
        <w:t>can</w:t>
      </w:r>
      <w:r>
        <w:t xml:space="preserve"> always be configured and it is not essential to use the proximity indication for this purpose, unlike the case in idle mode. </w:t>
      </w:r>
      <w:r w:rsidR="008B5DCA">
        <w:t xml:space="preserve">It maybe argued that </w:t>
      </w:r>
      <w:r w:rsidR="00E778F2">
        <w:t>not configuring the measurement configuration for CAG frequency may be beneficial from</w:t>
      </w:r>
      <w:r w:rsidR="00482641">
        <w:t xml:space="preserve"> UE power consumption point of view</w:t>
      </w:r>
      <w:r w:rsidR="006F5037">
        <w:t xml:space="preserve"> if the UE is not in close proximity to its CAG cel</w:t>
      </w:r>
      <w:r w:rsidR="00EC5990">
        <w:t>l</w:t>
      </w:r>
      <w:r w:rsidR="00C0022C">
        <w:t xml:space="preserve">.  </w:t>
      </w:r>
      <w:r w:rsidR="00CD3846">
        <w:t>However</w:t>
      </w:r>
      <w:r w:rsidR="004C354F">
        <w:t>,</w:t>
      </w:r>
      <w:r w:rsidR="00CD3846">
        <w:t xml:space="preserve"> if</w:t>
      </w:r>
      <w:r w:rsidR="00D310B5">
        <w:t xml:space="preserve"> </w:t>
      </w:r>
      <w:r w:rsidR="00920364">
        <w:t xml:space="preserve">proximity detection for UE is </w:t>
      </w:r>
      <w:r w:rsidR="00CD3846">
        <w:t xml:space="preserve">to </w:t>
      </w:r>
      <w:r w:rsidR="009464AB">
        <w:t>the PLMN cell, there is no gain at all.</w:t>
      </w:r>
    </w:p>
    <w:p w14:paraId="52431DA9" w14:textId="5056CB8D" w:rsidR="00EA2591" w:rsidRDefault="00C15405" w:rsidP="0078704A">
      <w:pPr>
        <w:rPr>
          <w:lang w:val="en-US"/>
        </w:rPr>
      </w:pPr>
      <w:r w:rsidRPr="6B471838">
        <w:rPr>
          <w:lang w:val="en-US"/>
        </w:rPr>
        <w:t>Another purpose of introducing</w:t>
      </w:r>
      <w:r w:rsidR="00591343" w:rsidRPr="6B471838">
        <w:rPr>
          <w:lang w:val="en-US"/>
        </w:rPr>
        <w:t xml:space="preserve"> proximity indicator</w:t>
      </w:r>
      <w:r w:rsidRPr="6B471838">
        <w:rPr>
          <w:lang w:val="en-US"/>
        </w:rPr>
        <w:t xml:space="preserve"> in LTE CSG</w:t>
      </w:r>
      <w:r w:rsidR="00345A93" w:rsidRPr="6B471838">
        <w:rPr>
          <w:lang w:val="en-US"/>
        </w:rPr>
        <w:t xml:space="preserve"> was to </w:t>
      </w:r>
      <w:r w:rsidR="400D5DDD" w:rsidRPr="6B471838">
        <w:rPr>
          <w:lang w:val="en-US"/>
        </w:rPr>
        <w:t xml:space="preserve">resolve PCI confusion and </w:t>
      </w:r>
      <w:r w:rsidR="00345A93" w:rsidRPr="6B471838">
        <w:rPr>
          <w:lang w:val="en-US"/>
        </w:rPr>
        <w:t>support handover from public network to C</w:t>
      </w:r>
      <w:r w:rsidR="2A370B13" w:rsidRPr="6B471838">
        <w:rPr>
          <w:lang w:val="en-US"/>
        </w:rPr>
        <w:t>S</w:t>
      </w:r>
      <w:r w:rsidR="00345A93" w:rsidRPr="6B471838">
        <w:rPr>
          <w:lang w:val="en-US"/>
        </w:rPr>
        <w:t>G cell. One of the usages of it is to prompt the network to request the UE to provide the ECGI upon receiving the measurement report of a potential CSG cell within the public network cell coverage.</w:t>
      </w:r>
      <w:r w:rsidR="00591343" w:rsidRPr="6B471838">
        <w:rPr>
          <w:lang w:val="en-US"/>
        </w:rPr>
        <w:t xml:space="preserve"> </w:t>
      </w:r>
      <w:r w:rsidR="00C260C2" w:rsidRPr="6B471838">
        <w:rPr>
          <w:lang w:val="en-US"/>
        </w:rPr>
        <w:t xml:space="preserve">The coverage of a </w:t>
      </w:r>
      <w:r w:rsidR="00A7246A" w:rsidRPr="6B471838">
        <w:rPr>
          <w:lang w:val="en-US"/>
        </w:rPr>
        <w:t>CAG cell</w:t>
      </w:r>
      <w:r w:rsidR="00C260C2" w:rsidRPr="6B471838">
        <w:rPr>
          <w:lang w:val="en-US"/>
        </w:rPr>
        <w:t xml:space="preserve"> is most likely small in comparison to a PLMN cell and there is quite likely that multiple CAG cells in the same frequency may have the same PCI. As a result, PCI confusion may arise since the network is not sure which CAG cell the network is supposed to handover a UE to after the UE reports the handover measurement. </w:t>
      </w:r>
      <w:r w:rsidR="00EA2591" w:rsidRPr="6B471838">
        <w:rPr>
          <w:lang w:val="en-US"/>
        </w:rPr>
        <w:t xml:space="preserve">Such situation also occurs in normal deployment scenario where there is a mix of small cell and macro cell deployment.  As a consequence, RAN1 has increased the number of PCI in Rel-15 to accommodate for such deployment. </w:t>
      </w:r>
      <w:r w:rsidR="00834F79" w:rsidRPr="6B471838">
        <w:rPr>
          <w:lang w:val="en-US"/>
        </w:rPr>
        <w:t xml:space="preserve">CAG cell can be handled in the same way as small cell.  </w:t>
      </w:r>
    </w:p>
    <w:p w14:paraId="4C2AFBB9" w14:textId="6465EC8C" w:rsidR="00A7246A" w:rsidRDefault="00411946" w:rsidP="0078704A">
      <w:pPr>
        <w:rPr>
          <w:lang w:val="en-US"/>
        </w:rPr>
      </w:pPr>
      <w:r>
        <w:rPr>
          <w:lang w:val="en-US"/>
        </w:rPr>
        <w:t xml:space="preserve">Furthermore, if proximity indication is supported, it will mean that Rel-15 CGI reporting mechanism needs to be used to </w:t>
      </w:r>
      <w:r w:rsidR="00C260C2">
        <w:rPr>
          <w:lang w:val="en-US"/>
        </w:rPr>
        <w:t xml:space="preserve">request the UE to report the CGI if the target cell can potentially be CAG cell. </w:t>
      </w:r>
      <w:r w:rsidR="00C15405">
        <w:rPr>
          <w:lang w:val="en-US"/>
        </w:rPr>
        <w:t>Such proximity indication will also require performance requirement in RAN 4 (e.g.</w:t>
      </w:r>
      <w:r w:rsidR="00C41456">
        <w:rPr>
          <w:lang w:val="en-US"/>
        </w:rPr>
        <w:t xml:space="preserve"> how large is the proximity</w:t>
      </w:r>
      <w:r w:rsidR="00C15405">
        <w:rPr>
          <w:lang w:val="en-US"/>
        </w:rPr>
        <w:t xml:space="preserve"> etc.)</w:t>
      </w:r>
      <w:r w:rsidR="00C41456">
        <w:rPr>
          <w:lang w:val="en-US"/>
        </w:rPr>
        <w:t>.</w:t>
      </w:r>
    </w:p>
    <w:p w14:paraId="19EE3E91" w14:textId="2B03790F" w:rsidR="00684E6A" w:rsidRDefault="00345A93" w:rsidP="00684E6A">
      <w:pPr>
        <w:rPr>
          <w:lang w:val="en-US"/>
        </w:rPr>
      </w:pPr>
      <w:r>
        <w:rPr>
          <w:b/>
          <w:lang w:val="en-US"/>
        </w:rPr>
        <w:t>Observation#3</w:t>
      </w:r>
      <w:r w:rsidR="00684E6A" w:rsidRPr="00EA2591">
        <w:rPr>
          <w:b/>
          <w:lang w:val="en-US"/>
        </w:rPr>
        <w:t>:</w:t>
      </w:r>
      <w:r w:rsidR="00684E6A">
        <w:rPr>
          <w:lang w:val="en-US"/>
        </w:rPr>
        <w:t xml:space="preserve"> </w:t>
      </w:r>
      <w:r>
        <w:rPr>
          <w:lang w:val="en-US"/>
        </w:rPr>
        <w:t>Proximity indicator</w:t>
      </w:r>
      <w:r w:rsidR="00684E6A">
        <w:rPr>
          <w:lang w:val="en-US"/>
        </w:rPr>
        <w:t xml:space="preserve"> is not required to further mitigate PCI confusion in CAG deployment, in view that such case will also happen in Rel-15</w:t>
      </w:r>
      <w:r w:rsidR="00411946">
        <w:rPr>
          <w:lang w:val="en-US"/>
        </w:rPr>
        <w:t xml:space="preserve"> and that it may have further RAN4 impact if such Rel-15 CGI reporting is required for handover</w:t>
      </w:r>
      <w:r w:rsidR="00C15405">
        <w:rPr>
          <w:lang w:val="en-US"/>
        </w:rPr>
        <w:t xml:space="preserve"> (e.g. performance requirement needed for triggering proximity indication, need of autonomous gap etc.)</w:t>
      </w:r>
      <w:r w:rsidR="00684E6A">
        <w:rPr>
          <w:lang w:val="en-US"/>
        </w:rPr>
        <w:t>.</w:t>
      </w:r>
    </w:p>
    <w:p w14:paraId="3E14ACA9" w14:textId="4305949B" w:rsidR="00AF754A" w:rsidRPr="00AF754A" w:rsidRDefault="004D4754" w:rsidP="0078704A">
      <w:r>
        <w:rPr>
          <w:b/>
        </w:rPr>
        <w:t>Proposal#</w:t>
      </w:r>
      <w:r w:rsidR="00465A09">
        <w:rPr>
          <w:b/>
        </w:rPr>
        <w:t>2</w:t>
      </w:r>
      <w:r w:rsidR="00AF754A" w:rsidRPr="00B24090">
        <w:rPr>
          <w:b/>
        </w:rPr>
        <w:t>:</w:t>
      </w:r>
      <w:r w:rsidR="00AF754A">
        <w:t xml:space="preserve"> </w:t>
      </w:r>
      <w:r w:rsidR="00C15405">
        <w:t>P</w:t>
      </w:r>
      <w:r w:rsidR="00867BD2">
        <w:t>roximity indication</w:t>
      </w:r>
      <w:r w:rsidR="00C15405">
        <w:t xml:space="preserve"> is not introduced in Rel-16</w:t>
      </w:r>
      <w:r w:rsidR="00867BD2">
        <w:t xml:space="preserve"> in the CAG case.</w:t>
      </w:r>
    </w:p>
    <w:p w14:paraId="499EDE34" w14:textId="00E461EB" w:rsidR="000176A4" w:rsidRPr="0099619E" w:rsidRDefault="000D3BDE" w:rsidP="00583CC0">
      <w:pPr>
        <w:pStyle w:val="Heading1"/>
        <w:rPr>
          <w:lang w:val="en-US"/>
        </w:rPr>
      </w:pPr>
      <w:r w:rsidRPr="00583CC0">
        <w:t>Conclusion</w:t>
      </w:r>
    </w:p>
    <w:p w14:paraId="293246EE" w14:textId="556278E8" w:rsidR="002215C1" w:rsidRDefault="00921879" w:rsidP="002215C1">
      <w:r>
        <w:t>It is requested that RAN2 discussed</w:t>
      </w:r>
      <w:r w:rsidR="002215C1">
        <w:t xml:space="preserve"> the following </w:t>
      </w:r>
      <w:r>
        <w:t xml:space="preserve">observations and </w:t>
      </w:r>
      <w:r w:rsidR="002215C1">
        <w:t>proposals:</w:t>
      </w:r>
    </w:p>
    <w:p w14:paraId="26E598DC" w14:textId="77777777" w:rsidR="0058126C" w:rsidRDefault="0058126C" w:rsidP="009A2321">
      <w:pPr>
        <w:pStyle w:val="B1"/>
        <w:ind w:left="0" w:firstLine="0"/>
        <w:rPr>
          <w:lang w:val="en-GB"/>
        </w:rPr>
      </w:pPr>
      <w:r w:rsidRPr="009A2321">
        <w:rPr>
          <w:b/>
          <w:bCs/>
          <w:lang w:val="en-GB"/>
        </w:rPr>
        <w:t>Observation#1:</w:t>
      </w:r>
      <w:r>
        <w:rPr>
          <w:lang w:val="en-GB"/>
        </w:rPr>
        <w:t xml:space="preserve"> </w:t>
      </w:r>
      <w:r w:rsidRPr="18023F4B">
        <w:rPr>
          <w:lang w:val="en-GB"/>
        </w:rPr>
        <w:t xml:space="preserve">TS36.304 </w:t>
      </w:r>
      <w:r>
        <w:rPr>
          <w:lang w:val="en-GB"/>
        </w:rPr>
        <w:t xml:space="preserve">addressing the case </w:t>
      </w:r>
      <w:r w:rsidRPr="18023F4B">
        <w:rPr>
          <w:lang w:val="en-GB"/>
        </w:rPr>
        <w:t>for CSG cell</w:t>
      </w:r>
      <w:r>
        <w:rPr>
          <w:lang w:val="en-GB"/>
        </w:rPr>
        <w:t xml:space="preserve"> is not sufficient for NPN in the RAN sharing case</w:t>
      </w:r>
      <w:r w:rsidRPr="006A2647">
        <w:rPr>
          <w:lang w:val="en-GB"/>
        </w:rPr>
        <w:t xml:space="preserve"> </w:t>
      </w:r>
      <w:r>
        <w:rPr>
          <w:lang w:val="en-GB"/>
        </w:rPr>
        <w:t>where the deployment may be that SNPN and CAG cells are RAN sharing in the same frequency with PLMN cells.</w:t>
      </w:r>
    </w:p>
    <w:p w14:paraId="5A73CF39" w14:textId="59FBAB40" w:rsidR="009A2321" w:rsidRDefault="009A2321" w:rsidP="009A2321">
      <w:pPr>
        <w:pStyle w:val="B1"/>
        <w:ind w:left="0" w:firstLine="0"/>
        <w:rPr>
          <w:lang w:val="en-GB"/>
        </w:rPr>
      </w:pPr>
      <w:r w:rsidRPr="00EB10A9">
        <w:rPr>
          <w:b/>
          <w:bCs/>
          <w:lang w:val="en-GB"/>
        </w:rPr>
        <w:t>Observation#</w:t>
      </w:r>
      <w:r>
        <w:rPr>
          <w:b/>
          <w:bCs/>
          <w:lang w:val="en-GB"/>
        </w:rPr>
        <w:t>2</w:t>
      </w:r>
      <w:r w:rsidRPr="00EB10A9">
        <w:rPr>
          <w:b/>
          <w:bCs/>
          <w:lang w:val="en-GB"/>
        </w:rPr>
        <w:t>:</w:t>
      </w:r>
      <w:r>
        <w:rPr>
          <w:lang w:val="en-GB"/>
        </w:rPr>
        <w:t xml:space="preserve"> If UE operating in SNPN access mode or UE with non-empty allowed CAG list were to continue monitor in the same frequency for cell reselection in which it has found a cell not broadcasting its registered or selected SNPN or PLMN + CAG, as in the CSG case, it may result in unnecessary measurement on that frequency if</w:t>
      </w:r>
      <w:r w:rsidRPr="00394F43">
        <w:rPr>
          <w:lang w:val="en-GB"/>
        </w:rPr>
        <w:t xml:space="preserve"> </w:t>
      </w:r>
      <w:r>
        <w:rPr>
          <w:lang w:val="en-GB"/>
        </w:rPr>
        <w:t>the frequency is not used a RAN sharing deployment</w:t>
      </w:r>
    </w:p>
    <w:p w14:paraId="11528A25" w14:textId="24A153DD" w:rsidR="002478B4" w:rsidRDefault="002478B4" w:rsidP="002478B4">
      <w:pPr>
        <w:pStyle w:val="B1"/>
        <w:ind w:left="0" w:firstLine="0"/>
        <w:rPr>
          <w:lang w:val="en-GB"/>
        </w:rPr>
      </w:pPr>
      <w:r w:rsidRPr="18023F4B">
        <w:rPr>
          <w:b/>
          <w:bCs/>
          <w:lang w:val="en-GB"/>
        </w:rPr>
        <w:t>Proposal#1:</w:t>
      </w:r>
      <w:r w:rsidRPr="18023F4B">
        <w:rPr>
          <w:lang w:val="en-GB"/>
        </w:rPr>
        <w:t xml:space="preserve"> For a SNPN UE or a UE with non-empty allowed CAG list, </w:t>
      </w:r>
      <w:r>
        <w:t>if the highest ranked cell or best cell according to absolute priority reselection rules is a cell not</w:t>
      </w:r>
      <w:r w:rsidRPr="18023F4B">
        <w:rPr>
          <w:lang w:eastAsia="ja-JP"/>
        </w:rPr>
        <w:t xml:space="preserve"> broadcasting the registered or selected SNPN ID or the CAG ID which is one of the UE’s Allowed CAG list for the selected PLMN or</w:t>
      </w:r>
      <w:r>
        <w:t xml:space="preserve"> the registered PLMN or </w:t>
      </w:r>
      <w:r w:rsidRPr="18023F4B">
        <w:rPr>
          <w:lang w:eastAsia="ja-JP"/>
        </w:rPr>
        <w:t xml:space="preserve">PLMN of the Equivalent PLMN list, </w:t>
      </w:r>
      <w:r>
        <w:t xml:space="preserve">the UE shall not consider this cell as candidate for cell reselection but should continue to consider other cells on the same frequency for cell reselection (e.g. if RAN sharing of SNPN or CAG on the frequency). </w:t>
      </w:r>
    </w:p>
    <w:p w14:paraId="7B975D7C" w14:textId="77777777" w:rsidR="00B20799" w:rsidRDefault="00B20799" w:rsidP="00B20799">
      <w:pPr>
        <w:rPr>
          <w:lang w:val="en-US"/>
        </w:rPr>
      </w:pPr>
      <w:r>
        <w:rPr>
          <w:b/>
          <w:lang w:val="en-US"/>
        </w:rPr>
        <w:t>Observation#3</w:t>
      </w:r>
      <w:r w:rsidRPr="00EA2591">
        <w:rPr>
          <w:b/>
          <w:lang w:val="en-US"/>
        </w:rPr>
        <w:t>:</w:t>
      </w:r>
      <w:r>
        <w:rPr>
          <w:lang w:val="en-US"/>
        </w:rPr>
        <w:t xml:space="preserve"> Proximity indicator is not required to further mitigate PCI confusion in CAG deployment, in view that such case will also happen in Rel-15</w:t>
      </w:r>
      <w:r w:rsidR="002478B4">
        <w:rPr>
          <w:lang w:val="en-US"/>
        </w:rPr>
        <w:t xml:space="preserve"> and that it may have further RAN4 impact if such Rel-15 CGI reporting is required for handover (e.g. performance requirement needed for triggering proximity indication, need of autonomous gap etc.).</w:t>
      </w:r>
    </w:p>
    <w:p w14:paraId="78EA582D" w14:textId="77777777" w:rsidR="002478B4" w:rsidRPr="00AF754A" w:rsidRDefault="00867BD2" w:rsidP="002478B4">
      <w:r>
        <w:rPr>
          <w:b/>
        </w:rPr>
        <w:lastRenderedPageBreak/>
        <w:t>Proposal#</w:t>
      </w:r>
      <w:r w:rsidR="00B20799">
        <w:rPr>
          <w:b/>
        </w:rPr>
        <w:t>2</w:t>
      </w:r>
      <w:r w:rsidRPr="00B24090">
        <w:rPr>
          <w:b/>
        </w:rPr>
        <w:t>:</w:t>
      </w:r>
      <w:r>
        <w:t xml:space="preserve"> </w:t>
      </w:r>
      <w:r w:rsidR="002478B4">
        <w:t>Proximity</w:t>
      </w:r>
      <w:r>
        <w:t xml:space="preserve"> indication </w:t>
      </w:r>
      <w:r w:rsidR="002478B4">
        <w:t xml:space="preserve">is not introduced in Rel-16 </w:t>
      </w:r>
      <w:r>
        <w:t>in the CAG case.</w:t>
      </w:r>
    </w:p>
    <w:p w14:paraId="5ACCE133" w14:textId="40FAF9C6" w:rsidR="00867BD2" w:rsidRDefault="00867BD2" w:rsidP="00867BD2"/>
    <w:p w14:paraId="568D0875" w14:textId="77777777" w:rsidR="00427643" w:rsidRDefault="00427643" w:rsidP="00583CC0">
      <w:pPr>
        <w:pStyle w:val="Heading1"/>
        <w:rPr>
          <w:lang w:val="en-US"/>
        </w:rPr>
      </w:pPr>
      <w:r w:rsidRPr="0099619E">
        <w:rPr>
          <w:lang w:val="en-US"/>
        </w:rPr>
        <w:t>References</w:t>
      </w:r>
    </w:p>
    <w:p w14:paraId="554070C8" w14:textId="41AA8D92" w:rsidR="004C3BD4" w:rsidRDefault="004C3BD4" w:rsidP="00D66649">
      <w:pPr>
        <w:ind w:left="360"/>
      </w:pPr>
      <w:r w:rsidRPr="00835855">
        <w:t>[</w:t>
      </w:r>
      <w:r>
        <w:t>1</w:t>
      </w:r>
      <w:r w:rsidRPr="00835855">
        <w:t xml:space="preserve">] </w:t>
      </w:r>
      <w:r w:rsidR="00864E63">
        <w:fldChar w:fldCharType="begin"/>
      </w:r>
      <w:r w:rsidR="00864E63">
        <w:instrText>DOCPROPERTY  CrTitle  \* MERGEFORMAT</w:instrText>
      </w:r>
      <w:r w:rsidR="00864E63">
        <w:fldChar w:fldCharType="separate"/>
      </w:r>
      <w:r>
        <w:t xml:space="preserve">TS 23.501 </w:t>
      </w:r>
      <w:r w:rsidR="00864E63">
        <w:fldChar w:fldCharType="end"/>
      </w:r>
    </w:p>
    <w:p w14:paraId="5404419F" w14:textId="77777777" w:rsidR="00442AB1" w:rsidRDefault="00442AB1" w:rsidP="00B97E5E">
      <w:pPr>
        <w:pStyle w:val="BodyText"/>
        <w:overflowPunct w:val="0"/>
        <w:ind w:left="360"/>
        <w:textAlignment w:val="baseline"/>
        <w:rPr>
          <w:rFonts w:ascii="Times New Roman" w:hAnsi="Times New Roman"/>
        </w:rPr>
      </w:pPr>
    </w:p>
    <w:p w14:paraId="059873A6" w14:textId="77777777" w:rsidR="0078704A" w:rsidRDefault="0078704A" w:rsidP="00B97E5E">
      <w:pPr>
        <w:pStyle w:val="BodyText"/>
        <w:overflowPunct w:val="0"/>
        <w:ind w:left="360"/>
        <w:textAlignment w:val="baseline"/>
        <w:rPr>
          <w:rFonts w:ascii="Times New Roman" w:hAnsi="Times New Roman"/>
          <w:lang w:val="en-US"/>
        </w:rPr>
      </w:pPr>
    </w:p>
    <w:p w14:paraId="423DB2B6" w14:textId="77777777" w:rsidR="0078704A" w:rsidRPr="0078704A" w:rsidRDefault="0078704A" w:rsidP="00B97E5E">
      <w:pPr>
        <w:pStyle w:val="BodyText"/>
        <w:overflowPunct w:val="0"/>
        <w:ind w:left="360"/>
        <w:textAlignment w:val="baseline"/>
        <w:rPr>
          <w:rFonts w:ascii="Times New Roman" w:hAnsi="Times New Roman"/>
          <w:lang w:val="en-US"/>
        </w:rPr>
      </w:pPr>
    </w:p>
    <w:sectPr w:rsidR="0078704A" w:rsidRPr="0078704A" w:rsidSect="0012020F">
      <w:footerReference w:type="default" r:id="rId15"/>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B00AB" w14:textId="77777777" w:rsidR="00864E63" w:rsidRDefault="00864E63"/>
  </w:endnote>
  <w:endnote w:type="continuationSeparator" w:id="0">
    <w:p w14:paraId="6A247CEE" w14:textId="77777777" w:rsidR="00864E63" w:rsidRDefault="00864E63"/>
  </w:endnote>
  <w:endnote w:type="continuationNotice" w:id="1">
    <w:p w14:paraId="7A7040E8" w14:textId="77777777" w:rsidR="00864E63" w:rsidRDefault="00864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11DB3" w14:textId="77777777" w:rsidR="00864E63" w:rsidRDefault="00864E63"/>
  </w:footnote>
  <w:footnote w:type="continuationSeparator" w:id="0">
    <w:p w14:paraId="25544D2F" w14:textId="77777777" w:rsidR="00864E63" w:rsidRDefault="00864E63"/>
  </w:footnote>
  <w:footnote w:type="continuationNotice" w:id="1">
    <w:p w14:paraId="5FD5FF05" w14:textId="77777777" w:rsidR="00864E63" w:rsidRDefault="00864E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E633D8"/>
    <w:multiLevelType w:val="hybridMultilevel"/>
    <w:tmpl w:val="0338CE02"/>
    <w:lvl w:ilvl="0" w:tplc="57CECE8A">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275841"/>
    <w:multiLevelType w:val="hybridMultilevel"/>
    <w:tmpl w:val="E0084D12"/>
    <w:lvl w:ilvl="0" w:tplc="EA789AA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33"/>
  </w:num>
  <w:num w:numId="3">
    <w:abstractNumId w:val="8"/>
  </w:num>
  <w:num w:numId="4">
    <w:abstractNumId w:val="0"/>
  </w:num>
  <w:num w:numId="5">
    <w:abstractNumId w:val="24"/>
  </w:num>
  <w:num w:numId="6">
    <w:abstractNumId w:val="10"/>
  </w:num>
  <w:num w:numId="7">
    <w:abstractNumId w:val="15"/>
  </w:num>
  <w:num w:numId="8">
    <w:abstractNumId w:val="14"/>
  </w:num>
  <w:num w:numId="9">
    <w:abstractNumId w:val="12"/>
  </w:num>
  <w:num w:numId="10">
    <w:abstractNumId w:val="26"/>
  </w:num>
  <w:num w:numId="11">
    <w:abstractNumId w:val="4"/>
  </w:num>
  <w:num w:numId="12">
    <w:abstractNumId w:val="35"/>
  </w:num>
  <w:num w:numId="13">
    <w:abstractNumId w:val="13"/>
  </w:num>
  <w:num w:numId="14">
    <w:abstractNumId w:val="31"/>
  </w:num>
  <w:num w:numId="15">
    <w:abstractNumId w:val="28"/>
  </w:num>
  <w:num w:numId="16">
    <w:abstractNumId w:val="16"/>
  </w:num>
  <w:num w:numId="17">
    <w:abstractNumId w:val="17"/>
  </w:num>
  <w:num w:numId="18">
    <w:abstractNumId w:val="22"/>
  </w:num>
  <w:num w:numId="19">
    <w:abstractNumId w:val="29"/>
  </w:num>
  <w:num w:numId="20">
    <w:abstractNumId w:val="9"/>
  </w:num>
  <w:num w:numId="21">
    <w:abstractNumId w:val="23"/>
  </w:num>
  <w:num w:numId="22">
    <w:abstractNumId w:val="21"/>
  </w:num>
  <w:num w:numId="23">
    <w:abstractNumId w:val="5"/>
  </w:num>
  <w:num w:numId="24">
    <w:abstractNumId w:val="32"/>
  </w:num>
  <w:num w:numId="25">
    <w:abstractNumId w:val="6"/>
  </w:num>
  <w:num w:numId="26">
    <w:abstractNumId w:val="34"/>
  </w:num>
  <w:num w:numId="27">
    <w:abstractNumId w:val="1"/>
  </w:num>
  <w:num w:numId="28">
    <w:abstractNumId w:val="3"/>
  </w:num>
  <w:num w:numId="29">
    <w:abstractNumId w:val="18"/>
  </w:num>
  <w:num w:numId="30">
    <w:abstractNumId w:val="2"/>
  </w:num>
  <w:num w:numId="31">
    <w:abstractNumId w:val="11"/>
  </w:num>
  <w:num w:numId="32">
    <w:abstractNumId w:val="27"/>
  </w:num>
  <w:num w:numId="33">
    <w:abstractNumId w:val="7"/>
  </w:num>
  <w:num w:numId="34">
    <w:abstractNumId w:val="30"/>
  </w:num>
  <w:num w:numId="35">
    <w:abstractNumId w:val="25"/>
  </w:num>
  <w:num w:numId="36">
    <w:abstractNumId w:val="19"/>
  </w:num>
  <w:num w:numId="37">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33E"/>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4FE8"/>
    <w:rsid w:val="000158C0"/>
    <w:rsid w:val="00015B24"/>
    <w:rsid w:val="000176A4"/>
    <w:rsid w:val="00020190"/>
    <w:rsid w:val="0002049D"/>
    <w:rsid w:val="00020B26"/>
    <w:rsid w:val="000217EF"/>
    <w:rsid w:val="000218E4"/>
    <w:rsid w:val="0002224E"/>
    <w:rsid w:val="00022FE4"/>
    <w:rsid w:val="0002412C"/>
    <w:rsid w:val="0002447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9F5"/>
    <w:rsid w:val="00032B0D"/>
    <w:rsid w:val="0003358F"/>
    <w:rsid w:val="00034B93"/>
    <w:rsid w:val="00034E30"/>
    <w:rsid w:val="000360C8"/>
    <w:rsid w:val="000362CE"/>
    <w:rsid w:val="00037B47"/>
    <w:rsid w:val="0004001D"/>
    <w:rsid w:val="000411DE"/>
    <w:rsid w:val="00041507"/>
    <w:rsid w:val="00041A80"/>
    <w:rsid w:val="00041D87"/>
    <w:rsid w:val="000421F9"/>
    <w:rsid w:val="00042390"/>
    <w:rsid w:val="000429E5"/>
    <w:rsid w:val="0004331B"/>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CB2"/>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BC"/>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877"/>
    <w:rsid w:val="000B62C0"/>
    <w:rsid w:val="000B6519"/>
    <w:rsid w:val="000B6966"/>
    <w:rsid w:val="000B713F"/>
    <w:rsid w:val="000B749B"/>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67F0"/>
    <w:rsid w:val="000C67F4"/>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0EB"/>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10B"/>
    <w:rsid w:val="000E4414"/>
    <w:rsid w:val="000E49C5"/>
    <w:rsid w:val="000E4D41"/>
    <w:rsid w:val="000E5826"/>
    <w:rsid w:val="000E68B3"/>
    <w:rsid w:val="000E7322"/>
    <w:rsid w:val="000E79F2"/>
    <w:rsid w:val="000E7DF1"/>
    <w:rsid w:val="000F071B"/>
    <w:rsid w:val="000F0B3F"/>
    <w:rsid w:val="000F110E"/>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0A71"/>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2A91"/>
    <w:rsid w:val="0011438A"/>
    <w:rsid w:val="00114401"/>
    <w:rsid w:val="00114DE7"/>
    <w:rsid w:val="00114E20"/>
    <w:rsid w:val="0011532B"/>
    <w:rsid w:val="0011565E"/>
    <w:rsid w:val="001157D9"/>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0E12"/>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06F7"/>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7F1"/>
    <w:rsid w:val="00146BD0"/>
    <w:rsid w:val="00147D1F"/>
    <w:rsid w:val="00150428"/>
    <w:rsid w:val="0015139E"/>
    <w:rsid w:val="001514F3"/>
    <w:rsid w:val="00151579"/>
    <w:rsid w:val="001517F3"/>
    <w:rsid w:val="00151831"/>
    <w:rsid w:val="00151BC7"/>
    <w:rsid w:val="00152031"/>
    <w:rsid w:val="001520C2"/>
    <w:rsid w:val="00152814"/>
    <w:rsid w:val="001528C9"/>
    <w:rsid w:val="001529DB"/>
    <w:rsid w:val="00152A29"/>
    <w:rsid w:val="0015385D"/>
    <w:rsid w:val="001549BD"/>
    <w:rsid w:val="00155370"/>
    <w:rsid w:val="0015601D"/>
    <w:rsid w:val="0015609C"/>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43B8"/>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4340"/>
    <w:rsid w:val="00184364"/>
    <w:rsid w:val="0018478D"/>
    <w:rsid w:val="001852FC"/>
    <w:rsid w:val="0018706A"/>
    <w:rsid w:val="0018760D"/>
    <w:rsid w:val="001878F8"/>
    <w:rsid w:val="00187CA3"/>
    <w:rsid w:val="00190A84"/>
    <w:rsid w:val="00190B1C"/>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386"/>
    <w:rsid w:val="001A15BB"/>
    <w:rsid w:val="001A1E4A"/>
    <w:rsid w:val="001A209A"/>
    <w:rsid w:val="001A21B5"/>
    <w:rsid w:val="001A2D32"/>
    <w:rsid w:val="001A3700"/>
    <w:rsid w:val="001A3F49"/>
    <w:rsid w:val="001A4D26"/>
    <w:rsid w:val="001A50F4"/>
    <w:rsid w:val="001A5786"/>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786"/>
    <w:rsid w:val="001C20E8"/>
    <w:rsid w:val="001C2CCA"/>
    <w:rsid w:val="001C32BA"/>
    <w:rsid w:val="001C3681"/>
    <w:rsid w:val="001C47D1"/>
    <w:rsid w:val="001C495C"/>
    <w:rsid w:val="001C4A65"/>
    <w:rsid w:val="001C4C48"/>
    <w:rsid w:val="001C54E3"/>
    <w:rsid w:val="001C5618"/>
    <w:rsid w:val="001C5A4B"/>
    <w:rsid w:val="001C5E55"/>
    <w:rsid w:val="001C5E84"/>
    <w:rsid w:val="001C62FC"/>
    <w:rsid w:val="001C6507"/>
    <w:rsid w:val="001C7307"/>
    <w:rsid w:val="001C7F84"/>
    <w:rsid w:val="001D030C"/>
    <w:rsid w:val="001D05F9"/>
    <w:rsid w:val="001D0621"/>
    <w:rsid w:val="001D0D45"/>
    <w:rsid w:val="001D1510"/>
    <w:rsid w:val="001D166F"/>
    <w:rsid w:val="001D1DD8"/>
    <w:rsid w:val="001D2C8E"/>
    <w:rsid w:val="001D30B9"/>
    <w:rsid w:val="001D36CE"/>
    <w:rsid w:val="001D47EE"/>
    <w:rsid w:val="001D4F48"/>
    <w:rsid w:val="001D4FD3"/>
    <w:rsid w:val="001D513B"/>
    <w:rsid w:val="001D51E2"/>
    <w:rsid w:val="001D5436"/>
    <w:rsid w:val="001D56B2"/>
    <w:rsid w:val="001D5A57"/>
    <w:rsid w:val="001D5B8F"/>
    <w:rsid w:val="001D6EA3"/>
    <w:rsid w:val="001D74C9"/>
    <w:rsid w:val="001E0EF5"/>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E74B4"/>
    <w:rsid w:val="001F07A7"/>
    <w:rsid w:val="001F090C"/>
    <w:rsid w:val="001F0D58"/>
    <w:rsid w:val="001F136B"/>
    <w:rsid w:val="001F1ACE"/>
    <w:rsid w:val="001F27E5"/>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A6B"/>
    <w:rsid w:val="00200B9D"/>
    <w:rsid w:val="00200D86"/>
    <w:rsid w:val="002011C7"/>
    <w:rsid w:val="00201385"/>
    <w:rsid w:val="00201426"/>
    <w:rsid w:val="00201E47"/>
    <w:rsid w:val="00202013"/>
    <w:rsid w:val="0020215F"/>
    <w:rsid w:val="00202889"/>
    <w:rsid w:val="00202EE2"/>
    <w:rsid w:val="00203022"/>
    <w:rsid w:val="002030ED"/>
    <w:rsid w:val="00203C8A"/>
    <w:rsid w:val="00204247"/>
    <w:rsid w:val="00204579"/>
    <w:rsid w:val="00204632"/>
    <w:rsid w:val="00204846"/>
    <w:rsid w:val="002048F9"/>
    <w:rsid w:val="00204BDF"/>
    <w:rsid w:val="002057E5"/>
    <w:rsid w:val="002059E4"/>
    <w:rsid w:val="00206B7F"/>
    <w:rsid w:val="00207127"/>
    <w:rsid w:val="00207997"/>
    <w:rsid w:val="00207D8A"/>
    <w:rsid w:val="00210246"/>
    <w:rsid w:val="00210668"/>
    <w:rsid w:val="00211A1A"/>
    <w:rsid w:val="0021216B"/>
    <w:rsid w:val="0021273A"/>
    <w:rsid w:val="00212799"/>
    <w:rsid w:val="00212843"/>
    <w:rsid w:val="002129A4"/>
    <w:rsid w:val="002129BD"/>
    <w:rsid w:val="00212AB6"/>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2F5"/>
    <w:rsid w:val="002374A5"/>
    <w:rsid w:val="002375D3"/>
    <w:rsid w:val="00242530"/>
    <w:rsid w:val="002425AA"/>
    <w:rsid w:val="00242C05"/>
    <w:rsid w:val="00243954"/>
    <w:rsid w:val="00243F08"/>
    <w:rsid w:val="0024413A"/>
    <w:rsid w:val="00244D7E"/>
    <w:rsid w:val="00245189"/>
    <w:rsid w:val="00245406"/>
    <w:rsid w:val="002457C9"/>
    <w:rsid w:val="0024667F"/>
    <w:rsid w:val="0024745A"/>
    <w:rsid w:val="002478B4"/>
    <w:rsid w:val="00250508"/>
    <w:rsid w:val="002514E7"/>
    <w:rsid w:val="00251A5E"/>
    <w:rsid w:val="002525D6"/>
    <w:rsid w:val="00252930"/>
    <w:rsid w:val="0025371F"/>
    <w:rsid w:val="00254370"/>
    <w:rsid w:val="002548EA"/>
    <w:rsid w:val="00254ABD"/>
    <w:rsid w:val="00255224"/>
    <w:rsid w:val="00255661"/>
    <w:rsid w:val="00255730"/>
    <w:rsid w:val="00255EB3"/>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77D72"/>
    <w:rsid w:val="00280156"/>
    <w:rsid w:val="002805D8"/>
    <w:rsid w:val="00280718"/>
    <w:rsid w:val="002819C7"/>
    <w:rsid w:val="00281AD8"/>
    <w:rsid w:val="00281F49"/>
    <w:rsid w:val="00281F5E"/>
    <w:rsid w:val="002823CF"/>
    <w:rsid w:val="00282A65"/>
    <w:rsid w:val="00283B09"/>
    <w:rsid w:val="00283CB2"/>
    <w:rsid w:val="00285237"/>
    <w:rsid w:val="00285AED"/>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325"/>
    <w:rsid w:val="00293427"/>
    <w:rsid w:val="002935B5"/>
    <w:rsid w:val="00294DCB"/>
    <w:rsid w:val="00295100"/>
    <w:rsid w:val="002961A3"/>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0D7"/>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2C61"/>
    <w:rsid w:val="002C31B8"/>
    <w:rsid w:val="002C40AC"/>
    <w:rsid w:val="002C4E8C"/>
    <w:rsid w:val="002C5164"/>
    <w:rsid w:val="002C5282"/>
    <w:rsid w:val="002C5956"/>
    <w:rsid w:val="002C5C07"/>
    <w:rsid w:val="002C658F"/>
    <w:rsid w:val="002C6808"/>
    <w:rsid w:val="002C72C9"/>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569"/>
    <w:rsid w:val="002D47E9"/>
    <w:rsid w:val="002D4DF4"/>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3D02"/>
    <w:rsid w:val="002F45BB"/>
    <w:rsid w:val="002F4C62"/>
    <w:rsid w:val="002F53C0"/>
    <w:rsid w:val="002F583C"/>
    <w:rsid w:val="002F5B0E"/>
    <w:rsid w:val="002F5BA4"/>
    <w:rsid w:val="002F67FD"/>
    <w:rsid w:val="002F6959"/>
    <w:rsid w:val="002F7CAB"/>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766"/>
    <w:rsid w:val="00307CD4"/>
    <w:rsid w:val="00307D0C"/>
    <w:rsid w:val="00310498"/>
    <w:rsid w:val="003105CC"/>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351"/>
    <w:rsid w:val="003245D1"/>
    <w:rsid w:val="003249C0"/>
    <w:rsid w:val="00324CBA"/>
    <w:rsid w:val="003255C1"/>
    <w:rsid w:val="003261A7"/>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5A93"/>
    <w:rsid w:val="00346395"/>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0CE"/>
    <w:rsid w:val="00365377"/>
    <w:rsid w:val="00365A24"/>
    <w:rsid w:val="00365F15"/>
    <w:rsid w:val="00366BCE"/>
    <w:rsid w:val="0037088D"/>
    <w:rsid w:val="00371090"/>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28CB"/>
    <w:rsid w:val="00393C8A"/>
    <w:rsid w:val="00393E1D"/>
    <w:rsid w:val="003947D4"/>
    <w:rsid w:val="00394F43"/>
    <w:rsid w:val="00395FA6"/>
    <w:rsid w:val="003967A6"/>
    <w:rsid w:val="00396B04"/>
    <w:rsid w:val="00396FB2"/>
    <w:rsid w:val="003974E9"/>
    <w:rsid w:val="003978FC"/>
    <w:rsid w:val="003A17B9"/>
    <w:rsid w:val="003A1ACF"/>
    <w:rsid w:val="003A22C7"/>
    <w:rsid w:val="003A3978"/>
    <w:rsid w:val="003A42FD"/>
    <w:rsid w:val="003A70B4"/>
    <w:rsid w:val="003B00AB"/>
    <w:rsid w:val="003B00DD"/>
    <w:rsid w:val="003B014E"/>
    <w:rsid w:val="003B0A0E"/>
    <w:rsid w:val="003B0B8D"/>
    <w:rsid w:val="003B13C4"/>
    <w:rsid w:val="003B1EC7"/>
    <w:rsid w:val="003B26F6"/>
    <w:rsid w:val="003B2A41"/>
    <w:rsid w:val="003B3910"/>
    <w:rsid w:val="003B4A5C"/>
    <w:rsid w:val="003B5073"/>
    <w:rsid w:val="003B5CDD"/>
    <w:rsid w:val="003B7872"/>
    <w:rsid w:val="003B7A2E"/>
    <w:rsid w:val="003C0C00"/>
    <w:rsid w:val="003C0E28"/>
    <w:rsid w:val="003C18B1"/>
    <w:rsid w:val="003C3B2C"/>
    <w:rsid w:val="003C52DF"/>
    <w:rsid w:val="003C5EEE"/>
    <w:rsid w:val="003C5F62"/>
    <w:rsid w:val="003C6D39"/>
    <w:rsid w:val="003C77EA"/>
    <w:rsid w:val="003C7AF5"/>
    <w:rsid w:val="003D0945"/>
    <w:rsid w:val="003D09A2"/>
    <w:rsid w:val="003D1706"/>
    <w:rsid w:val="003D1B49"/>
    <w:rsid w:val="003D35C3"/>
    <w:rsid w:val="003D37D9"/>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6F"/>
    <w:rsid w:val="003F10A4"/>
    <w:rsid w:val="003F28BC"/>
    <w:rsid w:val="003F32DA"/>
    <w:rsid w:val="003F3986"/>
    <w:rsid w:val="003F434D"/>
    <w:rsid w:val="003F4408"/>
    <w:rsid w:val="003F4E97"/>
    <w:rsid w:val="003F55AF"/>
    <w:rsid w:val="003F5DED"/>
    <w:rsid w:val="003F622F"/>
    <w:rsid w:val="003F6588"/>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A5D"/>
    <w:rsid w:val="00407B54"/>
    <w:rsid w:val="00410248"/>
    <w:rsid w:val="00410EDA"/>
    <w:rsid w:val="004112D0"/>
    <w:rsid w:val="00411946"/>
    <w:rsid w:val="00411C0C"/>
    <w:rsid w:val="004120ED"/>
    <w:rsid w:val="0041218E"/>
    <w:rsid w:val="004122EC"/>
    <w:rsid w:val="00413D3D"/>
    <w:rsid w:val="00415AC3"/>
    <w:rsid w:val="00416080"/>
    <w:rsid w:val="00416242"/>
    <w:rsid w:val="00416576"/>
    <w:rsid w:val="00416B4B"/>
    <w:rsid w:val="0041732D"/>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0F2"/>
    <w:rsid w:val="00446663"/>
    <w:rsid w:val="00446A09"/>
    <w:rsid w:val="004477F2"/>
    <w:rsid w:val="004509B2"/>
    <w:rsid w:val="00450AB7"/>
    <w:rsid w:val="00450ADF"/>
    <w:rsid w:val="00453D78"/>
    <w:rsid w:val="00455335"/>
    <w:rsid w:val="0045551F"/>
    <w:rsid w:val="0045554F"/>
    <w:rsid w:val="004566D2"/>
    <w:rsid w:val="004569D7"/>
    <w:rsid w:val="00456CB4"/>
    <w:rsid w:val="00457668"/>
    <w:rsid w:val="00460454"/>
    <w:rsid w:val="00460461"/>
    <w:rsid w:val="00460C7E"/>
    <w:rsid w:val="00460D9A"/>
    <w:rsid w:val="004610E5"/>
    <w:rsid w:val="00461240"/>
    <w:rsid w:val="004612C4"/>
    <w:rsid w:val="00461E61"/>
    <w:rsid w:val="0046214D"/>
    <w:rsid w:val="004623A2"/>
    <w:rsid w:val="004627EC"/>
    <w:rsid w:val="00462CA0"/>
    <w:rsid w:val="00463B31"/>
    <w:rsid w:val="00463E78"/>
    <w:rsid w:val="004640C4"/>
    <w:rsid w:val="00464D5D"/>
    <w:rsid w:val="00464EDE"/>
    <w:rsid w:val="00465146"/>
    <w:rsid w:val="0046522E"/>
    <w:rsid w:val="004652B6"/>
    <w:rsid w:val="00465A09"/>
    <w:rsid w:val="00466BDA"/>
    <w:rsid w:val="00466F97"/>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68B"/>
    <w:rsid w:val="00475B7A"/>
    <w:rsid w:val="00475C3A"/>
    <w:rsid w:val="00475F75"/>
    <w:rsid w:val="00476750"/>
    <w:rsid w:val="00476BDB"/>
    <w:rsid w:val="00476FC0"/>
    <w:rsid w:val="004771CF"/>
    <w:rsid w:val="004774BC"/>
    <w:rsid w:val="0048182E"/>
    <w:rsid w:val="00481D38"/>
    <w:rsid w:val="00482641"/>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2CAA"/>
    <w:rsid w:val="004A2F8D"/>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37B"/>
    <w:rsid w:val="004B451C"/>
    <w:rsid w:val="004B46B4"/>
    <w:rsid w:val="004B63BD"/>
    <w:rsid w:val="004B6FBC"/>
    <w:rsid w:val="004C06E5"/>
    <w:rsid w:val="004C0CB2"/>
    <w:rsid w:val="004C0D34"/>
    <w:rsid w:val="004C0EDC"/>
    <w:rsid w:val="004C1217"/>
    <w:rsid w:val="004C132D"/>
    <w:rsid w:val="004C1CED"/>
    <w:rsid w:val="004C203B"/>
    <w:rsid w:val="004C2DF1"/>
    <w:rsid w:val="004C354F"/>
    <w:rsid w:val="004C3BD4"/>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754"/>
    <w:rsid w:val="004D497A"/>
    <w:rsid w:val="004D54E6"/>
    <w:rsid w:val="004D588A"/>
    <w:rsid w:val="004D5944"/>
    <w:rsid w:val="004D691C"/>
    <w:rsid w:val="004E0CA1"/>
    <w:rsid w:val="004E0F6C"/>
    <w:rsid w:val="004E20DC"/>
    <w:rsid w:val="004E2A59"/>
    <w:rsid w:val="004E2AE9"/>
    <w:rsid w:val="004E315B"/>
    <w:rsid w:val="004E33B9"/>
    <w:rsid w:val="004E44DE"/>
    <w:rsid w:val="004E5781"/>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13C"/>
    <w:rsid w:val="00506756"/>
    <w:rsid w:val="00506B0E"/>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5AF0"/>
    <w:rsid w:val="005263CB"/>
    <w:rsid w:val="005269C9"/>
    <w:rsid w:val="00526CE7"/>
    <w:rsid w:val="00527F4B"/>
    <w:rsid w:val="0053003D"/>
    <w:rsid w:val="00530836"/>
    <w:rsid w:val="00530D0D"/>
    <w:rsid w:val="0053124F"/>
    <w:rsid w:val="00531D2E"/>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734"/>
    <w:rsid w:val="00570D9F"/>
    <w:rsid w:val="0057127D"/>
    <w:rsid w:val="00571A0F"/>
    <w:rsid w:val="00571B4A"/>
    <w:rsid w:val="005723D9"/>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77BB2"/>
    <w:rsid w:val="00580C62"/>
    <w:rsid w:val="0058126C"/>
    <w:rsid w:val="005822A7"/>
    <w:rsid w:val="0058241D"/>
    <w:rsid w:val="00583CC0"/>
    <w:rsid w:val="00584267"/>
    <w:rsid w:val="0058464B"/>
    <w:rsid w:val="0058465C"/>
    <w:rsid w:val="00584C9B"/>
    <w:rsid w:val="00584F26"/>
    <w:rsid w:val="00585901"/>
    <w:rsid w:val="00585C00"/>
    <w:rsid w:val="00585EDB"/>
    <w:rsid w:val="00586740"/>
    <w:rsid w:val="00586CE4"/>
    <w:rsid w:val="00587448"/>
    <w:rsid w:val="005904E5"/>
    <w:rsid w:val="00590508"/>
    <w:rsid w:val="00590D93"/>
    <w:rsid w:val="0059108B"/>
    <w:rsid w:val="0059112B"/>
    <w:rsid w:val="005911C0"/>
    <w:rsid w:val="00591343"/>
    <w:rsid w:val="005917AE"/>
    <w:rsid w:val="005917D7"/>
    <w:rsid w:val="0059198D"/>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52D"/>
    <w:rsid w:val="005B361B"/>
    <w:rsid w:val="005B3EBE"/>
    <w:rsid w:val="005B49F6"/>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2F86"/>
    <w:rsid w:val="005C3ACA"/>
    <w:rsid w:val="005C3D2B"/>
    <w:rsid w:val="005C4425"/>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2EB"/>
    <w:rsid w:val="005E148A"/>
    <w:rsid w:val="005E244B"/>
    <w:rsid w:val="005E2B56"/>
    <w:rsid w:val="005E2B89"/>
    <w:rsid w:val="005E2FC9"/>
    <w:rsid w:val="005E3001"/>
    <w:rsid w:val="005E345F"/>
    <w:rsid w:val="005E45D8"/>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50E"/>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3CA3"/>
    <w:rsid w:val="006244F8"/>
    <w:rsid w:val="006245F6"/>
    <w:rsid w:val="006247A3"/>
    <w:rsid w:val="00624A6F"/>
    <w:rsid w:val="00624F1B"/>
    <w:rsid w:val="00625D1F"/>
    <w:rsid w:val="00626036"/>
    <w:rsid w:val="00626C91"/>
    <w:rsid w:val="006274E3"/>
    <w:rsid w:val="006275CC"/>
    <w:rsid w:val="00627D4F"/>
    <w:rsid w:val="00627F47"/>
    <w:rsid w:val="00631023"/>
    <w:rsid w:val="00631E75"/>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91B"/>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5836"/>
    <w:rsid w:val="006568B2"/>
    <w:rsid w:val="0065694D"/>
    <w:rsid w:val="00657666"/>
    <w:rsid w:val="006577EF"/>
    <w:rsid w:val="006611EA"/>
    <w:rsid w:val="00661727"/>
    <w:rsid w:val="0066220A"/>
    <w:rsid w:val="00662B32"/>
    <w:rsid w:val="00662E8D"/>
    <w:rsid w:val="006633D3"/>
    <w:rsid w:val="006636BC"/>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395C"/>
    <w:rsid w:val="00674F0F"/>
    <w:rsid w:val="00675141"/>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19E"/>
    <w:rsid w:val="00684A6A"/>
    <w:rsid w:val="00684E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2647"/>
    <w:rsid w:val="006A344B"/>
    <w:rsid w:val="006A35D7"/>
    <w:rsid w:val="006A4BB6"/>
    <w:rsid w:val="006A5E95"/>
    <w:rsid w:val="006A651F"/>
    <w:rsid w:val="006A67C7"/>
    <w:rsid w:val="006A76C8"/>
    <w:rsid w:val="006B006E"/>
    <w:rsid w:val="006B0127"/>
    <w:rsid w:val="006B0B87"/>
    <w:rsid w:val="006B100B"/>
    <w:rsid w:val="006B25F1"/>
    <w:rsid w:val="006B2715"/>
    <w:rsid w:val="006B2946"/>
    <w:rsid w:val="006B39E1"/>
    <w:rsid w:val="006B4082"/>
    <w:rsid w:val="006B4114"/>
    <w:rsid w:val="006B5330"/>
    <w:rsid w:val="006B53DA"/>
    <w:rsid w:val="006B6B82"/>
    <w:rsid w:val="006B70AF"/>
    <w:rsid w:val="006C01B5"/>
    <w:rsid w:val="006C0897"/>
    <w:rsid w:val="006C251F"/>
    <w:rsid w:val="006C2795"/>
    <w:rsid w:val="006C2C25"/>
    <w:rsid w:val="006C2E70"/>
    <w:rsid w:val="006C2E82"/>
    <w:rsid w:val="006C3289"/>
    <w:rsid w:val="006C38BA"/>
    <w:rsid w:val="006C3A83"/>
    <w:rsid w:val="006C3ACD"/>
    <w:rsid w:val="006C3F22"/>
    <w:rsid w:val="006C55A9"/>
    <w:rsid w:val="006C567B"/>
    <w:rsid w:val="006C5BCB"/>
    <w:rsid w:val="006C5C55"/>
    <w:rsid w:val="006C6506"/>
    <w:rsid w:val="006C6D0B"/>
    <w:rsid w:val="006C7F04"/>
    <w:rsid w:val="006D0588"/>
    <w:rsid w:val="006D0A45"/>
    <w:rsid w:val="006D0C49"/>
    <w:rsid w:val="006D0EE0"/>
    <w:rsid w:val="006D0F2E"/>
    <w:rsid w:val="006D17B2"/>
    <w:rsid w:val="006D1C1D"/>
    <w:rsid w:val="006D2AB5"/>
    <w:rsid w:val="006D2BF6"/>
    <w:rsid w:val="006D346E"/>
    <w:rsid w:val="006D3CF1"/>
    <w:rsid w:val="006D4081"/>
    <w:rsid w:val="006D496B"/>
    <w:rsid w:val="006D4B5E"/>
    <w:rsid w:val="006D4C15"/>
    <w:rsid w:val="006D73DC"/>
    <w:rsid w:val="006D768F"/>
    <w:rsid w:val="006D7881"/>
    <w:rsid w:val="006D7F21"/>
    <w:rsid w:val="006E00BD"/>
    <w:rsid w:val="006E04C0"/>
    <w:rsid w:val="006E09F4"/>
    <w:rsid w:val="006E200C"/>
    <w:rsid w:val="006E224E"/>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3C5"/>
    <w:rsid w:val="006F462C"/>
    <w:rsid w:val="006F482D"/>
    <w:rsid w:val="006F5037"/>
    <w:rsid w:val="006F7696"/>
    <w:rsid w:val="0070020C"/>
    <w:rsid w:val="007004CD"/>
    <w:rsid w:val="00700715"/>
    <w:rsid w:val="00700AC5"/>
    <w:rsid w:val="00700D86"/>
    <w:rsid w:val="00701118"/>
    <w:rsid w:val="00701A6C"/>
    <w:rsid w:val="00701EDA"/>
    <w:rsid w:val="00701FA6"/>
    <w:rsid w:val="0070252D"/>
    <w:rsid w:val="00702BC9"/>
    <w:rsid w:val="00702C60"/>
    <w:rsid w:val="00704085"/>
    <w:rsid w:val="0070434E"/>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135"/>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0DC8"/>
    <w:rsid w:val="00731E5C"/>
    <w:rsid w:val="00732206"/>
    <w:rsid w:val="00732A0F"/>
    <w:rsid w:val="00733434"/>
    <w:rsid w:val="007337EC"/>
    <w:rsid w:val="00733CA3"/>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6EDC"/>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04A"/>
    <w:rsid w:val="00787342"/>
    <w:rsid w:val="00787723"/>
    <w:rsid w:val="00790DA2"/>
    <w:rsid w:val="00791287"/>
    <w:rsid w:val="007918FE"/>
    <w:rsid w:val="00791EA3"/>
    <w:rsid w:val="007926D1"/>
    <w:rsid w:val="0079271D"/>
    <w:rsid w:val="00792721"/>
    <w:rsid w:val="00793222"/>
    <w:rsid w:val="0079376A"/>
    <w:rsid w:val="00793EE7"/>
    <w:rsid w:val="00794B4F"/>
    <w:rsid w:val="00795A48"/>
    <w:rsid w:val="00795D07"/>
    <w:rsid w:val="00795FA0"/>
    <w:rsid w:val="007961FE"/>
    <w:rsid w:val="00796856"/>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764C"/>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9B6"/>
    <w:rsid w:val="007D0B4E"/>
    <w:rsid w:val="007D106C"/>
    <w:rsid w:val="007D2238"/>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EC8"/>
    <w:rsid w:val="00834F79"/>
    <w:rsid w:val="008350EE"/>
    <w:rsid w:val="00835855"/>
    <w:rsid w:val="00837654"/>
    <w:rsid w:val="00837D23"/>
    <w:rsid w:val="00837DC5"/>
    <w:rsid w:val="00837EBF"/>
    <w:rsid w:val="008402D1"/>
    <w:rsid w:val="008406EE"/>
    <w:rsid w:val="0084099C"/>
    <w:rsid w:val="008413CF"/>
    <w:rsid w:val="0084176D"/>
    <w:rsid w:val="00842B9C"/>
    <w:rsid w:val="00843603"/>
    <w:rsid w:val="00844899"/>
    <w:rsid w:val="00844B12"/>
    <w:rsid w:val="00845610"/>
    <w:rsid w:val="00845F46"/>
    <w:rsid w:val="00845FC5"/>
    <w:rsid w:val="00847260"/>
    <w:rsid w:val="0084740B"/>
    <w:rsid w:val="00847E0F"/>
    <w:rsid w:val="00847F80"/>
    <w:rsid w:val="00850ABB"/>
    <w:rsid w:val="00851C1E"/>
    <w:rsid w:val="00851DDA"/>
    <w:rsid w:val="00852C1A"/>
    <w:rsid w:val="00853B1B"/>
    <w:rsid w:val="0085449A"/>
    <w:rsid w:val="00855618"/>
    <w:rsid w:val="008558DE"/>
    <w:rsid w:val="00855C07"/>
    <w:rsid w:val="00856F84"/>
    <w:rsid w:val="008570AD"/>
    <w:rsid w:val="008575DD"/>
    <w:rsid w:val="00860EBD"/>
    <w:rsid w:val="00862A49"/>
    <w:rsid w:val="00864AA0"/>
    <w:rsid w:val="00864CF4"/>
    <w:rsid w:val="00864E63"/>
    <w:rsid w:val="00864FDB"/>
    <w:rsid w:val="00865458"/>
    <w:rsid w:val="00865C96"/>
    <w:rsid w:val="00866484"/>
    <w:rsid w:val="008666C4"/>
    <w:rsid w:val="00866708"/>
    <w:rsid w:val="00867237"/>
    <w:rsid w:val="0086746F"/>
    <w:rsid w:val="00867B6B"/>
    <w:rsid w:val="00867BD2"/>
    <w:rsid w:val="00867E24"/>
    <w:rsid w:val="00870409"/>
    <w:rsid w:val="00870552"/>
    <w:rsid w:val="0087057D"/>
    <w:rsid w:val="0087157A"/>
    <w:rsid w:val="00871874"/>
    <w:rsid w:val="008718BF"/>
    <w:rsid w:val="00871F28"/>
    <w:rsid w:val="0087218F"/>
    <w:rsid w:val="0087245A"/>
    <w:rsid w:val="00873AD3"/>
    <w:rsid w:val="00873B74"/>
    <w:rsid w:val="00873BD1"/>
    <w:rsid w:val="00875578"/>
    <w:rsid w:val="0087587C"/>
    <w:rsid w:val="008769F9"/>
    <w:rsid w:val="008770BD"/>
    <w:rsid w:val="008770DC"/>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AAE"/>
    <w:rsid w:val="008B3D0A"/>
    <w:rsid w:val="008B4658"/>
    <w:rsid w:val="008B4A00"/>
    <w:rsid w:val="008B4DAC"/>
    <w:rsid w:val="008B51B0"/>
    <w:rsid w:val="008B58FD"/>
    <w:rsid w:val="008B5DCA"/>
    <w:rsid w:val="008B60CC"/>
    <w:rsid w:val="008B61D2"/>
    <w:rsid w:val="008B6CB4"/>
    <w:rsid w:val="008B74AF"/>
    <w:rsid w:val="008B7889"/>
    <w:rsid w:val="008B7B31"/>
    <w:rsid w:val="008B7F5E"/>
    <w:rsid w:val="008C0BCD"/>
    <w:rsid w:val="008C12E8"/>
    <w:rsid w:val="008C13EB"/>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0EC"/>
    <w:rsid w:val="008F0188"/>
    <w:rsid w:val="008F02FF"/>
    <w:rsid w:val="008F0C24"/>
    <w:rsid w:val="008F10BB"/>
    <w:rsid w:val="008F10DC"/>
    <w:rsid w:val="008F4A64"/>
    <w:rsid w:val="008F4A70"/>
    <w:rsid w:val="008F4EC2"/>
    <w:rsid w:val="008F5202"/>
    <w:rsid w:val="008F58E6"/>
    <w:rsid w:val="008F5A9A"/>
    <w:rsid w:val="008F5AFB"/>
    <w:rsid w:val="008F5F5D"/>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6B1"/>
    <w:rsid w:val="00911298"/>
    <w:rsid w:val="00911BCB"/>
    <w:rsid w:val="00912F71"/>
    <w:rsid w:val="00913254"/>
    <w:rsid w:val="00913441"/>
    <w:rsid w:val="00914395"/>
    <w:rsid w:val="0091477A"/>
    <w:rsid w:val="00914820"/>
    <w:rsid w:val="0091495D"/>
    <w:rsid w:val="0091548C"/>
    <w:rsid w:val="00915749"/>
    <w:rsid w:val="00915AD4"/>
    <w:rsid w:val="00915FB0"/>
    <w:rsid w:val="00916AA2"/>
    <w:rsid w:val="00916BB1"/>
    <w:rsid w:val="00916C94"/>
    <w:rsid w:val="00916F7D"/>
    <w:rsid w:val="00920248"/>
    <w:rsid w:val="00920364"/>
    <w:rsid w:val="00920CE3"/>
    <w:rsid w:val="00921383"/>
    <w:rsid w:val="00921774"/>
    <w:rsid w:val="00921879"/>
    <w:rsid w:val="009218C4"/>
    <w:rsid w:val="00921C34"/>
    <w:rsid w:val="00921E9A"/>
    <w:rsid w:val="00922198"/>
    <w:rsid w:val="00922973"/>
    <w:rsid w:val="00923138"/>
    <w:rsid w:val="009237C3"/>
    <w:rsid w:val="00924FB5"/>
    <w:rsid w:val="00925812"/>
    <w:rsid w:val="0092588B"/>
    <w:rsid w:val="00926640"/>
    <w:rsid w:val="00927869"/>
    <w:rsid w:val="00927D1D"/>
    <w:rsid w:val="009302DB"/>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565"/>
    <w:rsid w:val="00935852"/>
    <w:rsid w:val="00936552"/>
    <w:rsid w:val="00936919"/>
    <w:rsid w:val="00936DEA"/>
    <w:rsid w:val="00937189"/>
    <w:rsid w:val="00937908"/>
    <w:rsid w:val="0093799D"/>
    <w:rsid w:val="00937ABC"/>
    <w:rsid w:val="00940176"/>
    <w:rsid w:val="0094020C"/>
    <w:rsid w:val="00940B12"/>
    <w:rsid w:val="00940D4B"/>
    <w:rsid w:val="00940F22"/>
    <w:rsid w:val="009418DD"/>
    <w:rsid w:val="009421BF"/>
    <w:rsid w:val="009427BA"/>
    <w:rsid w:val="00943268"/>
    <w:rsid w:val="00943420"/>
    <w:rsid w:val="00943A0A"/>
    <w:rsid w:val="00943E29"/>
    <w:rsid w:val="00944AE0"/>
    <w:rsid w:val="00944BD7"/>
    <w:rsid w:val="00944CC1"/>
    <w:rsid w:val="00945404"/>
    <w:rsid w:val="009464AB"/>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5C19"/>
    <w:rsid w:val="0095619F"/>
    <w:rsid w:val="0095694C"/>
    <w:rsid w:val="0095698F"/>
    <w:rsid w:val="00957370"/>
    <w:rsid w:val="00957574"/>
    <w:rsid w:val="00960869"/>
    <w:rsid w:val="0096094E"/>
    <w:rsid w:val="00960F10"/>
    <w:rsid w:val="009614D8"/>
    <w:rsid w:val="00961548"/>
    <w:rsid w:val="00961BAD"/>
    <w:rsid w:val="009622EF"/>
    <w:rsid w:val="009623F1"/>
    <w:rsid w:val="0096256A"/>
    <w:rsid w:val="00962597"/>
    <w:rsid w:val="00962622"/>
    <w:rsid w:val="00962AFC"/>
    <w:rsid w:val="0096398D"/>
    <w:rsid w:val="00963CCF"/>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44A"/>
    <w:rsid w:val="00993F52"/>
    <w:rsid w:val="0099475E"/>
    <w:rsid w:val="009950A5"/>
    <w:rsid w:val="00995DB2"/>
    <w:rsid w:val="0099619E"/>
    <w:rsid w:val="00996B98"/>
    <w:rsid w:val="00996D2F"/>
    <w:rsid w:val="0099754F"/>
    <w:rsid w:val="0099762D"/>
    <w:rsid w:val="009A0431"/>
    <w:rsid w:val="009A0AEE"/>
    <w:rsid w:val="009A0AEF"/>
    <w:rsid w:val="009A0EC7"/>
    <w:rsid w:val="009A13E5"/>
    <w:rsid w:val="009A1773"/>
    <w:rsid w:val="009A17C9"/>
    <w:rsid w:val="009A1984"/>
    <w:rsid w:val="009A211D"/>
    <w:rsid w:val="009A21BF"/>
    <w:rsid w:val="009A2321"/>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3E0D"/>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ACD"/>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7E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228"/>
    <w:rsid w:val="00A22AED"/>
    <w:rsid w:val="00A22D11"/>
    <w:rsid w:val="00A22EBC"/>
    <w:rsid w:val="00A2405B"/>
    <w:rsid w:val="00A24780"/>
    <w:rsid w:val="00A2495F"/>
    <w:rsid w:val="00A24D6F"/>
    <w:rsid w:val="00A24E35"/>
    <w:rsid w:val="00A24EC5"/>
    <w:rsid w:val="00A25047"/>
    <w:rsid w:val="00A250C5"/>
    <w:rsid w:val="00A2578B"/>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4C53"/>
    <w:rsid w:val="00A45130"/>
    <w:rsid w:val="00A45174"/>
    <w:rsid w:val="00A45215"/>
    <w:rsid w:val="00A4555B"/>
    <w:rsid w:val="00A45C5B"/>
    <w:rsid w:val="00A45D56"/>
    <w:rsid w:val="00A463D4"/>
    <w:rsid w:val="00A4679A"/>
    <w:rsid w:val="00A46F4A"/>
    <w:rsid w:val="00A470C1"/>
    <w:rsid w:val="00A47D66"/>
    <w:rsid w:val="00A5008C"/>
    <w:rsid w:val="00A50175"/>
    <w:rsid w:val="00A50AA9"/>
    <w:rsid w:val="00A517E8"/>
    <w:rsid w:val="00A51FD4"/>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67DB0"/>
    <w:rsid w:val="00A70248"/>
    <w:rsid w:val="00A70852"/>
    <w:rsid w:val="00A71760"/>
    <w:rsid w:val="00A7231A"/>
    <w:rsid w:val="00A7246A"/>
    <w:rsid w:val="00A72570"/>
    <w:rsid w:val="00A72803"/>
    <w:rsid w:val="00A738A0"/>
    <w:rsid w:val="00A73998"/>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409"/>
    <w:rsid w:val="00AA4C6C"/>
    <w:rsid w:val="00AA50DA"/>
    <w:rsid w:val="00AA533C"/>
    <w:rsid w:val="00AA554C"/>
    <w:rsid w:val="00AA593C"/>
    <w:rsid w:val="00AA59D3"/>
    <w:rsid w:val="00AA5CEB"/>
    <w:rsid w:val="00AA5D9E"/>
    <w:rsid w:val="00AA6192"/>
    <w:rsid w:val="00AA67B6"/>
    <w:rsid w:val="00AA6945"/>
    <w:rsid w:val="00AA6E52"/>
    <w:rsid w:val="00AA711C"/>
    <w:rsid w:val="00AA75AF"/>
    <w:rsid w:val="00AA79A4"/>
    <w:rsid w:val="00AA7A7A"/>
    <w:rsid w:val="00AA7FBD"/>
    <w:rsid w:val="00AB003A"/>
    <w:rsid w:val="00AB0D6C"/>
    <w:rsid w:val="00AB0E56"/>
    <w:rsid w:val="00AB1053"/>
    <w:rsid w:val="00AB1174"/>
    <w:rsid w:val="00AB1258"/>
    <w:rsid w:val="00AB1371"/>
    <w:rsid w:val="00AB1C74"/>
    <w:rsid w:val="00AB3083"/>
    <w:rsid w:val="00AB30B3"/>
    <w:rsid w:val="00AB3648"/>
    <w:rsid w:val="00AB4099"/>
    <w:rsid w:val="00AB4A8B"/>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DC5"/>
    <w:rsid w:val="00AE1E0A"/>
    <w:rsid w:val="00AE2C0C"/>
    <w:rsid w:val="00AE3704"/>
    <w:rsid w:val="00AE41B3"/>
    <w:rsid w:val="00AE4283"/>
    <w:rsid w:val="00AE4596"/>
    <w:rsid w:val="00AE45F2"/>
    <w:rsid w:val="00AE4BEC"/>
    <w:rsid w:val="00AE5944"/>
    <w:rsid w:val="00AE627A"/>
    <w:rsid w:val="00AE68D6"/>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3AD"/>
    <w:rsid w:val="00AF4AA6"/>
    <w:rsid w:val="00AF4DCB"/>
    <w:rsid w:val="00AF4F7F"/>
    <w:rsid w:val="00AF7182"/>
    <w:rsid w:val="00AF754A"/>
    <w:rsid w:val="00AF780F"/>
    <w:rsid w:val="00AF7B46"/>
    <w:rsid w:val="00B00595"/>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799"/>
    <w:rsid w:val="00B21368"/>
    <w:rsid w:val="00B215A8"/>
    <w:rsid w:val="00B21E0E"/>
    <w:rsid w:val="00B22189"/>
    <w:rsid w:val="00B24090"/>
    <w:rsid w:val="00B25572"/>
    <w:rsid w:val="00B26A0B"/>
    <w:rsid w:val="00B273E1"/>
    <w:rsid w:val="00B27DB8"/>
    <w:rsid w:val="00B30F7E"/>
    <w:rsid w:val="00B30FC0"/>
    <w:rsid w:val="00B322BC"/>
    <w:rsid w:val="00B322D1"/>
    <w:rsid w:val="00B32767"/>
    <w:rsid w:val="00B33932"/>
    <w:rsid w:val="00B33E1F"/>
    <w:rsid w:val="00B34006"/>
    <w:rsid w:val="00B342AA"/>
    <w:rsid w:val="00B3442F"/>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5D5E"/>
    <w:rsid w:val="00B46015"/>
    <w:rsid w:val="00B46221"/>
    <w:rsid w:val="00B46512"/>
    <w:rsid w:val="00B46820"/>
    <w:rsid w:val="00B46AD8"/>
    <w:rsid w:val="00B46E60"/>
    <w:rsid w:val="00B46EB4"/>
    <w:rsid w:val="00B4747F"/>
    <w:rsid w:val="00B476B5"/>
    <w:rsid w:val="00B510E1"/>
    <w:rsid w:val="00B51C75"/>
    <w:rsid w:val="00B52171"/>
    <w:rsid w:val="00B522B9"/>
    <w:rsid w:val="00B530F8"/>
    <w:rsid w:val="00B5316D"/>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80C"/>
    <w:rsid w:val="00B74D6F"/>
    <w:rsid w:val="00B755A7"/>
    <w:rsid w:val="00B76A54"/>
    <w:rsid w:val="00B76DCF"/>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87FD6"/>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0C37"/>
    <w:rsid w:val="00BA11FF"/>
    <w:rsid w:val="00BA19E9"/>
    <w:rsid w:val="00BA1EC0"/>
    <w:rsid w:val="00BA222B"/>
    <w:rsid w:val="00BA2FA9"/>
    <w:rsid w:val="00BA353D"/>
    <w:rsid w:val="00BA3BF6"/>
    <w:rsid w:val="00BA43C9"/>
    <w:rsid w:val="00BA4DF7"/>
    <w:rsid w:val="00BA5497"/>
    <w:rsid w:val="00BA56E5"/>
    <w:rsid w:val="00BA5DD4"/>
    <w:rsid w:val="00BA7109"/>
    <w:rsid w:val="00BA7296"/>
    <w:rsid w:val="00BA7B14"/>
    <w:rsid w:val="00BA7D91"/>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4CA"/>
    <w:rsid w:val="00BD4A94"/>
    <w:rsid w:val="00BD4ABE"/>
    <w:rsid w:val="00BD55BF"/>
    <w:rsid w:val="00BD5A35"/>
    <w:rsid w:val="00BD5C90"/>
    <w:rsid w:val="00BD6259"/>
    <w:rsid w:val="00BD763E"/>
    <w:rsid w:val="00BD773F"/>
    <w:rsid w:val="00BD780B"/>
    <w:rsid w:val="00BD7ABA"/>
    <w:rsid w:val="00BE00FA"/>
    <w:rsid w:val="00BE07EE"/>
    <w:rsid w:val="00BE081B"/>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46F"/>
    <w:rsid w:val="00BE5677"/>
    <w:rsid w:val="00BE5752"/>
    <w:rsid w:val="00BE6DD6"/>
    <w:rsid w:val="00BE74ED"/>
    <w:rsid w:val="00BE7BED"/>
    <w:rsid w:val="00BE7DDC"/>
    <w:rsid w:val="00BF04A1"/>
    <w:rsid w:val="00BF0912"/>
    <w:rsid w:val="00BF12B1"/>
    <w:rsid w:val="00BF1A7E"/>
    <w:rsid w:val="00BF1BC8"/>
    <w:rsid w:val="00BF1E39"/>
    <w:rsid w:val="00BF22EB"/>
    <w:rsid w:val="00BF2369"/>
    <w:rsid w:val="00BF2805"/>
    <w:rsid w:val="00BF3091"/>
    <w:rsid w:val="00BF319E"/>
    <w:rsid w:val="00BF3375"/>
    <w:rsid w:val="00BF35D1"/>
    <w:rsid w:val="00BF3A56"/>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22C"/>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1D85"/>
    <w:rsid w:val="00C1270A"/>
    <w:rsid w:val="00C13BC9"/>
    <w:rsid w:val="00C143A4"/>
    <w:rsid w:val="00C151B3"/>
    <w:rsid w:val="00C15405"/>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0C2"/>
    <w:rsid w:val="00C26689"/>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456"/>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1BE5"/>
    <w:rsid w:val="00C51E64"/>
    <w:rsid w:val="00C52090"/>
    <w:rsid w:val="00C52912"/>
    <w:rsid w:val="00C52CE4"/>
    <w:rsid w:val="00C539AF"/>
    <w:rsid w:val="00C53C7B"/>
    <w:rsid w:val="00C5451D"/>
    <w:rsid w:val="00C546B1"/>
    <w:rsid w:val="00C54855"/>
    <w:rsid w:val="00C548AF"/>
    <w:rsid w:val="00C557D8"/>
    <w:rsid w:val="00C567D6"/>
    <w:rsid w:val="00C56C51"/>
    <w:rsid w:val="00C573D9"/>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03A"/>
    <w:rsid w:val="00C668A7"/>
    <w:rsid w:val="00C66CFF"/>
    <w:rsid w:val="00C67E8D"/>
    <w:rsid w:val="00C70668"/>
    <w:rsid w:val="00C70B2D"/>
    <w:rsid w:val="00C70E3A"/>
    <w:rsid w:val="00C71BE6"/>
    <w:rsid w:val="00C721FF"/>
    <w:rsid w:val="00C72D48"/>
    <w:rsid w:val="00C73AA8"/>
    <w:rsid w:val="00C74441"/>
    <w:rsid w:val="00C7483D"/>
    <w:rsid w:val="00C75525"/>
    <w:rsid w:val="00C75ED1"/>
    <w:rsid w:val="00C760DD"/>
    <w:rsid w:val="00C77B24"/>
    <w:rsid w:val="00C80F3B"/>
    <w:rsid w:val="00C81022"/>
    <w:rsid w:val="00C82096"/>
    <w:rsid w:val="00C82571"/>
    <w:rsid w:val="00C832E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55C"/>
    <w:rsid w:val="00C92788"/>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846"/>
    <w:rsid w:val="00CD3D73"/>
    <w:rsid w:val="00CD432E"/>
    <w:rsid w:val="00CD4930"/>
    <w:rsid w:val="00CD51C3"/>
    <w:rsid w:val="00CD5ECA"/>
    <w:rsid w:val="00CD6B34"/>
    <w:rsid w:val="00CD6E90"/>
    <w:rsid w:val="00CD707C"/>
    <w:rsid w:val="00CD70BF"/>
    <w:rsid w:val="00CD7B6F"/>
    <w:rsid w:val="00CE0441"/>
    <w:rsid w:val="00CE0A41"/>
    <w:rsid w:val="00CE0AD8"/>
    <w:rsid w:val="00CE1C7B"/>
    <w:rsid w:val="00CE4296"/>
    <w:rsid w:val="00CE574D"/>
    <w:rsid w:val="00CE5948"/>
    <w:rsid w:val="00CE6211"/>
    <w:rsid w:val="00CE66A2"/>
    <w:rsid w:val="00CE69AC"/>
    <w:rsid w:val="00CE6F95"/>
    <w:rsid w:val="00CE79C8"/>
    <w:rsid w:val="00CF000B"/>
    <w:rsid w:val="00CF0070"/>
    <w:rsid w:val="00CF00FB"/>
    <w:rsid w:val="00CF0C10"/>
    <w:rsid w:val="00CF22D6"/>
    <w:rsid w:val="00CF23C7"/>
    <w:rsid w:val="00CF305E"/>
    <w:rsid w:val="00CF36E4"/>
    <w:rsid w:val="00CF3931"/>
    <w:rsid w:val="00CF40A8"/>
    <w:rsid w:val="00CF4B65"/>
    <w:rsid w:val="00CF52EE"/>
    <w:rsid w:val="00CF5834"/>
    <w:rsid w:val="00CF5AB3"/>
    <w:rsid w:val="00CF5C19"/>
    <w:rsid w:val="00CF606D"/>
    <w:rsid w:val="00CF6197"/>
    <w:rsid w:val="00CF6652"/>
    <w:rsid w:val="00CF67C8"/>
    <w:rsid w:val="00CF6A8B"/>
    <w:rsid w:val="00CF6CBC"/>
    <w:rsid w:val="00CF6D27"/>
    <w:rsid w:val="00CF6D64"/>
    <w:rsid w:val="00CF70CC"/>
    <w:rsid w:val="00D007D4"/>
    <w:rsid w:val="00D00831"/>
    <w:rsid w:val="00D012A6"/>
    <w:rsid w:val="00D0140D"/>
    <w:rsid w:val="00D02A6B"/>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468"/>
    <w:rsid w:val="00D248D7"/>
    <w:rsid w:val="00D254C6"/>
    <w:rsid w:val="00D25507"/>
    <w:rsid w:val="00D258E7"/>
    <w:rsid w:val="00D261A6"/>
    <w:rsid w:val="00D26313"/>
    <w:rsid w:val="00D267D4"/>
    <w:rsid w:val="00D26A50"/>
    <w:rsid w:val="00D26A99"/>
    <w:rsid w:val="00D2770A"/>
    <w:rsid w:val="00D310B5"/>
    <w:rsid w:val="00D310DB"/>
    <w:rsid w:val="00D31788"/>
    <w:rsid w:val="00D31DEA"/>
    <w:rsid w:val="00D32746"/>
    <w:rsid w:val="00D33505"/>
    <w:rsid w:val="00D336AE"/>
    <w:rsid w:val="00D3372E"/>
    <w:rsid w:val="00D33DBF"/>
    <w:rsid w:val="00D3444A"/>
    <w:rsid w:val="00D34EBC"/>
    <w:rsid w:val="00D34FBF"/>
    <w:rsid w:val="00D369D6"/>
    <w:rsid w:val="00D37090"/>
    <w:rsid w:val="00D373D2"/>
    <w:rsid w:val="00D375A8"/>
    <w:rsid w:val="00D37771"/>
    <w:rsid w:val="00D377B5"/>
    <w:rsid w:val="00D37A0F"/>
    <w:rsid w:val="00D4076A"/>
    <w:rsid w:val="00D40899"/>
    <w:rsid w:val="00D408D8"/>
    <w:rsid w:val="00D410FF"/>
    <w:rsid w:val="00D416A0"/>
    <w:rsid w:val="00D4271E"/>
    <w:rsid w:val="00D42912"/>
    <w:rsid w:val="00D42ADB"/>
    <w:rsid w:val="00D43110"/>
    <w:rsid w:val="00D432E2"/>
    <w:rsid w:val="00D43461"/>
    <w:rsid w:val="00D43599"/>
    <w:rsid w:val="00D44156"/>
    <w:rsid w:val="00D4440E"/>
    <w:rsid w:val="00D44A44"/>
    <w:rsid w:val="00D44F76"/>
    <w:rsid w:val="00D456E3"/>
    <w:rsid w:val="00D45713"/>
    <w:rsid w:val="00D45A57"/>
    <w:rsid w:val="00D45C56"/>
    <w:rsid w:val="00D462E6"/>
    <w:rsid w:val="00D46C6B"/>
    <w:rsid w:val="00D479B2"/>
    <w:rsid w:val="00D50078"/>
    <w:rsid w:val="00D50729"/>
    <w:rsid w:val="00D50B04"/>
    <w:rsid w:val="00D5124C"/>
    <w:rsid w:val="00D5137E"/>
    <w:rsid w:val="00D5262C"/>
    <w:rsid w:val="00D53C99"/>
    <w:rsid w:val="00D548B7"/>
    <w:rsid w:val="00D55063"/>
    <w:rsid w:val="00D55671"/>
    <w:rsid w:val="00D55CE1"/>
    <w:rsid w:val="00D5613A"/>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6AF"/>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172"/>
    <w:rsid w:val="00D8296C"/>
    <w:rsid w:val="00D82ABD"/>
    <w:rsid w:val="00D82FB9"/>
    <w:rsid w:val="00D83E58"/>
    <w:rsid w:val="00D8410F"/>
    <w:rsid w:val="00D84EDE"/>
    <w:rsid w:val="00D859BE"/>
    <w:rsid w:val="00D85B56"/>
    <w:rsid w:val="00D862E5"/>
    <w:rsid w:val="00D86705"/>
    <w:rsid w:val="00D86D85"/>
    <w:rsid w:val="00D86FD2"/>
    <w:rsid w:val="00D87751"/>
    <w:rsid w:val="00D90344"/>
    <w:rsid w:val="00D908E6"/>
    <w:rsid w:val="00D909D3"/>
    <w:rsid w:val="00D90CF9"/>
    <w:rsid w:val="00D90D71"/>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27B7"/>
    <w:rsid w:val="00DA3201"/>
    <w:rsid w:val="00DA331A"/>
    <w:rsid w:val="00DA3F33"/>
    <w:rsid w:val="00DA400D"/>
    <w:rsid w:val="00DA4535"/>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6DAE"/>
    <w:rsid w:val="00DD741E"/>
    <w:rsid w:val="00DD7508"/>
    <w:rsid w:val="00DD76D3"/>
    <w:rsid w:val="00DD77C3"/>
    <w:rsid w:val="00DE0435"/>
    <w:rsid w:val="00DE0668"/>
    <w:rsid w:val="00DE0D29"/>
    <w:rsid w:val="00DE11C3"/>
    <w:rsid w:val="00DE1492"/>
    <w:rsid w:val="00DE1699"/>
    <w:rsid w:val="00DE2573"/>
    <w:rsid w:val="00DE2C53"/>
    <w:rsid w:val="00DE303C"/>
    <w:rsid w:val="00DE3194"/>
    <w:rsid w:val="00DE31C2"/>
    <w:rsid w:val="00DE3241"/>
    <w:rsid w:val="00DE36CA"/>
    <w:rsid w:val="00DE379D"/>
    <w:rsid w:val="00DE42EA"/>
    <w:rsid w:val="00DE4E79"/>
    <w:rsid w:val="00DE50F7"/>
    <w:rsid w:val="00DE5D2E"/>
    <w:rsid w:val="00DE6345"/>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0F0"/>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11"/>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267"/>
    <w:rsid w:val="00E113FB"/>
    <w:rsid w:val="00E1162E"/>
    <w:rsid w:val="00E11A53"/>
    <w:rsid w:val="00E11A6C"/>
    <w:rsid w:val="00E11CB4"/>
    <w:rsid w:val="00E1282E"/>
    <w:rsid w:val="00E12ADB"/>
    <w:rsid w:val="00E12D6D"/>
    <w:rsid w:val="00E13245"/>
    <w:rsid w:val="00E13C5C"/>
    <w:rsid w:val="00E13C8B"/>
    <w:rsid w:val="00E13F95"/>
    <w:rsid w:val="00E1430E"/>
    <w:rsid w:val="00E144DD"/>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5B64"/>
    <w:rsid w:val="00E25E9C"/>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0"/>
    <w:rsid w:val="00E45512"/>
    <w:rsid w:val="00E45F7A"/>
    <w:rsid w:val="00E46BB9"/>
    <w:rsid w:val="00E46FE8"/>
    <w:rsid w:val="00E4781C"/>
    <w:rsid w:val="00E47A2B"/>
    <w:rsid w:val="00E47B45"/>
    <w:rsid w:val="00E47D65"/>
    <w:rsid w:val="00E47EEE"/>
    <w:rsid w:val="00E5012B"/>
    <w:rsid w:val="00E503C3"/>
    <w:rsid w:val="00E50B73"/>
    <w:rsid w:val="00E5167E"/>
    <w:rsid w:val="00E51C1C"/>
    <w:rsid w:val="00E524E1"/>
    <w:rsid w:val="00E527DE"/>
    <w:rsid w:val="00E52951"/>
    <w:rsid w:val="00E52EAF"/>
    <w:rsid w:val="00E535A6"/>
    <w:rsid w:val="00E53ABC"/>
    <w:rsid w:val="00E5461E"/>
    <w:rsid w:val="00E56BEF"/>
    <w:rsid w:val="00E56CD8"/>
    <w:rsid w:val="00E56DEE"/>
    <w:rsid w:val="00E56F9C"/>
    <w:rsid w:val="00E5704C"/>
    <w:rsid w:val="00E572A7"/>
    <w:rsid w:val="00E57D8F"/>
    <w:rsid w:val="00E60D73"/>
    <w:rsid w:val="00E613B5"/>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6F15"/>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58EB"/>
    <w:rsid w:val="00E76732"/>
    <w:rsid w:val="00E768CC"/>
    <w:rsid w:val="00E778F2"/>
    <w:rsid w:val="00E77C87"/>
    <w:rsid w:val="00E77ECF"/>
    <w:rsid w:val="00E80150"/>
    <w:rsid w:val="00E803A7"/>
    <w:rsid w:val="00E80FDB"/>
    <w:rsid w:val="00E81A3E"/>
    <w:rsid w:val="00E81F94"/>
    <w:rsid w:val="00E8204B"/>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7FF"/>
    <w:rsid w:val="00E87831"/>
    <w:rsid w:val="00E90706"/>
    <w:rsid w:val="00E9135F"/>
    <w:rsid w:val="00E9167B"/>
    <w:rsid w:val="00E91862"/>
    <w:rsid w:val="00E919BF"/>
    <w:rsid w:val="00E91F2F"/>
    <w:rsid w:val="00E921EF"/>
    <w:rsid w:val="00E924E6"/>
    <w:rsid w:val="00E9260F"/>
    <w:rsid w:val="00E926B0"/>
    <w:rsid w:val="00E92871"/>
    <w:rsid w:val="00E938F2"/>
    <w:rsid w:val="00E93D46"/>
    <w:rsid w:val="00E945AF"/>
    <w:rsid w:val="00E948D6"/>
    <w:rsid w:val="00E95182"/>
    <w:rsid w:val="00E95392"/>
    <w:rsid w:val="00E95982"/>
    <w:rsid w:val="00E960AC"/>
    <w:rsid w:val="00E9665F"/>
    <w:rsid w:val="00E96C7E"/>
    <w:rsid w:val="00E97C66"/>
    <w:rsid w:val="00EA005E"/>
    <w:rsid w:val="00EA0159"/>
    <w:rsid w:val="00EA1EBD"/>
    <w:rsid w:val="00EA20CE"/>
    <w:rsid w:val="00EA21CB"/>
    <w:rsid w:val="00EA2591"/>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A9"/>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05"/>
    <w:rsid w:val="00EC1F78"/>
    <w:rsid w:val="00EC20E9"/>
    <w:rsid w:val="00EC23E1"/>
    <w:rsid w:val="00EC2A3E"/>
    <w:rsid w:val="00EC31AE"/>
    <w:rsid w:val="00EC3281"/>
    <w:rsid w:val="00EC3599"/>
    <w:rsid w:val="00EC3DCE"/>
    <w:rsid w:val="00EC4984"/>
    <w:rsid w:val="00EC4B06"/>
    <w:rsid w:val="00EC5174"/>
    <w:rsid w:val="00EC5458"/>
    <w:rsid w:val="00EC54A6"/>
    <w:rsid w:val="00EC553F"/>
    <w:rsid w:val="00EC5879"/>
    <w:rsid w:val="00EC5906"/>
    <w:rsid w:val="00EC5990"/>
    <w:rsid w:val="00EC5B4F"/>
    <w:rsid w:val="00EC64F2"/>
    <w:rsid w:val="00EC6552"/>
    <w:rsid w:val="00ED0DFE"/>
    <w:rsid w:val="00ED16A3"/>
    <w:rsid w:val="00ED19F1"/>
    <w:rsid w:val="00ED1BE7"/>
    <w:rsid w:val="00ED2473"/>
    <w:rsid w:val="00ED2DEA"/>
    <w:rsid w:val="00ED364B"/>
    <w:rsid w:val="00ED365E"/>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D8D"/>
    <w:rsid w:val="00EE1E09"/>
    <w:rsid w:val="00EE25B3"/>
    <w:rsid w:val="00EE3728"/>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0B62"/>
    <w:rsid w:val="00F00BC4"/>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12E"/>
    <w:rsid w:val="00F0631F"/>
    <w:rsid w:val="00F065F6"/>
    <w:rsid w:val="00F06709"/>
    <w:rsid w:val="00F1085E"/>
    <w:rsid w:val="00F1089D"/>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2C8"/>
    <w:rsid w:val="00F22A1A"/>
    <w:rsid w:val="00F22BAE"/>
    <w:rsid w:val="00F2323F"/>
    <w:rsid w:val="00F234E3"/>
    <w:rsid w:val="00F238EB"/>
    <w:rsid w:val="00F23DBF"/>
    <w:rsid w:val="00F23F4E"/>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B"/>
    <w:rsid w:val="00F40518"/>
    <w:rsid w:val="00F4231A"/>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D0"/>
    <w:rsid w:val="00F651F0"/>
    <w:rsid w:val="00F66ED7"/>
    <w:rsid w:val="00F6733D"/>
    <w:rsid w:val="00F6780D"/>
    <w:rsid w:val="00F67830"/>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39E"/>
    <w:rsid w:val="00F855B5"/>
    <w:rsid w:val="00F85B97"/>
    <w:rsid w:val="00F85C61"/>
    <w:rsid w:val="00F8611B"/>
    <w:rsid w:val="00F87656"/>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5F4F"/>
    <w:rsid w:val="00FA647D"/>
    <w:rsid w:val="00FA659B"/>
    <w:rsid w:val="00FA6781"/>
    <w:rsid w:val="00FA6FE9"/>
    <w:rsid w:val="00FB02E2"/>
    <w:rsid w:val="00FB1636"/>
    <w:rsid w:val="00FB1B50"/>
    <w:rsid w:val="00FB1D21"/>
    <w:rsid w:val="00FB1DAD"/>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22D"/>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457"/>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5BD1"/>
    <w:rsid w:val="00FD61AF"/>
    <w:rsid w:val="00FD68C0"/>
    <w:rsid w:val="00FD7291"/>
    <w:rsid w:val="00FD7570"/>
    <w:rsid w:val="00FD78D8"/>
    <w:rsid w:val="00FD7CDB"/>
    <w:rsid w:val="00FE0E68"/>
    <w:rsid w:val="00FE1A82"/>
    <w:rsid w:val="00FE264F"/>
    <w:rsid w:val="00FE287C"/>
    <w:rsid w:val="00FE35B1"/>
    <w:rsid w:val="00FE3D34"/>
    <w:rsid w:val="00FE4389"/>
    <w:rsid w:val="00FE531D"/>
    <w:rsid w:val="00FE577A"/>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 w:val="01B18FBD"/>
    <w:rsid w:val="08185933"/>
    <w:rsid w:val="0D044942"/>
    <w:rsid w:val="18023F4B"/>
    <w:rsid w:val="1CCB0345"/>
    <w:rsid w:val="2426FC9B"/>
    <w:rsid w:val="256E76F8"/>
    <w:rsid w:val="27AA2755"/>
    <w:rsid w:val="285D425D"/>
    <w:rsid w:val="2A370B13"/>
    <w:rsid w:val="2B09317A"/>
    <w:rsid w:val="33FAB956"/>
    <w:rsid w:val="400D5DDD"/>
    <w:rsid w:val="42876669"/>
    <w:rsid w:val="42BEF03B"/>
    <w:rsid w:val="473775DC"/>
    <w:rsid w:val="5304CA7A"/>
    <w:rsid w:val="6B471838"/>
    <w:rsid w:val="6B4DC0A3"/>
    <w:rsid w:val="7B7455F6"/>
    <w:rsid w:val="7E4D301A"/>
    <w:rsid w:val="7ED10A50"/>
    <w:rsid w:val="7F27C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56B90E41-8E39-40F4-9006-78107ADD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rsid w:val="0067395C"/>
    <w:pPr>
      <w:keepLines/>
      <w:spacing w:after="180"/>
      <w:ind w:left="1135" w:hanging="851"/>
      <w:jc w:val="left"/>
    </w:pPr>
    <w:rPr>
      <w:rFonts w:ascii="Times New Roman" w:eastAsia="Times New Roman" w:hAnsi="Times New Roman"/>
      <w:color w:val="FF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5019707-145A-4EBB-B6A2-1229AB374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50D4B6-52E2-4EEB-871C-C1FB55831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50</TotalTime>
  <Pages>4</Pages>
  <Words>1641</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Seau Sian</cp:lastModifiedBy>
  <cp:revision>88</cp:revision>
  <cp:lastPrinted>2017-10-24T05:18:00Z</cp:lastPrinted>
  <dcterms:created xsi:type="dcterms:W3CDTF">2020-01-13T13:57:00Z</dcterms:created>
  <dcterms:modified xsi:type="dcterms:W3CDTF">2020-02-13T21:36:00Z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2020-02-13 20:56:33Z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