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8F1500B"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A2794">
        <w:rPr>
          <w:rFonts w:ascii="Arial" w:eastAsia="MS Mincho" w:hAnsi="Arial"/>
          <w:b/>
          <w:sz w:val="24"/>
          <w:szCs w:val="24"/>
          <w:lang w:val="en-GB" w:eastAsia="x-none"/>
        </w:rPr>
        <w:t>-RAN WG2 Meeting #108</w:t>
      </w:r>
      <w:r w:rsidR="00DA2794">
        <w:rPr>
          <w:rFonts w:ascii="Arial" w:eastAsia="MS Mincho" w:hAnsi="Arial"/>
          <w:b/>
          <w:sz w:val="24"/>
          <w:szCs w:val="24"/>
          <w:lang w:val="en-GB" w:eastAsia="x-none"/>
        </w:rPr>
        <w:tab/>
        <w:t>R2-1915785</w:t>
      </w:r>
      <w:bookmarkStart w:id="2" w:name="_GoBack"/>
      <w:bookmarkEnd w:id="2"/>
    </w:p>
    <w:p w14:paraId="6877EE3A" w14:textId="3BD0B260" w:rsidR="00895250" w:rsidRPr="00BA4886" w:rsidRDefault="00EF098E"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B36597">
        <w:rPr>
          <w:rFonts w:ascii="Arial" w:eastAsia="MS Mincho" w:hAnsi="Arial"/>
          <w:b/>
          <w:sz w:val="24"/>
          <w:szCs w:val="24"/>
          <w:lang w:val="en-GB" w:eastAsia="x-none"/>
        </w:rPr>
        <w:t xml:space="preserve">, </w:t>
      </w:r>
      <w:r w:rsidR="006000A2">
        <w:rPr>
          <w:rFonts w:ascii="Arial" w:eastAsia="MS Mincho" w:hAnsi="Arial"/>
          <w:b/>
          <w:sz w:val="24"/>
          <w:szCs w:val="24"/>
          <w:lang w:val="en-GB" w:eastAsia="x-none"/>
        </w:rPr>
        <w:t>1</w:t>
      </w:r>
      <w:r>
        <w:rPr>
          <w:rFonts w:ascii="Arial" w:eastAsia="MS Mincho" w:hAnsi="Arial"/>
          <w:b/>
          <w:sz w:val="24"/>
          <w:szCs w:val="24"/>
          <w:lang w:val="en-GB" w:eastAsia="x-none"/>
        </w:rPr>
        <w:t>8</w:t>
      </w:r>
      <w:r w:rsidR="006000A2">
        <w:rPr>
          <w:rFonts w:ascii="Arial" w:eastAsia="MS Mincho" w:hAnsi="Arial"/>
          <w:b/>
          <w:sz w:val="24"/>
          <w:szCs w:val="24"/>
          <w:lang w:val="en-GB" w:eastAsia="x-none"/>
        </w:rPr>
        <w:t>-</w:t>
      </w:r>
      <w:r>
        <w:rPr>
          <w:rFonts w:ascii="Arial" w:eastAsia="MS Mincho" w:hAnsi="Arial"/>
          <w:b/>
          <w:sz w:val="24"/>
          <w:szCs w:val="24"/>
          <w:lang w:val="en-GB" w:eastAsia="x-none"/>
        </w:rPr>
        <w:t>22</w:t>
      </w:r>
      <w:r w:rsidR="006000A2">
        <w:rPr>
          <w:rFonts w:ascii="Arial" w:eastAsia="MS Mincho" w:hAnsi="Arial"/>
          <w:b/>
          <w:sz w:val="24"/>
          <w:szCs w:val="24"/>
          <w:lang w:val="en-GB" w:eastAsia="x-none"/>
        </w:rPr>
        <w:t xml:space="preserve"> </w:t>
      </w:r>
      <w:r>
        <w:rPr>
          <w:rFonts w:ascii="Arial" w:eastAsia="MS Mincho" w:hAnsi="Arial"/>
          <w:b/>
          <w:sz w:val="24"/>
          <w:szCs w:val="24"/>
          <w:lang w:val="en-GB" w:eastAsia="x-none"/>
        </w:rPr>
        <w:t>Novem</w:t>
      </w:r>
      <w:r w:rsidR="006000A2">
        <w:rPr>
          <w:rFonts w:ascii="Arial" w:eastAsia="MS Mincho" w:hAnsi="Arial"/>
          <w:b/>
          <w:sz w:val="24"/>
          <w:szCs w:val="24"/>
          <w:lang w:val="en-GB" w:eastAsia="x-none"/>
        </w:rPr>
        <w:t>ber</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4A3E25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A1DE6">
        <w:rPr>
          <w:rFonts w:ascii="Arial" w:hAnsi="Arial" w:cs="Arial"/>
          <w:szCs w:val="24"/>
        </w:rPr>
        <w:t>6.5.3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7AD53E6E"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5128C">
        <w:rPr>
          <w:b/>
          <w:sz w:val="24"/>
          <w:lang w:val="en-GB"/>
        </w:rPr>
        <w:t>Processing time for segmented UE capability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2F07EF8B" w:rsidR="00D74469" w:rsidRPr="00BA4886" w:rsidRDefault="00C5128C" w:rsidP="00173435">
      <w:pPr>
        <w:spacing w:after="240"/>
        <w:rPr>
          <w:lang w:val="en-GB"/>
        </w:rPr>
      </w:pPr>
      <w:r>
        <w:rPr>
          <w:lang w:val="en-GB"/>
        </w:rPr>
        <w:t>T</w:t>
      </w:r>
      <w:r w:rsidR="009C7443">
        <w:rPr>
          <w:lang w:val="en-GB"/>
        </w:rPr>
        <w:t xml:space="preserve">his document is a brief note on the processing time requirements for the UE capability reporting procedure in the case that the </w:t>
      </w:r>
      <w:proofErr w:type="spellStart"/>
      <w:r w:rsidR="009C7443">
        <w:rPr>
          <w:i/>
          <w:lang w:val="en-GB"/>
        </w:rPr>
        <w:t>UECapabilityInformation</w:t>
      </w:r>
      <w:proofErr w:type="spellEnd"/>
      <w:r w:rsidR="009C7443">
        <w:rPr>
          <w:lang w:val="en-GB"/>
        </w:rPr>
        <w:t xml:space="preserve"> message is segmented</w:t>
      </w:r>
      <w:r w:rsidR="00EF098E">
        <w:rPr>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348E9A87" w14:textId="2A40CD05" w:rsidR="009349DA" w:rsidRDefault="00CF17C9" w:rsidP="00DF345D">
      <w:pPr>
        <w:spacing w:after="240"/>
        <w:rPr>
          <w:lang w:val="en-GB"/>
        </w:rPr>
      </w:pPr>
      <w:r>
        <w:rPr>
          <w:lang w:val="en-GB"/>
        </w:rPr>
        <w:t>In [1] and [2], the issue of processing time for UE capability reporting was discussed, with varying conclusions</w:t>
      </w:r>
      <w:r w:rsidR="00EF098E">
        <w:rPr>
          <w:lang w:val="en-GB"/>
        </w:rPr>
        <w:t>.</w:t>
      </w:r>
      <w:r>
        <w:rPr>
          <w:lang w:val="en-GB"/>
        </w:rPr>
        <w:t xml:space="preserve">  [1] suggested that the processing time should scale with the number of segments (after allowing some fixed overhead for processing the enquiry message), while [2] proposed that the processing time be maintained at 80 </w:t>
      </w:r>
      <w:proofErr w:type="spellStart"/>
      <w:r>
        <w:rPr>
          <w:lang w:val="en-GB"/>
        </w:rPr>
        <w:t>ms</w:t>
      </w:r>
      <w:proofErr w:type="spellEnd"/>
      <w:r>
        <w:rPr>
          <w:lang w:val="en-GB"/>
        </w:rPr>
        <w:t xml:space="preserve"> as for the unsegmented case.</w:t>
      </w:r>
    </w:p>
    <w:p w14:paraId="710D8F50" w14:textId="0A613917" w:rsidR="00CF17C9" w:rsidRDefault="00CF17C9" w:rsidP="00DF345D">
      <w:pPr>
        <w:spacing w:after="240"/>
        <w:rPr>
          <w:lang w:val="en-GB"/>
        </w:rPr>
      </w:pPr>
      <w:r>
        <w:rPr>
          <w:lang w:val="en-GB"/>
        </w:rPr>
        <w:t>We consider that the proposal of [1] is not really practical.  The current agreed framework allows up to 16 segments, which would mean that for the largest cases, the allowable processing delay could be on the order of 1 second, which seems not acceptable in operation.</w:t>
      </w:r>
    </w:p>
    <w:p w14:paraId="3D79F2B7" w14:textId="797DFBAB" w:rsidR="00CF17C9" w:rsidRDefault="00CF17C9" w:rsidP="00DF345D">
      <w:pPr>
        <w:spacing w:after="240"/>
        <w:rPr>
          <w:lang w:val="en-GB"/>
        </w:rPr>
      </w:pPr>
      <w:r>
        <w:rPr>
          <w:lang w:val="en-GB"/>
        </w:rPr>
        <w:t>In general, the processing time for capability generation is due to selection of band combinations and feature set combinations.  The UE needs to perform the following steps based on section 5.6.1.4 of [3]:</w:t>
      </w:r>
    </w:p>
    <w:p w14:paraId="71876F58" w14:textId="04870D3D" w:rsidR="00CF17C9" w:rsidRDefault="00CF17C9" w:rsidP="00CF17C9">
      <w:pPr>
        <w:pStyle w:val="ListParagraph"/>
        <w:numPr>
          <w:ilvl w:val="0"/>
          <w:numId w:val="20"/>
        </w:numPr>
      </w:pPr>
      <w:r>
        <w:t xml:space="preserve">Generate the list of “candidate band combinations” based on the </w:t>
      </w:r>
      <w:proofErr w:type="spellStart"/>
      <w:r>
        <w:rPr>
          <w:i/>
        </w:rPr>
        <w:t>frequencyBandListFilter</w:t>
      </w:r>
      <w:proofErr w:type="spellEnd"/>
    </w:p>
    <w:p w14:paraId="3D56058B" w14:textId="06DC7002" w:rsidR="00CF17C9" w:rsidRDefault="00CF17C9" w:rsidP="00CF17C9">
      <w:pPr>
        <w:pStyle w:val="ListParagraph"/>
        <w:numPr>
          <w:ilvl w:val="0"/>
          <w:numId w:val="20"/>
        </w:numPr>
      </w:pPr>
      <w:r>
        <w:t xml:space="preserve">Pass through the list of “candidate band combinations” to eliminate any that are excluded by the </w:t>
      </w:r>
      <w:proofErr w:type="spellStart"/>
      <w:r>
        <w:rPr>
          <w:i/>
        </w:rPr>
        <w:t>capabilityRequestFilterCommon</w:t>
      </w:r>
      <w:proofErr w:type="spellEnd"/>
      <w:r>
        <w:t xml:space="preserve"> or RAT type, or that are </w:t>
      </w:r>
      <w:proofErr w:type="spellStart"/>
      <w:r>
        <w:t>fallback</w:t>
      </w:r>
      <w:proofErr w:type="spellEnd"/>
      <w:r>
        <w:t xml:space="preserve"> combinations of another band</w:t>
      </w:r>
    </w:p>
    <w:p w14:paraId="6995A70C" w14:textId="24E1E3FB" w:rsidR="00CF17C9" w:rsidRDefault="00CF17C9" w:rsidP="00CF17C9">
      <w:pPr>
        <w:pStyle w:val="ListParagraph"/>
        <w:numPr>
          <w:ilvl w:val="0"/>
          <w:numId w:val="20"/>
        </w:numPr>
      </w:pPr>
      <w:r>
        <w:t xml:space="preserve">Populate the </w:t>
      </w:r>
      <w:proofErr w:type="spellStart"/>
      <w:r>
        <w:rPr>
          <w:i/>
        </w:rPr>
        <w:t>supportedBandCombinationList</w:t>
      </w:r>
      <w:proofErr w:type="spellEnd"/>
      <w:r>
        <w:t>, up to the size limit imposed by the maximum number of segments, from the list of “candidate band combinations” (the spec indicates that the UE shall include “as many…as possible” of the band combinations)</w:t>
      </w:r>
    </w:p>
    <w:p w14:paraId="537BB927" w14:textId="79236FE9" w:rsidR="00CF17C9" w:rsidRDefault="00CF17C9" w:rsidP="00CF17C9">
      <w:pPr>
        <w:pStyle w:val="ListParagraph"/>
        <w:numPr>
          <w:ilvl w:val="0"/>
          <w:numId w:val="20"/>
        </w:numPr>
      </w:pPr>
      <w:r>
        <w:t xml:space="preserve">Pass through the </w:t>
      </w:r>
      <w:proofErr w:type="spellStart"/>
      <w:r>
        <w:rPr>
          <w:i/>
        </w:rPr>
        <w:t>supportedBandCombinationList</w:t>
      </w:r>
      <w:proofErr w:type="spellEnd"/>
      <w:r>
        <w:t xml:space="preserve"> to populate the </w:t>
      </w:r>
      <w:proofErr w:type="spellStart"/>
      <w:r>
        <w:rPr>
          <w:i/>
        </w:rPr>
        <w:t>featureSetCombinations</w:t>
      </w:r>
      <w:proofErr w:type="spellEnd"/>
    </w:p>
    <w:p w14:paraId="512915A8" w14:textId="3A40DA12" w:rsidR="00CF17C9" w:rsidRDefault="00CF17C9" w:rsidP="00CF17C9">
      <w:pPr>
        <w:pStyle w:val="ListParagraph"/>
        <w:numPr>
          <w:ilvl w:val="0"/>
          <w:numId w:val="20"/>
        </w:numPr>
      </w:pPr>
      <w:r>
        <w:t xml:space="preserve">Pass through the list of “candidate band combinations” to generate the list of “candidate feature set combinations” and populate the </w:t>
      </w:r>
      <w:proofErr w:type="spellStart"/>
      <w:r>
        <w:rPr>
          <w:i/>
        </w:rPr>
        <w:t>featureSets</w:t>
      </w:r>
      <w:proofErr w:type="spellEnd"/>
      <w:r>
        <w:t xml:space="preserve"> with the referenced feature sets from the “candidate feature set combinations”</w:t>
      </w:r>
    </w:p>
    <w:p w14:paraId="760AD243" w14:textId="21F2BCBD" w:rsidR="00CF17C9" w:rsidRDefault="00CF17C9" w:rsidP="00CF17C9">
      <w:pPr>
        <w:pStyle w:val="ListParagraph"/>
        <w:numPr>
          <w:ilvl w:val="0"/>
          <w:numId w:val="20"/>
        </w:numPr>
      </w:pPr>
      <w:r>
        <w:t xml:space="preserve">Potentially revisit the </w:t>
      </w:r>
      <w:proofErr w:type="spellStart"/>
      <w:r>
        <w:rPr>
          <w:i/>
        </w:rPr>
        <w:t>supportedBandCombinationList</w:t>
      </w:r>
      <w:proofErr w:type="spellEnd"/>
      <w:r>
        <w:t xml:space="preserve"> if the capability no longer complies with the maximum length when the feature sets and feature set combinations are added</w:t>
      </w:r>
    </w:p>
    <w:p w14:paraId="3BCA2F87" w14:textId="22EF1001" w:rsidR="00CF17C9" w:rsidRDefault="00CF17C9" w:rsidP="00CF17C9">
      <w:pPr>
        <w:spacing w:after="240"/>
      </w:pPr>
      <w:r>
        <w:t xml:space="preserve">Steps 1 and 2 are governed not by the number of segments but by the width of the filter.  That is, a Rel-15 UE that supports too many band combinations to be sent in an unsegmented </w:t>
      </w:r>
      <w:proofErr w:type="spellStart"/>
      <w:r>
        <w:rPr>
          <w:i/>
        </w:rPr>
        <w:t>UECapabilityInformation</w:t>
      </w:r>
      <w:proofErr w:type="spellEnd"/>
      <w:r>
        <w:t xml:space="preserve"> message still needs to perform step 2 over its full set of supported band combinations, and in Rel-15 the processing time allowance assumes that this can happen within the 80-ms limit.  Thus it does not seem that these steps give a basis for raising the processing time.</w:t>
      </w:r>
    </w:p>
    <w:p w14:paraId="1DFE9917" w14:textId="0A6AC5ED" w:rsidR="00CF17C9" w:rsidRDefault="00CF17C9" w:rsidP="00CF17C9">
      <w:pPr>
        <w:spacing w:after="240"/>
      </w:pPr>
      <w:r>
        <w:lastRenderedPageBreak/>
        <w:t xml:space="preserve">Steps 3-6 can actually be combined; for each entry in the list of “candidate band combinations”, the UE can add the entry to the </w:t>
      </w:r>
      <w:proofErr w:type="spellStart"/>
      <w:r>
        <w:rPr>
          <w:i/>
        </w:rPr>
        <w:t>supportedBandCombinationList</w:t>
      </w:r>
      <w:proofErr w:type="spellEnd"/>
      <w:r>
        <w:t xml:space="preserve">, add the referenced feature set combinations to the </w:t>
      </w:r>
      <w:proofErr w:type="spellStart"/>
      <w:r>
        <w:rPr>
          <w:i/>
        </w:rPr>
        <w:t>featureSetCombinations</w:t>
      </w:r>
      <w:proofErr w:type="spellEnd"/>
      <w:r>
        <w:rPr>
          <w:i/>
        </w:rPr>
        <w:t xml:space="preserve"> </w:t>
      </w:r>
      <w:r>
        <w:t xml:space="preserve">and the list of “candidate feature set combinations”, and add the referenced feature sets to the </w:t>
      </w:r>
      <w:proofErr w:type="spellStart"/>
      <w:r>
        <w:rPr>
          <w:i/>
        </w:rPr>
        <w:t>featureSets</w:t>
      </w:r>
      <w:proofErr w:type="spellEnd"/>
      <w:r>
        <w:t>.  So an efficient implementation can generate the reported band combinations, feature set combinations, and feature sets in a single pass through the generated list, stopping when it runs out of space in the number of allowable segments.  This combined process depends on the size of the list of “candidate band combinations”, rather than on the final length of the capability—the length of the capability only acts to truncate the process.</w:t>
      </w:r>
    </w:p>
    <w:p w14:paraId="44645D5B" w14:textId="18C5238C" w:rsidR="006A2C66" w:rsidRDefault="006A2C66" w:rsidP="00CF17C9">
      <w:pPr>
        <w:spacing w:after="240"/>
      </w:pPr>
      <w:r>
        <w:t>Note also that step 6 can be omitted by any UE that knows its complete (unfiltered) capability does not exceed the maximum size.  With 16 segments available, this should be a common case.  Even for highly capable UEs that risk exceeding the limit, step 6 can be streamlined based on prior analysis of the ASN.1 encoding—the incremental encoded size of e.g. a particular band combination can be known in advance, so a UE with processing time concerns can maintain a good estimate of the size of the message while building it.</w:t>
      </w:r>
    </w:p>
    <w:p w14:paraId="07C02716" w14:textId="28E9FA7F" w:rsidR="00CF17C9" w:rsidRDefault="00CF17C9" w:rsidP="00CF17C9">
      <w:pPr>
        <w:spacing w:after="240"/>
      </w:pPr>
      <w:r>
        <w:t xml:space="preserve">As observed in [2], the 80-ms time limit was arrived at without assuming any restrictions in the </w:t>
      </w:r>
      <w:proofErr w:type="spellStart"/>
      <w:r>
        <w:rPr>
          <w:i/>
        </w:rPr>
        <w:t>frequencyBandListFilter</w:t>
      </w:r>
      <w:proofErr w:type="spellEnd"/>
      <w:r>
        <w:t>, i.e., the UE is supposed to be able to process the list of “candidate band combinations” within the time limit.  Segmentation, per se, does not affect this process, and thus it seems that the 80-ms processing time from Rel-15 should still be valid for a segmented message.</w:t>
      </w:r>
    </w:p>
    <w:p w14:paraId="333BB361" w14:textId="30B518D9" w:rsidR="00CF17C9" w:rsidRPr="00CF17C9" w:rsidRDefault="00CF17C9" w:rsidP="00CF17C9">
      <w:pPr>
        <w:spacing w:after="240"/>
      </w:pPr>
      <w:r>
        <w:rPr>
          <w:b/>
        </w:rPr>
        <w:t>Proposal 1:</w:t>
      </w:r>
      <w:r>
        <w:t xml:space="preserve"> Maintain the 80-ms processing time for UE capability transfer procedures where the </w:t>
      </w:r>
      <w:proofErr w:type="spellStart"/>
      <w:r>
        <w:rPr>
          <w:i/>
        </w:rPr>
        <w:t>UECapabilityInformation</w:t>
      </w:r>
      <w:proofErr w:type="spellEnd"/>
      <w:r>
        <w:t xml:space="preserve"> message is segmented.</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09DE1FF1" w:rsidR="008E3599" w:rsidRDefault="00DA2794" w:rsidP="00703D29">
      <w:pPr>
        <w:spacing w:after="240"/>
        <w:rPr>
          <w:lang w:val="en-GB"/>
        </w:rPr>
      </w:pPr>
      <w:r>
        <w:rPr>
          <w:lang w:val="en-GB"/>
        </w:rPr>
        <w:t>This document promulgated the following proposal:</w:t>
      </w:r>
    </w:p>
    <w:p w14:paraId="1B8CADEE" w14:textId="77777777" w:rsidR="00DA2794" w:rsidRPr="00CF17C9" w:rsidRDefault="00DA2794" w:rsidP="00DA2794">
      <w:pPr>
        <w:spacing w:after="240"/>
      </w:pPr>
      <w:r>
        <w:rPr>
          <w:b/>
        </w:rPr>
        <w:t>Proposal 1:</w:t>
      </w:r>
      <w:r>
        <w:t xml:space="preserve"> Maintain the 80-ms processing time for UE capability transfer procedures where the </w:t>
      </w:r>
      <w:proofErr w:type="spellStart"/>
      <w:r>
        <w:rPr>
          <w:i/>
        </w:rPr>
        <w:t>UECapabilityInformation</w:t>
      </w:r>
      <w:proofErr w:type="spellEnd"/>
      <w:r>
        <w:t xml:space="preserve"> message is segmented.</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2681210" w:rsidR="00732182" w:rsidRDefault="00CF17C9" w:rsidP="00D74469">
      <w:pPr>
        <w:ind w:left="720" w:hanging="720"/>
        <w:rPr>
          <w:lang w:val="en-GB" w:eastAsia="en-US"/>
        </w:rPr>
      </w:pPr>
      <w:r>
        <w:rPr>
          <w:lang w:val="en-GB" w:eastAsia="en-US"/>
        </w:rPr>
        <w:t>[1]</w:t>
      </w:r>
      <w:r>
        <w:rPr>
          <w:lang w:val="en-GB" w:eastAsia="en-US"/>
        </w:rPr>
        <w:tab/>
        <w:t>R2-1912407, “Remaining issues on UE capability segmentation”, Huawei/</w:t>
      </w:r>
      <w:proofErr w:type="spellStart"/>
      <w:r>
        <w:rPr>
          <w:lang w:val="en-GB" w:eastAsia="en-US"/>
        </w:rPr>
        <w:t>HiSilicon</w:t>
      </w:r>
      <w:proofErr w:type="spellEnd"/>
      <w:r>
        <w:rPr>
          <w:lang w:val="en-GB" w:eastAsia="en-US"/>
        </w:rPr>
        <w:t>, RAN2#107bis</w:t>
      </w:r>
    </w:p>
    <w:p w14:paraId="7D89D33D" w14:textId="4AEE9B2D" w:rsidR="00CF17C9" w:rsidRDefault="00CF17C9" w:rsidP="00D74469">
      <w:pPr>
        <w:ind w:left="720" w:hanging="720"/>
        <w:rPr>
          <w:lang w:val="en-GB" w:eastAsia="en-US"/>
        </w:rPr>
      </w:pPr>
      <w:r>
        <w:rPr>
          <w:lang w:val="en-GB" w:eastAsia="en-US"/>
        </w:rPr>
        <w:t>[2]</w:t>
      </w:r>
      <w:r>
        <w:rPr>
          <w:lang w:val="en-GB" w:eastAsia="en-US"/>
        </w:rPr>
        <w:tab/>
        <w:t>R2-1912831, “Remaining issues for RRC Segmentation”, Ericsson, RAN2#107bis</w:t>
      </w:r>
    </w:p>
    <w:p w14:paraId="712CBC10" w14:textId="5C37B636" w:rsidR="00CF17C9" w:rsidRDefault="00CF17C9" w:rsidP="00D74469">
      <w:pPr>
        <w:ind w:left="720" w:hanging="720"/>
        <w:rPr>
          <w:lang w:val="en-GB" w:eastAsia="en-US"/>
        </w:rPr>
      </w:pPr>
      <w:r>
        <w:rPr>
          <w:lang w:val="en-GB" w:eastAsia="en-US"/>
        </w:rPr>
        <w:t>[3]</w:t>
      </w:r>
      <w:r>
        <w:rPr>
          <w:lang w:val="en-GB" w:eastAsia="en-US"/>
        </w:rPr>
        <w:tab/>
        <w:t>TS 38.331</w:t>
      </w:r>
    </w:p>
    <w:p w14:paraId="0E6A9BE0" w14:textId="77777777" w:rsidR="00D74469" w:rsidRPr="00732182" w:rsidRDefault="00D74469"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05E78" w14:textId="77777777" w:rsidR="00780983" w:rsidRDefault="00780983">
      <w:pPr>
        <w:pStyle w:val="TAL"/>
      </w:pPr>
      <w:r>
        <w:separator/>
      </w:r>
    </w:p>
  </w:endnote>
  <w:endnote w:type="continuationSeparator" w:id="0">
    <w:p w14:paraId="1924B39C" w14:textId="77777777" w:rsidR="00780983" w:rsidRDefault="0078098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990B26">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551EB" w14:textId="77777777" w:rsidR="00780983" w:rsidRDefault="00780983">
      <w:pPr>
        <w:pStyle w:val="TAL"/>
      </w:pPr>
      <w:r>
        <w:separator/>
      </w:r>
    </w:p>
  </w:footnote>
  <w:footnote w:type="continuationSeparator" w:id="0">
    <w:p w14:paraId="101B9965" w14:textId="77777777" w:rsidR="00780983" w:rsidRDefault="0078098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2BA6DB9"/>
    <w:multiLevelType w:val="hybridMultilevel"/>
    <w:tmpl w:val="1C287C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3"/>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2"/>
  </w:num>
  <w:num w:numId="12">
    <w:abstractNumId w:val="16"/>
  </w:num>
  <w:num w:numId="13">
    <w:abstractNumId w:val="15"/>
  </w:num>
  <w:num w:numId="14">
    <w:abstractNumId w:val="2"/>
  </w:num>
  <w:num w:numId="15">
    <w:abstractNumId w:val="10"/>
  </w:num>
  <w:num w:numId="16">
    <w:abstractNumId w:val="6"/>
  </w:num>
  <w:num w:numId="17">
    <w:abstractNumId w:val="14"/>
  </w:num>
  <w:num w:numId="18">
    <w:abstractNumId w:val="1"/>
  </w:num>
  <w:num w:numId="19">
    <w:abstractNumId w:val="11"/>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2D31"/>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2C6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983"/>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4B31"/>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B26"/>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3"/>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2E48"/>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28C"/>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7C9"/>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794"/>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098E"/>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DE6"/>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77030-DF82-4DB1-B727-E4C193C8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2019-11-08T04:35:00Z</dcterms:created>
  <dcterms:modified xsi:type="dcterms:W3CDTF">2019-11-08T04:35:00Z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