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B79A7" w14:textId="5BDD6326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#10</w:t>
      </w:r>
      <w:r w:rsidR="00EE32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291B0F">
        <w:rPr>
          <w:b/>
          <w:noProof/>
          <w:sz w:val="28"/>
        </w:rPr>
        <w:t>R2-</w:t>
      </w:r>
      <w:r w:rsidR="00855D7C" w:rsidRPr="00291B0F">
        <w:rPr>
          <w:b/>
          <w:noProof/>
          <w:sz w:val="28"/>
        </w:rPr>
        <w:t>19</w:t>
      </w:r>
      <w:r w:rsidR="00291B0F" w:rsidRPr="00291B0F">
        <w:rPr>
          <w:b/>
          <w:noProof/>
          <w:sz w:val="28"/>
        </w:rPr>
        <w:t>15427</w:t>
      </w:r>
    </w:p>
    <w:p w14:paraId="29C6C6F9" w14:textId="53EB787E" w:rsidR="00976A1F" w:rsidRDefault="00EE3213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76A1F" w:rsidRPr="00E35BCD">
        <w:rPr>
          <w:b/>
          <w:noProof/>
          <w:sz w:val="24"/>
        </w:rPr>
        <w:t xml:space="preserve">, </w:t>
      </w:r>
      <w:r w:rsidR="00343E6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76A1F"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976A1F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76A1F" w:rsidRPr="00E35BC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40D76A30" w:rsidR="00976A1F" w:rsidRPr="00D03E9A" w:rsidRDefault="00291B0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1371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31700189" w:rsidR="00976A1F" w:rsidRPr="00410371" w:rsidRDefault="00976A1F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4FD19252" w:rsidR="00976A1F" w:rsidRPr="00FC50FF" w:rsidRDefault="00976A1F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2447CB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01226F30" w:rsidR="00976A1F" w:rsidRDefault="00343E64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343E64">
              <w:rPr>
                <w:noProof/>
              </w:rPr>
              <w:t xml:space="preserve">CR to 38.331 on </w:t>
            </w:r>
            <w:r w:rsidR="00A40820">
              <w:rPr>
                <w:noProof/>
              </w:rPr>
              <w:t xml:space="preserve">A2 </w:t>
            </w:r>
            <w:r w:rsidR="00C92CC4">
              <w:rPr>
                <w:noProof/>
              </w:rPr>
              <w:t xml:space="preserve">event </w:t>
            </w:r>
            <w:r w:rsidR="00A40820">
              <w:rPr>
                <w:noProof/>
              </w:rPr>
              <w:t>behaviour</w:t>
            </w:r>
            <w:r w:rsidR="00C92CC4">
              <w:rPr>
                <w:noProof/>
              </w:rPr>
              <w:t xml:space="preserve"> clarification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77777777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7B94">
              <w:t>NR_newRAT</w:t>
            </w:r>
            <w:proofErr w:type="spellEnd"/>
            <w:r w:rsidRPr="006A7B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4DFD3B45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2019-</w:t>
            </w:r>
            <w:r w:rsidR="00343E64">
              <w:rPr>
                <w:noProof/>
              </w:rPr>
              <w:t>1</w:t>
            </w:r>
            <w:r w:rsidR="00EE3213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343E64">
              <w:rPr>
                <w:noProof/>
              </w:rPr>
              <w:t>1</w:t>
            </w:r>
            <w:r w:rsidR="00EE3213">
              <w:rPr>
                <w:noProof/>
              </w:rPr>
              <w:t>8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77777777" w:rsidR="00976A1F" w:rsidRPr="006A7B94" w:rsidRDefault="00976A1F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77777777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Rel-15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64AC5" w14:textId="6DAAA957" w:rsidR="001976F3" w:rsidRDefault="00B878D0" w:rsidP="00997B55">
            <w:pPr>
              <w:pStyle w:val="CRCoverPage"/>
              <w:spacing w:after="0"/>
            </w:pPr>
            <w:r>
              <w:t xml:space="preserve">In the </w:t>
            </w:r>
            <w:r w:rsidR="00F647B8">
              <w:t xml:space="preserve">A2 </w:t>
            </w:r>
            <w:r>
              <w:t>event definition, the term ‘becomes</w:t>
            </w:r>
            <w:r w:rsidR="00F647B8">
              <w:t xml:space="preserve"> worse than</w:t>
            </w:r>
            <w:r>
              <w:t>’ is used. Th</w:t>
            </w:r>
            <w:r w:rsidR="003A0D27">
              <w:t>is will create some ambiguity when it comes to measurement reporting from the UE</w:t>
            </w:r>
            <w:r w:rsidR="00A40820">
              <w:t xml:space="preserve"> for A2 event</w:t>
            </w:r>
            <w:r w:rsidR="003A0D27">
              <w:t>.</w:t>
            </w:r>
            <w:r w:rsidR="00B62AE4">
              <w:t xml:space="preserve"> </w:t>
            </w:r>
          </w:p>
          <w:p w14:paraId="3041D5D7" w14:textId="77777777" w:rsidR="001976F3" w:rsidRDefault="001976F3" w:rsidP="00997B55">
            <w:pPr>
              <w:pStyle w:val="CRCoverPage"/>
              <w:spacing w:after="0"/>
            </w:pPr>
          </w:p>
          <w:p w14:paraId="6EA57CB8" w14:textId="2CFDF028" w:rsidR="00C92CC4" w:rsidRDefault="003A0D27" w:rsidP="005630B2">
            <w:pPr>
              <w:pStyle w:val="CRCoverPage"/>
              <w:spacing w:after="0"/>
            </w:pPr>
            <w:r>
              <w:t xml:space="preserve">Consider the scenario wherein the </w:t>
            </w:r>
            <w:r w:rsidR="00D622DB">
              <w:t xml:space="preserve">NR </w:t>
            </w:r>
            <w:proofErr w:type="spellStart"/>
            <w:r w:rsidR="00D622DB">
              <w:t>SpCell</w:t>
            </w:r>
            <w:proofErr w:type="spellEnd"/>
            <w:r w:rsidR="00D622DB">
              <w:t xml:space="preserve"> configure</w:t>
            </w:r>
            <w:r w:rsidR="00C4216B">
              <w:t>s</w:t>
            </w:r>
            <w:r w:rsidR="00D622DB">
              <w:t xml:space="preserve"> the UE with a </w:t>
            </w:r>
            <w:proofErr w:type="spellStart"/>
            <w:r w:rsidR="00D622DB">
              <w:t>measID</w:t>
            </w:r>
            <w:proofErr w:type="spellEnd"/>
            <w:r w:rsidR="00D622DB">
              <w:t xml:space="preserve"> associated to A2</w:t>
            </w:r>
            <w:r w:rsidR="001976F3">
              <w:t xml:space="preserve"> </w:t>
            </w:r>
            <w:r w:rsidR="00C4216B">
              <w:t xml:space="preserve">event </w:t>
            </w:r>
            <w:r w:rsidR="001976F3">
              <w:t xml:space="preserve">towards an </w:t>
            </w:r>
            <w:proofErr w:type="spellStart"/>
            <w:r w:rsidR="001976F3">
              <w:t>SCell</w:t>
            </w:r>
            <w:proofErr w:type="spellEnd"/>
            <w:r w:rsidR="00D622DB">
              <w:t xml:space="preserve">. The event A2 refers to a scenario of serving cell becoming </w:t>
            </w:r>
            <w:r w:rsidR="00C4216B">
              <w:t>worse than</w:t>
            </w:r>
            <w:r w:rsidR="00D622DB">
              <w:t xml:space="preserve"> a threshold. </w:t>
            </w:r>
            <w:r w:rsidR="0061483D">
              <w:t xml:space="preserve">In this scenario, if the UE </w:t>
            </w:r>
            <w:r w:rsidR="00371B46">
              <w:t>is not in the coverage area of the serving cell on th</w:t>
            </w:r>
            <w:r w:rsidR="001A48D5">
              <w:t>e</w:t>
            </w:r>
            <w:r w:rsidR="00371B46">
              <w:t xml:space="preserve"> frequency for which the event A2 is configured, then </w:t>
            </w:r>
            <w:r w:rsidR="009634AB">
              <w:t>the UE might not have any L3 filtered measurement to compare</w:t>
            </w:r>
            <w:r w:rsidR="00051670">
              <w:t xml:space="preserve"> against the A2-threshold. In such a scenario, the UE might not trigger the measurement report.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754821BE" w14:textId="5DDDE7ED" w:rsidR="00716768" w:rsidRDefault="00716768" w:rsidP="00716768">
            <w:pPr>
              <w:pStyle w:val="CRCoverPage"/>
              <w:spacing w:after="0"/>
              <w:ind w:right="100"/>
              <w:rPr>
                <w:noProof/>
              </w:rPr>
            </w:pPr>
            <w:r>
              <w:rPr>
                <w:noProof/>
              </w:rPr>
              <w:t xml:space="preserve">It is clarified that the UE shall </w:t>
            </w:r>
            <w:r w:rsidR="00600A54">
              <w:rPr>
                <w:noProof/>
              </w:rPr>
              <w:t xml:space="preserve">use the </w:t>
            </w:r>
            <w:r w:rsidR="00DD2CDA">
              <w:rPr>
                <w:noProof/>
              </w:rPr>
              <w:t>lowest value range of the</w:t>
            </w:r>
            <w:r>
              <w:rPr>
                <w:noProof/>
              </w:rPr>
              <w:t xml:space="preserve"> </w:t>
            </w:r>
            <w:r w:rsidR="00B8095F">
              <w:rPr>
                <w:noProof/>
              </w:rPr>
              <w:t xml:space="preserve">measurement quantity </w:t>
            </w:r>
            <w:r w:rsidR="006D5F4C">
              <w:rPr>
                <w:noProof/>
              </w:rPr>
              <w:t xml:space="preserve">to compare </w:t>
            </w:r>
            <w:r w:rsidR="00780A62">
              <w:rPr>
                <w:noProof/>
              </w:rPr>
              <w:t xml:space="preserve">against the A2-threshold when the </w:t>
            </w:r>
            <w:r w:rsidR="00521B56">
              <w:rPr>
                <w:noProof/>
              </w:rPr>
              <w:t xml:space="preserve">L3 filtered </w:t>
            </w:r>
            <w:r w:rsidR="009935F7">
              <w:rPr>
                <w:noProof/>
              </w:rPr>
              <w:t xml:space="preserve">measurements are not available for the serving cell </w:t>
            </w:r>
            <w:r w:rsidR="00521B56">
              <w:rPr>
                <w:noProof/>
              </w:rPr>
              <w:t>associated to A2-event.</w:t>
            </w:r>
            <w:r w:rsidR="009935F7">
              <w:rPr>
                <w:noProof/>
              </w:rPr>
              <w:t xml:space="preserve"> </w:t>
            </w:r>
          </w:p>
          <w:p w14:paraId="6B52ED6E" w14:textId="25C5AC7D" w:rsidR="00045239" w:rsidRDefault="0004523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204437B0" w14:textId="77777777" w:rsidR="00045239" w:rsidRPr="00781CA3" w:rsidRDefault="0004523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57A49CA4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781CA3">
              <w:rPr>
                <w:b/>
                <w:noProof/>
                <w:lang w:eastAsia="zh-TW"/>
              </w:rPr>
              <w:t>Impact analysis</w:t>
            </w:r>
          </w:p>
          <w:p w14:paraId="611A3464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78F06985" w14:textId="0C3D3A89" w:rsidR="00976A1F" w:rsidRPr="00B631A3" w:rsidRDefault="00B631A3" w:rsidP="009C11D6">
            <w:pPr>
              <w:pStyle w:val="CRCoverPage"/>
              <w:spacing w:after="0"/>
              <w:ind w:left="102"/>
              <w:rPr>
                <w:noProof/>
                <w:lang w:val="sv-SE" w:eastAsia="zh-TW"/>
              </w:rPr>
            </w:pPr>
            <w:r>
              <w:rPr>
                <w:noProof/>
                <w:lang w:val="sv-SE" w:eastAsia="zh-TW"/>
              </w:rPr>
              <w:t xml:space="preserve">(NG) </w:t>
            </w:r>
            <w:r w:rsidRPr="00B631A3">
              <w:rPr>
                <w:noProof/>
                <w:lang w:val="sv-SE" w:eastAsia="zh-TW"/>
              </w:rPr>
              <w:t xml:space="preserve">EN-DC, </w:t>
            </w:r>
            <w:r>
              <w:rPr>
                <w:noProof/>
                <w:lang w:val="sv-SE" w:eastAsia="zh-TW"/>
              </w:rPr>
              <w:t>NE-DC, NR SA</w:t>
            </w:r>
          </w:p>
          <w:p w14:paraId="53DBEACE" w14:textId="77777777" w:rsidR="00B631A3" w:rsidRPr="00343E64" w:rsidRDefault="00B631A3" w:rsidP="009C11D6">
            <w:pPr>
              <w:pStyle w:val="CRCoverPage"/>
              <w:spacing w:after="0"/>
              <w:ind w:left="102"/>
              <w:rPr>
                <w:noProof/>
                <w:u w:val="single"/>
                <w:lang w:val="sv-SE" w:eastAsia="zh-TW"/>
              </w:rPr>
            </w:pPr>
          </w:p>
          <w:p w14:paraId="3A0D1BB0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functionality:</w:t>
            </w:r>
          </w:p>
          <w:p w14:paraId="2EB82762" w14:textId="3EF21F4B" w:rsidR="00976A1F" w:rsidRDefault="00B631A3" w:rsidP="009C11D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measurements</w:t>
            </w:r>
          </w:p>
          <w:p w14:paraId="1DA9ABD8" w14:textId="77777777" w:rsidR="00B631A3" w:rsidRPr="00781CA3" w:rsidRDefault="00B631A3" w:rsidP="009C11D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9CBAB4C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</w:t>
            </w:r>
            <w:r w:rsidRPr="00781CA3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5777480" w14:textId="391B053C" w:rsidR="00976A1F" w:rsidRPr="00781CA3" w:rsidRDefault="00976A1F" w:rsidP="009C11D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network is implemented according to the CR and the UE is not,</w:t>
            </w:r>
            <w:r w:rsidR="00876FAF">
              <w:rPr>
                <w:rFonts w:cs="Arial"/>
                <w:noProof/>
              </w:rPr>
              <w:t xml:space="preserve"> the </w:t>
            </w:r>
            <w:r w:rsidR="00A40820">
              <w:rPr>
                <w:rFonts w:cs="Arial"/>
                <w:noProof/>
              </w:rPr>
              <w:t xml:space="preserve">UE behaviour remains unclear when an A2 event is configured </w:t>
            </w:r>
            <w:r w:rsidR="0027295B">
              <w:rPr>
                <w:rFonts w:cs="Arial"/>
                <w:noProof/>
              </w:rPr>
              <w:t xml:space="preserve">and there is no serving cell measurement </w:t>
            </w:r>
            <w:r w:rsidR="00A40820">
              <w:rPr>
                <w:rFonts w:cs="Arial"/>
                <w:noProof/>
              </w:rPr>
              <w:t>for the corresponding serving cell MO</w:t>
            </w:r>
            <w:r w:rsidRPr="00781CA3">
              <w:rPr>
                <w:rFonts w:cs="Arial"/>
                <w:noProof/>
              </w:rPr>
              <w:t>.</w:t>
            </w:r>
          </w:p>
          <w:p w14:paraId="33033C92" w14:textId="77777777" w:rsidR="0027295B" w:rsidRDefault="0027295B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BD2FF0" w14:textId="5CA4A2B7" w:rsidR="00976A1F" w:rsidRDefault="00976A1F" w:rsidP="009C11D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lastRenderedPageBreak/>
              <w:t>If the UE is implemented according to the CR and the network is not, there will not be inter-operability problems.</w:t>
            </w:r>
          </w:p>
          <w:p w14:paraId="7EE4D111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399A5212" w:rsidR="00976A1F" w:rsidRDefault="009E485A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UE behaviour remains unclear when there is no serving cell measurement and an A2 event is configured for the corresponding serving cell MO.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42699408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04C19">
              <w:rPr>
                <w:noProof/>
              </w:rPr>
              <w:t>3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470E0BEC" w:rsidR="002823F1" w:rsidRDefault="002823F1" w:rsidP="002823F1">
      <w:pPr>
        <w:rPr>
          <w:color w:val="FF0000"/>
        </w:rPr>
      </w:pPr>
      <w:bookmarkStart w:id="4" w:name="_Toc12718096"/>
      <w:bookmarkStart w:id="5" w:name="_Toc12718100"/>
      <w:r w:rsidRPr="002823F1">
        <w:rPr>
          <w:color w:val="FF0000"/>
        </w:rPr>
        <w:lastRenderedPageBreak/>
        <w:t xml:space="preserve">***** </w:t>
      </w:r>
      <w:r>
        <w:rPr>
          <w:color w:val="FF0000"/>
        </w:rPr>
        <w:t xml:space="preserve">Start of </w:t>
      </w:r>
      <w:r w:rsidRPr="002823F1">
        <w:rPr>
          <w:color w:val="FF0000"/>
        </w:rPr>
        <w:t>first change *****</w:t>
      </w:r>
    </w:p>
    <w:p w14:paraId="19786115" w14:textId="77777777" w:rsidR="00153309" w:rsidRDefault="00153309" w:rsidP="00153309">
      <w:pPr>
        <w:pStyle w:val="Heading4"/>
        <w:rPr>
          <w:lang w:val="en-GB"/>
        </w:rPr>
      </w:pPr>
      <w:bookmarkStart w:id="6" w:name="_Toc20425810"/>
      <w:bookmarkEnd w:id="4"/>
      <w:r>
        <w:rPr>
          <w:lang w:val="en-GB"/>
        </w:rPr>
        <w:t>5.5.4.3</w:t>
      </w:r>
      <w:r>
        <w:rPr>
          <w:lang w:val="en-GB"/>
        </w:rPr>
        <w:tab/>
        <w:t>Event A2 (Serving becomes worse than threshold)</w:t>
      </w:r>
      <w:bookmarkEnd w:id="6"/>
    </w:p>
    <w:p w14:paraId="3A311A00" w14:textId="77777777" w:rsidR="00153309" w:rsidRDefault="00153309" w:rsidP="00153309">
      <w:r>
        <w:t>The UE shall:</w:t>
      </w:r>
    </w:p>
    <w:p w14:paraId="08BF54C2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entering condition for this event to be satisfied when condition A2-1, as specified below, is fulfilled;</w:t>
      </w:r>
    </w:p>
    <w:p w14:paraId="2F235964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leaving condition for this event to be satisfied when condition A2-2, as specified below, is fulfilled;</w:t>
      </w:r>
    </w:p>
    <w:p w14:paraId="7A290CAB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for this measurement, consider the serving cell indicated by the </w:t>
      </w:r>
      <w:proofErr w:type="spellStart"/>
      <w:r>
        <w:rPr>
          <w:i/>
          <w:lang w:val="en-GB"/>
        </w:rPr>
        <w:t>measObjectNR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associated to this event.</w:t>
      </w:r>
    </w:p>
    <w:p w14:paraId="68A35B86" w14:textId="0D2E239A" w:rsidR="004E21FA" w:rsidRDefault="004E21FA" w:rsidP="00153309">
      <w:pPr>
        <w:rPr>
          <w:ins w:id="7" w:author="Ericsson" w:date="2019-10-03T12:05:00Z"/>
          <w:lang w:eastAsia="ko-KR"/>
        </w:rPr>
      </w:pPr>
      <w:ins w:id="8" w:author="Ericsson" w:date="2019-10-03T12:05:00Z">
        <w:r>
          <w:rPr>
            <w:lang w:eastAsia="ko-KR"/>
          </w:rPr>
          <w:t>NOTE: If the L3 filtered measurements for the serving cell</w:t>
        </w:r>
        <w:r w:rsidR="00941A29">
          <w:rPr>
            <w:lang w:eastAsia="ko-KR"/>
          </w:rPr>
          <w:t xml:space="preserve"> indicated</w:t>
        </w:r>
      </w:ins>
      <w:ins w:id="9" w:author="Ericsson" w:date="2019-10-03T12:06:00Z">
        <w:r w:rsidR="00941A29">
          <w:rPr>
            <w:lang w:eastAsia="ko-KR"/>
          </w:rPr>
          <w:t xml:space="preserve"> by the </w:t>
        </w:r>
        <w:proofErr w:type="spellStart"/>
        <w:r w:rsidR="00941A29">
          <w:rPr>
            <w:i/>
          </w:rPr>
          <w:t>measObjectNR</w:t>
        </w:r>
        <w:proofErr w:type="spellEnd"/>
        <w:r w:rsidR="00941A29">
          <w:rPr>
            <w:i/>
          </w:rPr>
          <w:t xml:space="preserve"> </w:t>
        </w:r>
        <w:r w:rsidR="00941A29">
          <w:t xml:space="preserve">associated to this event is not available, then the UE shall consider the </w:t>
        </w:r>
        <w:r w:rsidR="00CB3190">
          <w:t xml:space="preserve">lowest value of the value range of the </w:t>
        </w:r>
      </w:ins>
      <w:ins w:id="10" w:author="Ericsson" w:date="2019-10-03T12:07:00Z">
        <w:r w:rsidR="00CB3190">
          <w:t>measurement quantity as the serving cell measurement</w:t>
        </w:r>
        <w:r w:rsidR="009D332C">
          <w:t xml:space="preserve">, </w:t>
        </w:r>
        <w:r w:rsidR="009D332C" w:rsidRPr="00B16B36">
          <w:rPr>
            <w:i/>
          </w:rPr>
          <w:t>Ms</w:t>
        </w:r>
      </w:ins>
      <w:ins w:id="11" w:author="Ericsson" w:date="2019-10-03T12:06:00Z">
        <w:r w:rsidR="00941A29">
          <w:t>.</w:t>
        </w:r>
      </w:ins>
    </w:p>
    <w:p w14:paraId="13D7F6EE" w14:textId="59C7FF8B" w:rsidR="00153309" w:rsidRDefault="00153309" w:rsidP="00153309">
      <w:r>
        <w:rPr>
          <w:lang w:eastAsia="ko-KR"/>
        </w:rPr>
        <w:t>Inequality</w:t>
      </w:r>
      <w:r>
        <w:t xml:space="preserve"> A2-1 (Entering condition)</w:t>
      </w:r>
    </w:p>
    <w:p w14:paraId="5F28D736" w14:textId="77777777" w:rsidR="00153309" w:rsidRDefault="00153309" w:rsidP="00153309">
      <w:pPr>
        <w:pStyle w:val="EQ"/>
      </w:pPr>
      <w:r>
        <w:rPr>
          <w:i/>
        </w:rPr>
        <w:t>Ms + Hys &lt; Thresh</w:t>
      </w:r>
    </w:p>
    <w:p w14:paraId="3CD508C9" w14:textId="77777777" w:rsidR="00153309" w:rsidRDefault="00153309" w:rsidP="00153309">
      <w:r>
        <w:rPr>
          <w:lang w:eastAsia="ko-KR"/>
        </w:rPr>
        <w:t>Inequality</w:t>
      </w:r>
      <w:r>
        <w:t xml:space="preserve"> A2-2 (Leaving condition)</w:t>
      </w:r>
    </w:p>
    <w:p w14:paraId="53BEDC83" w14:textId="77777777" w:rsidR="00153309" w:rsidRDefault="00153309" w:rsidP="00153309">
      <w:pPr>
        <w:pStyle w:val="EQ"/>
      </w:pPr>
      <w:r>
        <w:rPr>
          <w:i/>
        </w:rPr>
        <w:t>Ms – Hys &gt; Thresh</w:t>
      </w:r>
    </w:p>
    <w:p w14:paraId="5C1E7118" w14:textId="77777777" w:rsidR="00153309" w:rsidRDefault="00153309" w:rsidP="00153309">
      <w:r>
        <w:t>The variables in the formula are defined as follows:</w:t>
      </w:r>
    </w:p>
    <w:p w14:paraId="16E587F4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 xml:space="preserve">is the measurement result of the serving cell, not </w:t>
      </w:r>
      <w:proofErr w:type="gramStart"/>
      <w:r>
        <w:rPr>
          <w:lang w:val="en-GB"/>
        </w:rPr>
        <w:t>taking into account</w:t>
      </w:r>
      <w:proofErr w:type="gramEnd"/>
      <w:r>
        <w:rPr>
          <w:lang w:val="en-GB"/>
        </w:rPr>
        <w:t xml:space="preserve"> any offsets.</w:t>
      </w:r>
    </w:p>
    <w:p w14:paraId="7E9D5422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lang w:val="en-GB"/>
        </w:rPr>
        <w:t xml:space="preserve"> is the hysteresis parameter for this event (i.e. </w:t>
      </w:r>
      <w:r>
        <w:rPr>
          <w:i/>
          <w:lang w:val="en-GB"/>
        </w:rPr>
        <w:t>hysteresis</w:t>
      </w:r>
      <w:r>
        <w:rPr>
          <w:lang w:val="en-GB"/>
        </w:rPr>
        <w:t xml:space="preserve"> 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74B19AE7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>Thresh</w:t>
      </w:r>
      <w:r>
        <w:rPr>
          <w:lang w:val="en-GB"/>
        </w:rPr>
        <w:t xml:space="preserve"> is the threshold parameter for this event (i.e. </w:t>
      </w:r>
      <w:r>
        <w:rPr>
          <w:i/>
          <w:lang w:val="en-GB"/>
        </w:rPr>
        <w:t xml:space="preserve">a2-Threshold </w:t>
      </w:r>
      <w:r>
        <w:rPr>
          <w:lang w:val="en-GB"/>
        </w:rPr>
        <w:t xml:space="preserve">as defined within </w:t>
      </w:r>
      <w:proofErr w:type="spellStart"/>
      <w:r>
        <w:rPr>
          <w:i/>
          <w:lang w:val="en-GB"/>
        </w:rPr>
        <w:t>reportConfigNR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for this event).</w:t>
      </w:r>
    </w:p>
    <w:p w14:paraId="5C90882D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expressed in dBm</w:t>
      </w:r>
      <w:r>
        <w:rPr>
          <w:lang w:val="en-GB" w:eastAsia="ko-KR"/>
        </w:rPr>
        <w:t xml:space="preserve"> in case of RSRP, or in dB in case of RSRQ</w:t>
      </w:r>
      <w:r>
        <w:rPr>
          <w:lang w:val="en-GB"/>
        </w:rPr>
        <w:t xml:space="preserve"> and RS-SINR.</w:t>
      </w:r>
    </w:p>
    <w:p w14:paraId="2FC514B8" w14:textId="77777777" w:rsidR="00153309" w:rsidRDefault="00153309" w:rsidP="00153309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b/>
          <w:i/>
          <w:lang w:val="en-GB"/>
        </w:rPr>
        <w:t xml:space="preserve"> </w:t>
      </w:r>
      <w:r>
        <w:rPr>
          <w:lang w:val="en-GB"/>
        </w:rPr>
        <w:t xml:space="preserve">is expressed in </w:t>
      </w:r>
      <w:proofErr w:type="spellStart"/>
      <w:r>
        <w:rPr>
          <w:lang w:val="en-GB"/>
        </w:rPr>
        <w:t>dB.</w:t>
      </w:r>
      <w:proofErr w:type="spellEnd"/>
    </w:p>
    <w:p w14:paraId="36B89FAD" w14:textId="77777777" w:rsidR="00153309" w:rsidRDefault="00153309" w:rsidP="00153309">
      <w:pPr>
        <w:pStyle w:val="B1"/>
        <w:rPr>
          <w:lang w:val="en-GB" w:eastAsia="ko-KR"/>
        </w:rPr>
      </w:pPr>
      <w:r>
        <w:rPr>
          <w:b/>
          <w:i/>
          <w:lang w:val="en-GB"/>
        </w:rPr>
        <w:t>Thres</w:t>
      </w:r>
      <w:r>
        <w:rPr>
          <w:b/>
          <w:i/>
          <w:lang w:val="en-GB" w:eastAsia="ko-KR"/>
        </w:rPr>
        <w:t xml:space="preserve">h </w:t>
      </w:r>
      <w:r>
        <w:rPr>
          <w:lang w:val="en-GB" w:eastAsia="ko-KR"/>
        </w:rPr>
        <w:t>is</w:t>
      </w:r>
      <w:r>
        <w:rPr>
          <w:lang w:val="en-GB"/>
        </w:rPr>
        <w:t xml:space="preserve"> expressed in the same unit as </w:t>
      </w:r>
      <w:r>
        <w:rPr>
          <w:b/>
          <w:i/>
          <w:lang w:val="en-GB"/>
        </w:rPr>
        <w:t>Ms</w:t>
      </w:r>
      <w:r>
        <w:rPr>
          <w:lang w:val="en-GB"/>
        </w:rPr>
        <w:t>.</w:t>
      </w:r>
    </w:p>
    <w:p w14:paraId="14FA59F8" w14:textId="77777777" w:rsidR="00AE7676" w:rsidRDefault="00AE7676" w:rsidP="00A14902">
      <w:pPr>
        <w:rPr>
          <w:color w:val="FF0000"/>
        </w:rPr>
      </w:pPr>
    </w:p>
    <w:p w14:paraId="5293FF83" w14:textId="4649B6E5" w:rsidR="00A14902" w:rsidRPr="002823F1" w:rsidRDefault="00A14902" w:rsidP="00A14902">
      <w:pPr>
        <w:rPr>
          <w:color w:val="FF0000"/>
        </w:rPr>
      </w:pPr>
      <w:r w:rsidRPr="002823F1">
        <w:rPr>
          <w:color w:val="FF0000"/>
        </w:rPr>
        <w:t xml:space="preserve">***** </w:t>
      </w:r>
      <w:r>
        <w:rPr>
          <w:color w:val="FF0000"/>
        </w:rPr>
        <w:t xml:space="preserve">End of </w:t>
      </w:r>
      <w:r w:rsidRPr="002823F1">
        <w:rPr>
          <w:color w:val="FF0000"/>
        </w:rPr>
        <w:t>first change *****</w:t>
      </w:r>
      <w:bookmarkEnd w:id="5"/>
    </w:p>
    <w:sectPr w:rsidR="00A14902" w:rsidRPr="002823F1" w:rsidSect="00704B0D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D4315" w14:textId="77777777" w:rsidR="00893B30" w:rsidRDefault="00893B30">
      <w:pPr>
        <w:spacing w:after="0"/>
      </w:pPr>
      <w:r>
        <w:separator/>
      </w:r>
    </w:p>
  </w:endnote>
  <w:endnote w:type="continuationSeparator" w:id="0">
    <w:p w14:paraId="238237D0" w14:textId="77777777" w:rsidR="00893B30" w:rsidRDefault="00893B30">
      <w:pPr>
        <w:spacing w:after="0"/>
      </w:pPr>
      <w:r>
        <w:continuationSeparator/>
      </w:r>
    </w:p>
  </w:endnote>
  <w:endnote w:type="continuationNotice" w:id="1">
    <w:p w14:paraId="0C494847" w14:textId="77777777" w:rsidR="00893B30" w:rsidRDefault="00893B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254A2" w14:textId="77777777" w:rsidR="005416D1" w:rsidRDefault="005416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23845" w14:textId="77777777" w:rsidR="00893B30" w:rsidRDefault="00893B30">
      <w:pPr>
        <w:spacing w:after="0"/>
      </w:pPr>
      <w:r>
        <w:separator/>
      </w:r>
    </w:p>
  </w:footnote>
  <w:footnote w:type="continuationSeparator" w:id="0">
    <w:p w14:paraId="785269C6" w14:textId="77777777" w:rsidR="00893B30" w:rsidRDefault="00893B30">
      <w:pPr>
        <w:spacing w:after="0"/>
      </w:pPr>
      <w:r>
        <w:continuationSeparator/>
      </w:r>
    </w:p>
  </w:footnote>
  <w:footnote w:type="continuationNotice" w:id="1">
    <w:p w14:paraId="77A707D6" w14:textId="77777777" w:rsidR="00893B30" w:rsidRDefault="00893B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Header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8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7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89"/>
  </w:num>
  <w:num w:numId="28">
    <w:abstractNumId w:val="602"/>
  </w:num>
  <w:num w:numId="29">
    <w:abstractNumId w:val="437"/>
  </w:num>
  <w:num w:numId="30">
    <w:abstractNumId w:val="870"/>
  </w:num>
  <w:num w:numId="31">
    <w:abstractNumId w:val="12"/>
  </w:num>
  <w:num w:numId="32">
    <w:abstractNumId w:val="858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71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4"/>
  </w:num>
  <w:num w:numId="71">
    <w:abstractNumId w:val="25"/>
  </w:num>
  <w:num w:numId="72">
    <w:abstractNumId w:val="693"/>
  </w:num>
  <w:num w:numId="73">
    <w:abstractNumId w:val="486"/>
  </w:num>
  <w:num w:numId="74">
    <w:abstractNumId w:val="353"/>
  </w:num>
  <w:num w:numId="75">
    <w:abstractNumId w:val="849"/>
  </w:num>
  <w:num w:numId="76">
    <w:abstractNumId w:val="831"/>
  </w:num>
  <w:num w:numId="77">
    <w:abstractNumId w:val="657"/>
  </w:num>
  <w:num w:numId="78">
    <w:abstractNumId w:val="827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800"/>
  </w:num>
  <w:num w:numId="112">
    <w:abstractNumId w:val="86"/>
  </w:num>
  <w:num w:numId="113">
    <w:abstractNumId w:val="505"/>
  </w:num>
  <w:num w:numId="114">
    <w:abstractNumId w:val="373"/>
  </w:num>
  <w:num w:numId="115">
    <w:abstractNumId w:val="797"/>
  </w:num>
  <w:num w:numId="116">
    <w:abstractNumId w:val="803"/>
  </w:num>
  <w:num w:numId="117">
    <w:abstractNumId w:val="899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8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6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2"/>
  </w:num>
  <w:num w:numId="162">
    <w:abstractNumId w:val="884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0"/>
  </w:num>
  <w:num w:numId="175">
    <w:abstractNumId w:val="865"/>
  </w:num>
  <w:num w:numId="176">
    <w:abstractNumId w:val="694"/>
  </w:num>
  <w:num w:numId="177">
    <w:abstractNumId w:val="907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2"/>
  </w:num>
  <w:num w:numId="183">
    <w:abstractNumId w:val="61"/>
  </w:num>
  <w:num w:numId="184">
    <w:abstractNumId w:val="847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2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1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9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1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9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7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7"/>
  </w:num>
  <w:num w:numId="241">
    <w:abstractNumId w:val="910"/>
  </w:num>
  <w:num w:numId="242">
    <w:abstractNumId w:val="282"/>
  </w:num>
  <w:num w:numId="243">
    <w:abstractNumId w:val="919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9"/>
  </w:num>
  <w:num w:numId="262">
    <w:abstractNumId w:val="44"/>
  </w:num>
  <w:num w:numId="263">
    <w:abstractNumId w:val="215"/>
  </w:num>
  <w:num w:numId="264">
    <w:abstractNumId w:val="454"/>
  </w:num>
  <w:num w:numId="265">
    <w:abstractNumId w:val="798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6"/>
  </w:num>
  <w:num w:numId="276">
    <w:abstractNumId w:val="898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2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3"/>
  </w:num>
  <w:num w:numId="308">
    <w:abstractNumId w:val="601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8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2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09"/>
  </w:num>
  <w:num w:numId="348">
    <w:abstractNumId w:val="875"/>
  </w:num>
  <w:num w:numId="349">
    <w:abstractNumId w:val="23"/>
  </w:num>
  <w:num w:numId="350">
    <w:abstractNumId w:val="832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2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5"/>
  </w:num>
  <w:num w:numId="391">
    <w:abstractNumId w:val="538"/>
  </w:num>
  <w:num w:numId="392">
    <w:abstractNumId w:val="321"/>
  </w:num>
  <w:num w:numId="393">
    <w:abstractNumId w:val="885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6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2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2"/>
  </w:num>
  <w:num w:numId="475">
    <w:abstractNumId w:val="837"/>
  </w:num>
  <w:num w:numId="476">
    <w:abstractNumId w:val="890"/>
  </w:num>
  <w:num w:numId="477">
    <w:abstractNumId w:val="701"/>
  </w:num>
  <w:num w:numId="478">
    <w:abstractNumId w:val="208"/>
  </w:num>
  <w:num w:numId="479">
    <w:abstractNumId w:val="894"/>
  </w:num>
  <w:num w:numId="480">
    <w:abstractNumId w:val="308"/>
  </w:num>
  <w:num w:numId="481">
    <w:abstractNumId w:val="406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6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5"/>
  </w:num>
  <w:num w:numId="508">
    <w:abstractNumId w:val="771"/>
  </w:num>
  <w:num w:numId="509">
    <w:abstractNumId w:val="808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30"/>
  </w:num>
  <w:num w:numId="516">
    <w:abstractNumId w:val="900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2"/>
  </w:num>
  <w:num w:numId="560">
    <w:abstractNumId w:val="768"/>
  </w:num>
  <w:num w:numId="561">
    <w:abstractNumId w:val="200"/>
  </w:num>
  <w:num w:numId="562">
    <w:abstractNumId w:val="863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8"/>
  </w:num>
  <w:num w:numId="581">
    <w:abstractNumId w:val="893"/>
  </w:num>
  <w:num w:numId="582">
    <w:abstractNumId w:val="443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5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4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7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1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50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5"/>
  </w:num>
  <w:num w:numId="663">
    <w:abstractNumId w:val="618"/>
  </w:num>
  <w:num w:numId="664">
    <w:abstractNumId w:val="585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2"/>
  </w:num>
  <w:num w:numId="685">
    <w:abstractNumId w:val="376"/>
  </w:num>
  <w:num w:numId="686">
    <w:abstractNumId w:val="845"/>
  </w:num>
  <w:num w:numId="687">
    <w:abstractNumId w:val="598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7"/>
  </w:num>
  <w:num w:numId="699">
    <w:abstractNumId w:val="588"/>
  </w:num>
  <w:num w:numId="700">
    <w:abstractNumId w:val="765"/>
  </w:num>
  <w:num w:numId="701">
    <w:abstractNumId w:val="873"/>
  </w:num>
  <w:num w:numId="702">
    <w:abstractNumId w:val="544"/>
  </w:num>
  <w:num w:numId="703">
    <w:abstractNumId w:val="430"/>
  </w:num>
  <w:num w:numId="704">
    <w:abstractNumId w:val="922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89"/>
  </w:num>
  <w:num w:numId="721">
    <w:abstractNumId w:val="843"/>
  </w:num>
  <w:num w:numId="722">
    <w:abstractNumId w:val="710"/>
  </w:num>
  <w:num w:numId="723">
    <w:abstractNumId w:val="582"/>
  </w:num>
  <w:num w:numId="724">
    <w:abstractNumId w:val="859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4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90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5"/>
  </w:num>
  <w:num w:numId="775">
    <w:abstractNumId w:val="888"/>
  </w:num>
  <w:num w:numId="776">
    <w:abstractNumId w:val="50"/>
  </w:num>
  <w:num w:numId="777">
    <w:abstractNumId w:val="487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5"/>
  </w:num>
  <w:num w:numId="785">
    <w:abstractNumId w:val="836"/>
  </w:num>
  <w:num w:numId="786">
    <w:abstractNumId w:val="473"/>
  </w:num>
  <w:num w:numId="787">
    <w:abstractNumId w:val="930"/>
  </w:num>
  <w:num w:numId="788">
    <w:abstractNumId w:val="416"/>
  </w:num>
  <w:num w:numId="789">
    <w:abstractNumId w:val="119"/>
  </w:num>
  <w:num w:numId="790">
    <w:abstractNumId w:val="790"/>
  </w:num>
  <w:num w:numId="791">
    <w:abstractNumId w:val="326"/>
  </w:num>
  <w:num w:numId="792">
    <w:abstractNumId w:val="444"/>
  </w:num>
  <w:num w:numId="793">
    <w:abstractNumId w:val="840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4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8"/>
  </w:num>
  <w:num w:numId="856">
    <w:abstractNumId w:val="71"/>
  </w:num>
  <w:num w:numId="857">
    <w:abstractNumId w:val="925"/>
  </w:num>
  <w:num w:numId="858">
    <w:abstractNumId w:val="395"/>
  </w:num>
  <w:num w:numId="859">
    <w:abstractNumId w:val="838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19"/>
  </w:num>
  <w:num w:numId="871">
    <w:abstractNumId w:val="466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8"/>
  </w:num>
  <w:num w:numId="910">
    <w:abstractNumId w:val="62"/>
  </w:num>
  <w:num w:numId="911">
    <w:abstractNumId w:val="896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75"/>
  </w:num>
  <w:num w:numId="942">
    <w:abstractNumId w:val="783"/>
  </w:num>
  <w:num w:numId="943">
    <w:abstractNumId w:val="824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B8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3FF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B0F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2BC"/>
    <w:rsid w:val="004D26C1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B30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213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521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2105E"/>
  </w:style>
  <w:style w:type="character" w:customStyle="1" w:styleId="CommentTextChar">
    <w:name w:val="Comment Text Char"/>
    <w:basedOn w:val="DefaultParagraphFont"/>
    <w:link w:val="CommentText"/>
    <w:uiPriority w:val="99"/>
    <w:rsid w:val="0052105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21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05E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195E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CR%20template%2038331-f6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1626E-9413-46F2-8F5C-4023CEECE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9C652D1-C654-4F3D-9E75-F2679C94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CR%20template%2038331-f60</Template>
  <TotalTime>454</TotalTime>
  <Pages>3</Pages>
  <Words>701</Words>
  <Characters>3718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Ericsson</cp:lastModifiedBy>
  <cp:revision>75</cp:revision>
  <cp:lastPrinted>2017-05-08T10:55:00Z</cp:lastPrinted>
  <dcterms:created xsi:type="dcterms:W3CDTF">2019-09-17T12:05:00Z</dcterms:created>
  <dcterms:modified xsi:type="dcterms:W3CDTF">2019-11-07T13:10:00Z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