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7BEFC6FD"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6B179F">
        <w:rPr>
          <w:rFonts w:ascii="Arial" w:eastAsia="Times New Roman" w:hAnsi="Arial"/>
          <w:b/>
          <w:sz w:val="24"/>
          <w:szCs w:val="24"/>
        </w:rPr>
        <w:t>8</w:t>
      </w:r>
      <w:r>
        <w:rPr>
          <w:rFonts w:ascii="Arial" w:eastAsia="Times New Roman" w:hAnsi="Arial"/>
          <w:b/>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991A9E" w:rsidRPr="00991A9E">
        <w:t xml:space="preserve"> </w:t>
      </w:r>
      <w:r w:rsidR="00991A9E" w:rsidRPr="00991A9E">
        <w:rPr>
          <w:rFonts w:ascii="Arial" w:hAnsi="Arial" w:cs="Arial"/>
          <w:b/>
          <w:bCs/>
          <w:color w:val="000000"/>
          <w:sz w:val="26"/>
          <w:szCs w:val="26"/>
        </w:rPr>
        <w:t>191</w:t>
      </w:r>
      <w:r w:rsidR="000F410C">
        <w:rPr>
          <w:rFonts w:ascii="Arial" w:hAnsi="Arial" w:cs="Arial"/>
          <w:b/>
          <w:bCs/>
          <w:color w:val="000000"/>
          <w:sz w:val="26"/>
          <w:szCs w:val="26"/>
        </w:rPr>
        <w:t>4839</w:t>
      </w:r>
    </w:p>
    <w:p w14:paraId="110EB4B6" w14:textId="2F954320" w:rsidR="00783B93" w:rsidRDefault="006B179F" w:rsidP="00783B93">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Reno</w:t>
      </w:r>
      <w:r w:rsidR="00783B93">
        <w:rPr>
          <w:rFonts w:ascii="Arial" w:hAnsi="Arial"/>
          <w:b/>
          <w:sz w:val="24"/>
          <w:szCs w:val="24"/>
          <w:lang w:eastAsia="zh-CN"/>
        </w:rPr>
        <w:t xml:space="preserve">, </w:t>
      </w:r>
      <w:r>
        <w:rPr>
          <w:rFonts w:ascii="Arial" w:hAnsi="Arial"/>
          <w:b/>
          <w:sz w:val="24"/>
          <w:szCs w:val="24"/>
          <w:lang w:eastAsia="zh-CN"/>
        </w:rPr>
        <w:t>USA</w:t>
      </w:r>
      <w:r w:rsidR="00783B93">
        <w:rPr>
          <w:rFonts w:ascii="Arial" w:hAnsi="Arial"/>
          <w:b/>
          <w:sz w:val="24"/>
          <w:szCs w:val="24"/>
          <w:lang w:eastAsia="zh-CN"/>
        </w:rPr>
        <w:t xml:space="preserve">, </w:t>
      </w:r>
      <w:r>
        <w:rPr>
          <w:rFonts w:ascii="Arial" w:hAnsi="Arial"/>
          <w:b/>
          <w:sz w:val="24"/>
          <w:szCs w:val="24"/>
          <w:lang w:eastAsia="zh-CN"/>
        </w:rPr>
        <w:t>Nov</w:t>
      </w:r>
      <w:r w:rsidR="00783B93">
        <w:rPr>
          <w:rFonts w:ascii="Arial" w:hAnsi="Arial"/>
          <w:b/>
          <w:sz w:val="24"/>
          <w:szCs w:val="24"/>
          <w:lang w:eastAsia="zh-CN"/>
        </w:rPr>
        <w:t xml:space="preserve"> 1</w:t>
      </w:r>
      <w:r>
        <w:rPr>
          <w:rFonts w:ascii="Arial" w:hAnsi="Arial"/>
          <w:b/>
          <w:sz w:val="24"/>
          <w:szCs w:val="24"/>
          <w:lang w:eastAsia="zh-CN"/>
        </w:rPr>
        <w:t>8</w:t>
      </w:r>
      <w:r w:rsidR="00783B93" w:rsidRPr="00D112A5">
        <w:rPr>
          <w:rFonts w:ascii="Arial" w:hAnsi="Arial"/>
          <w:b/>
          <w:sz w:val="24"/>
          <w:szCs w:val="24"/>
          <w:vertAlign w:val="superscript"/>
          <w:lang w:eastAsia="zh-CN"/>
        </w:rPr>
        <w:t>th</w:t>
      </w:r>
      <w:r w:rsidR="00783B93">
        <w:rPr>
          <w:rFonts w:ascii="Arial" w:hAnsi="Arial"/>
          <w:b/>
          <w:sz w:val="24"/>
          <w:szCs w:val="24"/>
          <w:lang w:eastAsia="zh-CN"/>
        </w:rPr>
        <w:t xml:space="preserve"> – </w:t>
      </w:r>
      <w:r>
        <w:rPr>
          <w:rFonts w:ascii="Arial" w:hAnsi="Arial"/>
          <w:b/>
          <w:sz w:val="24"/>
          <w:szCs w:val="24"/>
          <w:lang w:eastAsia="zh-CN"/>
        </w:rPr>
        <w:t>22</w:t>
      </w:r>
      <w:r w:rsidR="00AF6414">
        <w:rPr>
          <w:rFonts w:ascii="Arial" w:hAnsi="Arial"/>
          <w:b/>
          <w:sz w:val="24"/>
          <w:szCs w:val="24"/>
          <w:vertAlign w:val="superscript"/>
          <w:lang w:eastAsia="zh-CN"/>
        </w:rPr>
        <w:t>nd</w:t>
      </w:r>
      <w:r w:rsidR="00783B93">
        <w:rPr>
          <w:rFonts w:ascii="Arial" w:hAnsi="Arial"/>
          <w:b/>
          <w:sz w:val="24"/>
          <w:szCs w:val="24"/>
          <w:lang w:eastAsia="zh-CN"/>
        </w:rPr>
        <w:t>,</w:t>
      </w:r>
      <w:r w:rsidR="00783B93" w:rsidRPr="00383F56">
        <w:rPr>
          <w:rFonts w:ascii="Arial" w:hAnsi="Arial"/>
          <w:b/>
          <w:sz w:val="24"/>
          <w:szCs w:val="24"/>
          <w:lang w:eastAsia="zh-CN"/>
        </w:rPr>
        <w:t xml:space="preserve"> 201</w:t>
      </w:r>
      <w:r w:rsidR="00783B93">
        <w:rPr>
          <w:rFonts w:ascii="Arial" w:hAnsi="Arial"/>
          <w:b/>
          <w:sz w:val="24"/>
          <w:szCs w:val="24"/>
          <w:lang w:eastAsia="zh-CN"/>
        </w:rPr>
        <w:t>9</w:t>
      </w:r>
      <w:r w:rsidR="00783B93">
        <w:rPr>
          <w:rFonts w:ascii="Arial" w:hAnsi="Arial" w:cs="Arial"/>
          <w:b/>
          <w:bCs/>
          <w:color w:val="000000"/>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44F9992" w:rsidR="00783B93" w:rsidRPr="006D3016" w:rsidRDefault="00783B93" w:rsidP="00783B9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F6414">
        <w:rPr>
          <w:rFonts w:ascii="Arial" w:eastAsia="MS Mincho" w:hAnsi="Arial" w:cs="Arial"/>
          <w:b/>
          <w:bCs/>
          <w:sz w:val="24"/>
        </w:rPr>
        <w:t>6.9.3.</w:t>
      </w:r>
      <w:r w:rsidR="00954387">
        <w:rPr>
          <w:rFonts w:ascii="Arial" w:eastAsia="MS Mincho" w:hAnsi="Arial" w:cs="Arial"/>
          <w:b/>
          <w:bCs/>
          <w:sz w:val="24"/>
        </w:rPr>
        <w:t>3</w:t>
      </w:r>
      <w:r>
        <w:rPr>
          <w:rFonts w:ascii="Arial" w:eastAsia="MS Mincho" w:hAnsi="Arial" w:cs="Arial"/>
          <w:b/>
          <w:bCs/>
          <w:sz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C16B026" w:rsidR="00783B93" w:rsidRPr="006D3016" w:rsidRDefault="00783B93" w:rsidP="00783B93">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54387" w:rsidRPr="00954387">
        <w:rPr>
          <w:rFonts w:ascii="Arial" w:eastAsia="Times New Roman" w:hAnsi="Arial" w:cs="Arial"/>
          <w:b/>
          <w:bCs/>
          <w:sz w:val="24"/>
        </w:rPr>
        <w:t>Handling of measurement configuration for execution condition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0C605ADF" w:rsidR="00783B93" w:rsidRDefault="00783B93" w:rsidP="00783B93">
      <w:pPr>
        <w:pStyle w:val="Heading1"/>
        <w:numPr>
          <w:ilvl w:val="0"/>
          <w:numId w:val="1"/>
        </w:numPr>
        <w:pBdr>
          <w:top w:val="single" w:sz="12" w:space="2" w:color="auto"/>
        </w:pBdr>
      </w:pPr>
      <w:r>
        <w:t xml:space="preserve">Introduction </w:t>
      </w:r>
    </w:p>
    <w:p w14:paraId="429293B1" w14:textId="117F7F93" w:rsidR="00BE46FF" w:rsidRDefault="00BE46FF">
      <w:pPr>
        <w:rPr>
          <w:sz w:val="22"/>
          <w:szCs w:val="22"/>
        </w:rPr>
      </w:pPr>
      <w:r>
        <w:rPr>
          <w:sz w:val="22"/>
          <w:szCs w:val="22"/>
        </w:rPr>
        <w:t xml:space="preserve">In document </w:t>
      </w:r>
      <w:r w:rsidR="003B0894">
        <w:rPr>
          <w:sz w:val="22"/>
          <w:szCs w:val="22"/>
        </w:rPr>
        <w:t xml:space="preserve">[1], </w:t>
      </w:r>
      <w:r w:rsidR="00CC02BB">
        <w:rPr>
          <w:sz w:val="22"/>
          <w:szCs w:val="22"/>
        </w:rPr>
        <w:t xml:space="preserve">we summarized </w:t>
      </w:r>
      <w:r w:rsidRPr="00BE46FF">
        <w:rPr>
          <w:sz w:val="22"/>
          <w:szCs w:val="22"/>
        </w:rPr>
        <w:t xml:space="preserve">the email discussion [107bis#54], the RRC CR has left several issues as open that need further discussion. </w:t>
      </w:r>
      <w:r w:rsidR="001A1C7B">
        <w:rPr>
          <w:sz w:val="22"/>
          <w:szCs w:val="22"/>
        </w:rPr>
        <w:t>In this contribution, we focus on handling of measurement configuration for execution condition FFS issues.</w:t>
      </w:r>
    </w:p>
    <w:p w14:paraId="5B57D60A" w14:textId="0067522C" w:rsidR="006E39F2" w:rsidRDefault="00523B51">
      <w:pPr>
        <w:rPr>
          <w:sz w:val="22"/>
          <w:szCs w:val="22"/>
        </w:rPr>
      </w:pPr>
      <w:r>
        <w:rPr>
          <w:sz w:val="22"/>
          <w:szCs w:val="22"/>
        </w:rPr>
        <w:t>It has been agreed that up to 2 measurement quantit</w:t>
      </w:r>
      <w:r w:rsidR="003951F7">
        <w:rPr>
          <w:sz w:val="22"/>
          <w:szCs w:val="22"/>
        </w:rPr>
        <w:t>ies</w:t>
      </w:r>
      <w:r>
        <w:rPr>
          <w:sz w:val="22"/>
          <w:szCs w:val="22"/>
        </w:rPr>
        <w:t xml:space="preserve"> can be configured using 2 </w:t>
      </w:r>
      <w:proofErr w:type="spellStart"/>
      <w:r w:rsidR="000A48C1">
        <w:rPr>
          <w:sz w:val="22"/>
          <w:szCs w:val="22"/>
        </w:rPr>
        <w:t>meas</w:t>
      </w:r>
      <w:r>
        <w:rPr>
          <w:sz w:val="22"/>
          <w:szCs w:val="22"/>
        </w:rPr>
        <w:t>ID</w:t>
      </w:r>
      <w:proofErr w:type="spellEnd"/>
      <w:r>
        <w:rPr>
          <w:sz w:val="22"/>
          <w:szCs w:val="22"/>
        </w:rPr>
        <w:t xml:space="preserve"> for the same execution condition. However, it is unclear what can be configured differently. Therefore, current CR has the following FFS:</w:t>
      </w:r>
    </w:p>
    <w:p w14:paraId="26BE70BE" w14:textId="77777777" w:rsidR="00523B51" w:rsidRPr="00A65874" w:rsidRDefault="00523B51" w:rsidP="00523B51">
      <w:pPr>
        <w:pStyle w:val="EditorsNote"/>
      </w:pPr>
      <w:r>
        <w:t>Editor’s note: FFS on what can be different in configuration for multiple events of the same execution condition.</w:t>
      </w:r>
    </w:p>
    <w:p w14:paraId="72F7FFF0" w14:textId="45EFA56F" w:rsidR="00523B51" w:rsidRDefault="00455758" w:rsidP="00523B51">
      <w:pPr>
        <w:pStyle w:val="EditorsNote"/>
      </w:pPr>
      <w:r>
        <w:t xml:space="preserve">Editorial note: FFS on whether UE should remove the corresponding </w:t>
      </w:r>
      <w:proofErr w:type="spellStart"/>
      <w:r>
        <w:t>measId</w:t>
      </w:r>
      <w:proofErr w:type="spellEnd"/>
      <w:r>
        <w:t xml:space="preserve"> in CHO candidate configuration when the </w:t>
      </w:r>
      <w:proofErr w:type="spellStart"/>
      <w:r>
        <w:t>measId</w:t>
      </w:r>
      <w:proofErr w:type="spellEnd"/>
      <w:r>
        <w:t xml:space="preserve"> is removed from </w:t>
      </w:r>
      <w:proofErr w:type="spellStart"/>
      <w:r w:rsidRPr="00CB22FD">
        <w:rPr>
          <w:i/>
        </w:rPr>
        <w:t>measIdRemoveList</w:t>
      </w:r>
      <w:proofErr w:type="spellEnd"/>
      <w:r>
        <w:t xml:space="preserve">. FFS on whether UE should remove/ store </w:t>
      </w:r>
      <w:proofErr w:type="spellStart"/>
      <w:r w:rsidRPr="00CB22FD">
        <w:rPr>
          <w:i/>
        </w:rPr>
        <w:t>VarMeasConfig</w:t>
      </w:r>
      <w:proofErr w:type="spellEnd"/>
      <w:r>
        <w:t xml:space="preserve"> </w:t>
      </w:r>
    </w:p>
    <w:p w14:paraId="30533DCC" w14:textId="05257E0D" w:rsidR="002761C6" w:rsidRPr="00523B51" w:rsidRDefault="00523B51" w:rsidP="00523B51">
      <w:pPr>
        <w:rPr>
          <w:sz w:val="22"/>
          <w:szCs w:val="22"/>
        </w:rPr>
      </w:pPr>
      <w:r>
        <w:rPr>
          <w:sz w:val="22"/>
          <w:szCs w:val="22"/>
        </w:rPr>
        <w:t>This contribution is to discuss what can be different in</w:t>
      </w:r>
      <w:r w:rsidR="003951F7">
        <w:rPr>
          <w:sz w:val="22"/>
          <w:szCs w:val="22"/>
        </w:rPr>
        <w:t xml:space="preserve"> the conditional handover</w:t>
      </w:r>
      <w:r>
        <w:rPr>
          <w:sz w:val="22"/>
          <w:szCs w:val="22"/>
        </w:rPr>
        <w:t xml:space="preserve"> configuration for multiple events of the same execution condition. </w:t>
      </w:r>
      <w:r w:rsidR="00D63BDF">
        <w:t xml:space="preserve"> </w:t>
      </w:r>
    </w:p>
    <w:p w14:paraId="57BF1261" w14:textId="3E03BDBB" w:rsidR="00783B93" w:rsidRDefault="00783B93" w:rsidP="00783B93">
      <w:pPr>
        <w:pStyle w:val="Heading1"/>
        <w:numPr>
          <w:ilvl w:val="0"/>
          <w:numId w:val="1"/>
        </w:numPr>
        <w:pBdr>
          <w:top w:val="single" w:sz="12" w:space="2" w:color="auto"/>
        </w:pBdr>
      </w:pPr>
      <w:r>
        <w:t xml:space="preserve">Discussion </w:t>
      </w:r>
    </w:p>
    <w:p w14:paraId="426FC2EB" w14:textId="473609E7" w:rsidR="00523B51" w:rsidRDefault="00523B51" w:rsidP="006E39F2">
      <w:pPr>
        <w:rPr>
          <w:sz w:val="22"/>
          <w:szCs w:val="22"/>
        </w:rPr>
      </w:pPr>
      <w:r>
        <w:rPr>
          <w:sz w:val="22"/>
          <w:szCs w:val="22"/>
        </w:rPr>
        <w:t xml:space="preserve">In conditional handover, at most 2 </w:t>
      </w:r>
      <w:proofErr w:type="spellStart"/>
      <w:r>
        <w:rPr>
          <w:sz w:val="22"/>
          <w:szCs w:val="22"/>
        </w:rPr>
        <w:t>measID</w:t>
      </w:r>
      <w:proofErr w:type="spellEnd"/>
      <w:r>
        <w:rPr>
          <w:sz w:val="22"/>
          <w:szCs w:val="22"/>
        </w:rPr>
        <w:t xml:space="preserve"> can be configured for the same execution condition to achieve </w:t>
      </w:r>
      <w:r w:rsidR="00942F7D">
        <w:rPr>
          <w:sz w:val="22"/>
          <w:szCs w:val="22"/>
        </w:rPr>
        <w:t xml:space="preserve">2 </w:t>
      </w:r>
      <w:r>
        <w:rPr>
          <w:sz w:val="22"/>
          <w:szCs w:val="22"/>
        </w:rPr>
        <w:t>triggering quantities for the same event, same RS type and same measurement o</w:t>
      </w:r>
      <w:r w:rsidR="00FE2C54">
        <w:rPr>
          <w:sz w:val="22"/>
          <w:szCs w:val="22"/>
        </w:rPr>
        <w:t>bject</w:t>
      </w:r>
      <w:r>
        <w:rPr>
          <w:sz w:val="22"/>
          <w:szCs w:val="22"/>
        </w:rPr>
        <w:t xml:space="preserve">. However, </w:t>
      </w:r>
      <w:r w:rsidR="00BF6B4C">
        <w:rPr>
          <w:sz w:val="22"/>
          <w:szCs w:val="22"/>
        </w:rPr>
        <w:t xml:space="preserve">it has not be discussed what </w:t>
      </w:r>
      <w:r>
        <w:rPr>
          <w:sz w:val="22"/>
          <w:szCs w:val="22"/>
        </w:rPr>
        <w:t>configuration</w:t>
      </w:r>
      <w:r w:rsidR="00873C76">
        <w:rPr>
          <w:sz w:val="22"/>
          <w:szCs w:val="22"/>
        </w:rPr>
        <w:t>s</w:t>
      </w:r>
      <w:r>
        <w:rPr>
          <w:sz w:val="22"/>
          <w:szCs w:val="22"/>
        </w:rPr>
        <w:t xml:space="preserve"> </w:t>
      </w:r>
      <w:r w:rsidR="00BF6B4C">
        <w:rPr>
          <w:sz w:val="22"/>
          <w:szCs w:val="22"/>
        </w:rPr>
        <w:t>can be different</w:t>
      </w:r>
      <w:r>
        <w:rPr>
          <w:sz w:val="22"/>
          <w:szCs w:val="22"/>
        </w:rPr>
        <w:t>. Below is to discuss each of them:</w:t>
      </w:r>
    </w:p>
    <w:p w14:paraId="6372B031" w14:textId="0A34E295" w:rsidR="007C4D1B" w:rsidRDefault="007C4D1B" w:rsidP="006010EE">
      <w:pPr>
        <w:pStyle w:val="ListParagraph"/>
        <w:numPr>
          <w:ilvl w:val="0"/>
          <w:numId w:val="14"/>
        </w:numPr>
        <w:rPr>
          <w:sz w:val="22"/>
          <w:szCs w:val="22"/>
        </w:rPr>
      </w:pPr>
      <w:r>
        <w:rPr>
          <w:sz w:val="22"/>
          <w:szCs w:val="22"/>
        </w:rPr>
        <w:t>A3 event offset</w:t>
      </w:r>
      <w:r w:rsidR="006010EE">
        <w:rPr>
          <w:sz w:val="22"/>
          <w:szCs w:val="22"/>
        </w:rPr>
        <w:t xml:space="preserve">: </w:t>
      </w:r>
    </w:p>
    <w:p w14:paraId="29E53311" w14:textId="62A724BB" w:rsidR="006010EE" w:rsidRDefault="006010EE" w:rsidP="006010EE">
      <w:pPr>
        <w:pStyle w:val="ListParagraph"/>
        <w:numPr>
          <w:ilvl w:val="1"/>
          <w:numId w:val="14"/>
        </w:numPr>
        <w:rPr>
          <w:sz w:val="22"/>
          <w:szCs w:val="22"/>
        </w:rPr>
      </w:pPr>
      <w:r>
        <w:rPr>
          <w:sz w:val="22"/>
          <w:szCs w:val="22"/>
        </w:rPr>
        <w:t xml:space="preserve">To support different quantity, the offset may be different. Therefore, it is reasonable to allow different A3 offset for the 2 </w:t>
      </w:r>
      <w:proofErr w:type="spellStart"/>
      <w:r>
        <w:rPr>
          <w:sz w:val="22"/>
          <w:szCs w:val="22"/>
        </w:rPr>
        <w:t>measID</w:t>
      </w:r>
      <w:proofErr w:type="spellEnd"/>
      <w:r>
        <w:rPr>
          <w:sz w:val="22"/>
          <w:szCs w:val="22"/>
        </w:rPr>
        <w:t xml:space="preserve"> for the same event, same RS type and same measurement object.</w:t>
      </w:r>
    </w:p>
    <w:p w14:paraId="54AB02F1" w14:textId="43AE74E4" w:rsidR="007C4D1B" w:rsidRDefault="007C4D1B" w:rsidP="006010EE">
      <w:pPr>
        <w:pStyle w:val="ListParagraph"/>
        <w:numPr>
          <w:ilvl w:val="0"/>
          <w:numId w:val="14"/>
        </w:numPr>
        <w:rPr>
          <w:sz w:val="22"/>
          <w:szCs w:val="22"/>
        </w:rPr>
      </w:pPr>
      <w:r>
        <w:rPr>
          <w:sz w:val="22"/>
          <w:szCs w:val="22"/>
        </w:rPr>
        <w:t>Cell specific offset of the target candidate cell</w:t>
      </w:r>
      <w:r w:rsidR="006010EE">
        <w:rPr>
          <w:sz w:val="22"/>
          <w:szCs w:val="22"/>
        </w:rPr>
        <w:t>:</w:t>
      </w:r>
    </w:p>
    <w:p w14:paraId="16C71D6E" w14:textId="79C0C85C" w:rsidR="006010EE" w:rsidRDefault="006010EE" w:rsidP="006010EE">
      <w:pPr>
        <w:pStyle w:val="ListParagraph"/>
        <w:numPr>
          <w:ilvl w:val="1"/>
          <w:numId w:val="14"/>
        </w:numPr>
        <w:rPr>
          <w:sz w:val="22"/>
          <w:szCs w:val="22"/>
        </w:rPr>
      </w:pPr>
      <w:r>
        <w:rPr>
          <w:sz w:val="22"/>
          <w:szCs w:val="22"/>
        </w:rPr>
        <w:t>Cell specific offset of the target cell is already in the measurement object.</w:t>
      </w:r>
    </w:p>
    <w:p w14:paraId="4419FE7C" w14:textId="397D7014" w:rsidR="006010EE" w:rsidRDefault="00A1145D" w:rsidP="006010EE">
      <w:pPr>
        <w:pStyle w:val="ListParagraph"/>
        <w:numPr>
          <w:ilvl w:val="1"/>
          <w:numId w:val="14"/>
        </w:numPr>
        <w:rPr>
          <w:sz w:val="22"/>
          <w:szCs w:val="22"/>
        </w:rPr>
      </w:pPr>
      <w:r w:rsidRPr="00A1145D">
        <w:rPr>
          <w:sz w:val="22"/>
          <w:szCs w:val="22"/>
        </w:rPr>
        <w:t>The existing definition of measurement object already allows for a different offset to be configured for each measurement quality</w:t>
      </w:r>
      <w:r w:rsidR="00CB4F98">
        <w:rPr>
          <w:sz w:val="22"/>
          <w:szCs w:val="22"/>
        </w:rPr>
        <w:t>.</w:t>
      </w:r>
      <w:r w:rsidR="006010EE" w:rsidRPr="00CB4F98">
        <w:rPr>
          <w:strike/>
          <w:sz w:val="22"/>
          <w:szCs w:val="22"/>
        </w:rPr>
        <w:t xml:space="preserve"> </w:t>
      </w:r>
    </w:p>
    <w:p w14:paraId="73D35C1E" w14:textId="0FD045FF" w:rsidR="006010EE" w:rsidRDefault="006010EE" w:rsidP="006010EE">
      <w:pPr>
        <w:pStyle w:val="ListParagraph"/>
        <w:numPr>
          <w:ilvl w:val="1"/>
          <w:numId w:val="14"/>
        </w:numPr>
        <w:rPr>
          <w:sz w:val="22"/>
          <w:szCs w:val="22"/>
        </w:rPr>
      </w:pPr>
      <w:r>
        <w:rPr>
          <w:sz w:val="22"/>
          <w:szCs w:val="22"/>
        </w:rPr>
        <w:t>Therefore, it is reasonable to allow different cell specific offset of the target candidate cell for the same event, same RS type and same measurement object as in legacy.</w:t>
      </w:r>
    </w:p>
    <w:p w14:paraId="6DEE680A" w14:textId="26AC87CA" w:rsidR="007C4D1B" w:rsidRDefault="007C4D1B" w:rsidP="006010EE">
      <w:pPr>
        <w:pStyle w:val="ListParagraph"/>
        <w:numPr>
          <w:ilvl w:val="0"/>
          <w:numId w:val="14"/>
        </w:numPr>
        <w:rPr>
          <w:sz w:val="22"/>
          <w:szCs w:val="22"/>
        </w:rPr>
      </w:pPr>
      <w:r>
        <w:rPr>
          <w:sz w:val="22"/>
          <w:szCs w:val="22"/>
        </w:rPr>
        <w:t>C</w:t>
      </w:r>
      <w:r w:rsidRPr="007C4D1B">
        <w:rPr>
          <w:sz w:val="22"/>
          <w:szCs w:val="22"/>
        </w:rPr>
        <w:t xml:space="preserve">ell specific offset of the </w:t>
      </w:r>
      <w:r w:rsidR="00E429D6">
        <w:rPr>
          <w:sz w:val="22"/>
          <w:szCs w:val="22"/>
        </w:rPr>
        <w:t>serving cell:</w:t>
      </w:r>
    </w:p>
    <w:p w14:paraId="5167EE2B" w14:textId="69B3B865" w:rsidR="00E429D6" w:rsidRDefault="00E429D6" w:rsidP="00E429D6">
      <w:pPr>
        <w:pStyle w:val="ListParagraph"/>
        <w:numPr>
          <w:ilvl w:val="1"/>
          <w:numId w:val="14"/>
        </w:numPr>
        <w:rPr>
          <w:sz w:val="22"/>
          <w:szCs w:val="22"/>
        </w:rPr>
      </w:pPr>
      <w:r>
        <w:rPr>
          <w:sz w:val="22"/>
          <w:szCs w:val="22"/>
        </w:rPr>
        <w:t>Cell specific offset of the serving cell is already in the measurement object.</w:t>
      </w:r>
    </w:p>
    <w:p w14:paraId="1B28D625" w14:textId="425D0FD4" w:rsidR="00E429D6" w:rsidRDefault="00E429D6" w:rsidP="00E429D6">
      <w:pPr>
        <w:pStyle w:val="ListParagraph"/>
        <w:numPr>
          <w:ilvl w:val="1"/>
          <w:numId w:val="14"/>
        </w:numPr>
        <w:rPr>
          <w:sz w:val="22"/>
          <w:szCs w:val="22"/>
        </w:rPr>
      </w:pPr>
      <w:proofErr w:type="gramStart"/>
      <w:r>
        <w:rPr>
          <w:sz w:val="22"/>
          <w:szCs w:val="22"/>
        </w:rPr>
        <w:t>Similar to</w:t>
      </w:r>
      <w:proofErr w:type="gramEnd"/>
      <w:r>
        <w:rPr>
          <w:sz w:val="22"/>
          <w:szCs w:val="22"/>
        </w:rPr>
        <w:t xml:space="preserve"> cell specific offset of the target cell, different quantity is configured differently in legacy. </w:t>
      </w:r>
    </w:p>
    <w:p w14:paraId="43E219E3" w14:textId="2D204F3A" w:rsidR="00E429D6" w:rsidRPr="00E429D6" w:rsidRDefault="00E429D6" w:rsidP="00E429D6">
      <w:pPr>
        <w:pStyle w:val="ListParagraph"/>
        <w:numPr>
          <w:ilvl w:val="1"/>
          <w:numId w:val="14"/>
        </w:numPr>
        <w:rPr>
          <w:sz w:val="22"/>
          <w:szCs w:val="22"/>
        </w:rPr>
      </w:pPr>
      <w:r>
        <w:rPr>
          <w:sz w:val="22"/>
          <w:szCs w:val="22"/>
        </w:rPr>
        <w:t>Therefore, it is reasonable to allow different cell specific offset of the serving cell for the same event, same RS type and same measurement object as in legacy.</w:t>
      </w:r>
    </w:p>
    <w:p w14:paraId="0FFC1C64" w14:textId="595EBCCC" w:rsidR="00B72693" w:rsidRDefault="00B72693" w:rsidP="006010EE">
      <w:pPr>
        <w:pStyle w:val="ListParagraph"/>
        <w:numPr>
          <w:ilvl w:val="0"/>
          <w:numId w:val="14"/>
        </w:numPr>
        <w:rPr>
          <w:sz w:val="22"/>
          <w:szCs w:val="22"/>
        </w:rPr>
      </w:pPr>
      <w:r w:rsidRPr="00B72693">
        <w:rPr>
          <w:sz w:val="22"/>
          <w:szCs w:val="22"/>
        </w:rPr>
        <w:lastRenderedPageBreak/>
        <w:t>Hysteresis</w:t>
      </w:r>
      <w:r w:rsidR="00E429D6">
        <w:rPr>
          <w:sz w:val="22"/>
          <w:szCs w:val="22"/>
        </w:rPr>
        <w:t>:</w:t>
      </w:r>
    </w:p>
    <w:p w14:paraId="227DBAB9" w14:textId="7B072128" w:rsidR="00E429D6" w:rsidRPr="00E429D6" w:rsidRDefault="00E429D6" w:rsidP="00E429D6">
      <w:pPr>
        <w:pStyle w:val="ListParagraph"/>
        <w:numPr>
          <w:ilvl w:val="1"/>
          <w:numId w:val="14"/>
        </w:numPr>
        <w:rPr>
          <w:sz w:val="22"/>
          <w:szCs w:val="22"/>
        </w:rPr>
      </w:pPr>
      <w:r>
        <w:rPr>
          <w:sz w:val="22"/>
          <w:szCs w:val="22"/>
        </w:rPr>
        <w:t xml:space="preserve">To support different quantity, the hysteresis may be different. Therefore, it is reasonable to allow different hysteresis to be configured for the 2 </w:t>
      </w:r>
      <w:proofErr w:type="spellStart"/>
      <w:r>
        <w:rPr>
          <w:sz w:val="22"/>
          <w:szCs w:val="22"/>
        </w:rPr>
        <w:t>measID</w:t>
      </w:r>
      <w:proofErr w:type="spellEnd"/>
      <w:r>
        <w:rPr>
          <w:sz w:val="22"/>
          <w:szCs w:val="22"/>
        </w:rPr>
        <w:t xml:space="preserve"> for the same event, same RS type and same measurement object.</w:t>
      </w:r>
    </w:p>
    <w:p w14:paraId="7457BB5D" w14:textId="74D76616" w:rsidR="007C4D1B" w:rsidRDefault="007C4D1B" w:rsidP="006010EE">
      <w:pPr>
        <w:pStyle w:val="ListParagraph"/>
        <w:numPr>
          <w:ilvl w:val="0"/>
          <w:numId w:val="14"/>
        </w:numPr>
        <w:rPr>
          <w:sz w:val="22"/>
          <w:szCs w:val="22"/>
        </w:rPr>
      </w:pPr>
      <w:r>
        <w:rPr>
          <w:sz w:val="22"/>
          <w:szCs w:val="22"/>
        </w:rPr>
        <w:t>A5 threshold 1</w:t>
      </w:r>
      <w:r w:rsidR="00E429D6">
        <w:rPr>
          <w:sz w:val="22"/>
          <w:szCs w:val="22"/>
        </w:rPr>
        <w:t>, and threshold 2:</w:t>
      </w:r>
    </w:p>
    <w:p w14:paraId="06745C4C" w14:textId="60311D27" w:rsidR="00E429D6" w:rsidRPr="00E429D6" w:rsidRDefault="00E429D6" w:rsidP="00E429D6">
      <w:pPr>
        <w:pStyle w:val="ListParagraph"/>
        <w:numPr>
          <w:ilvl w:val="1"/>
          <w:numId w:val="14"/>
        </w:numPr>
        <w:rPr>
          <w:sz w:val="22"/>
          <w:szCs w:val="22"/>
        </w:rPr>
      </w:pPr>
      <w:r>
        <w:rPr>
          <w:sz w:val="22"/>
          <w:szCs w:val="22"/>
        </w:rPr>
        <w:t xml:space="preserve">To support different quantity, the thresholds may be different. Therefore, it is reasonable to allow different thresholds to be configured for the 2 </w:t>
      </w:r>
      <w:proofErr w:type="spellStart"/>
      <w:r>
        <w:rPr>
          <w:sz w:val="22"/>
          <w:szCs w:val="22"/>
        </w:rPr>
        <w:t>measID</w:t>
      </w:r>
      <w:proofErr w:type="spellEnd"/>
      <w:r>
        <w:rPr>
          <w:sz w:val="22"/>
          <w:szCs w:val="22"/>
        </w:rPr>
        <w:t xml:space="preserve"> for the same event, same RS type and same measurement object.</w:t>
      </w:r>
    </w:p>
    <w:p w14:paraId="1E6C542D" w14:textId="1C4182F7" w:rsidR="00B72693" w:rsidRPr="00CB4F98" w:rsidRDefault="00EF580B" w:rsidP="00137C62">
      <w:pPr>
        <w:pStyle w:val="ListParagraph"/>
        <w:numPr>
          <w:ilvl w:val="0"/>
          <w:numId w:val="14"/>
        </w:numPr>
        <w:rPr>
          <w:sz w:val="22"/>
          <w:szCs w:val="22"/>
        </w:rPr>
      </w:pPr>
      <w:proofErr w:type="spellStart"/>
      <w:r w:rsidRPr="00EF580B">
        <w:rPr>
          <w:sz w:val="22"/>
          <w:szCs w:val="22"/>
        </w:rPr>
        <w:t>maxNrofRS-IndexesToReport</w:t>
      </w:r>
      <w:proofErr w:type="spellEnd"/>
      <w:r>
        <w:rPr>
          <w:sz w:val="22"/>
          <w:szCs w:val="22"/>
        </w:rPr>
        <w:t xml:space="preserve">, </w:t>
      </w:r>
      <w:proofErr w:type="spellStart"/>
      <w:r w:rsidRPr="00CB4F98">
        <w:rPr>
          <w:sz w:val="22"/>
          <w:szCs w:val="22"/>
        </w:rPr>
        <w:t>maxReportCells</w:t>
      </w:r>
      <w:proofErr w:type="spellEnd"/>
      <w:r>
        <w:rPr>
          <w:sz w:val="22"/>
          <w:szCs w:val="22"/>
        </w:rPr>
        <w:t xml:space="preserve">, </w:t>
      </w:r>
      <w:proofErr w:type="spellStart"/>
      <w:r w:rsidRPr="00CB4F98">
        <w:rPr>
          <w:sz w:val="22"/>
          <w:szCs w:val="22"/>
        </w:rPr>
        <w:t>reportAddNeighMeas</w:t>
      </w:r>
      <w:proofErr w:type="spellEnd"/>
      <w:r>
        <w:rPr>
          <w:sz w:val="22"/>
          <w:szCs w:val="22"/>
        </w:rPr>
        <w:t xml:space="preserve">, </w:t>
      </w:r>
      <w:proofErr w:type="spellStart"/>
      <w:r w:rsidRPr="00CB4F98">
        <w:rPr>
          <w:sz w:val="22"/>
          <w:szCs w:val="22"/>
        </w:rPr>
        <w:t>reportAmount</w:t>
      </w:r>
      <w:proofErr w:type="spellEnd"/>
      <w:r w:rsidR="00137C62">
        <w:rPr>
          <w:sz w:val="22"/>
          <w:szCs w:val="22"/>
        </w:rPr>
        <w:t xml:space="preserve">, </w:t>
      </w:r>
      <w:proofErr w:type="spellStart"/>
      <w:r w:rsidRPr="00CB4F98">
        <w:rPr>
          <w:sz w:val="22"/>
          <w:szCs w:val="22"/>
        </w:rPr>
        <w:t>reportOnLeave</w:t>
      </w:r>
      <w:proofErr w:type="spellEnd"/>
      <w:r w:rsidR="00137C62">
        <w:rPr>
          <w:sz w:val="22"/>
          <w:szCs w:val="22"/>
        </w:rPr>
        <w:t xml:space="preserve">, </w:t>
      </w:r>
      <w:proofErr w:type="spellStart"/>
      <w:r w:rsidRPr="00CB4F98">
        <w:rPr>
          <w:sz w:val="22"/>
          <w:szCs w:val="22"/>
        </w:rPr>
        <w:t>reportQuantityCell</w:t>
      </w:r>
      <w:proofErr w:type="spellEnd"/>
      <w:r w:rsidR="00137C62">
        <w:rPr>
          <w:sz w:val="22"/>
          <w:szCs w:val="22"/>
        </w:rPr>
        <w:t xml:space="preserve">, </w:t>
      </w:r>
      <w:proofErr w:type="spellStart"/>
      <w:r w:rsidRPr="00CB4F98">
        <w:rPr>
          <w:sz w:val="22"/>
          <w:szCs w:val="22"/>
        </w:rPr>
        <w:t>reportQuantityRS</w:t>
      </w:r>
      <w:proofErr w:type="spellEnd"/>
      <w:r w:rsidRPr="00CB4F98">
        <w:rPr>
          <w:sz w:val="22"/>
          <w:szCs w:val="22"/>
        </w:rPr>
        <w:t>-Indexes</w:t>
      </w:r>
      <w:r w:rsidR="00E429D6" w:rsidRPr="00CB4F98">
        <w:rPr>
          <w:sz w:val="22"/>
          <w:szCs w:val="22"/>
        </w:rPr>
        <w:t>:</w:t>
      </w:r>
    </w:p>
    <w:p w14:paraId="23D6C5F3" w14:textId="1849ED17" w:rsidR="00E429D6" w:rsidRDefault="00E429D6" w:rsidP="00E429D6">
      <w:pPr>
        <w:pStyle w:val="ListParagraph"/>
        <w:numPr>
          <w:ilvl w:val="1"/>
          <w:numId w:val="14"/>
        </w:numPr>
        <w:rPr>
          <w:sz w:val="22"/>
          <w:szCs w:val="22"/>
        </w:rPr>
      </w:pPr>
      <w:r>
        <w:rPr>
          <w:sz w:val="22"/>
          <w:szCs w:val="22"/>
        </w:rPr>
        <w:t xml:space="preserve">Conditional handover doesn’t trigger measurement report. Therefore, </w:t>
      </w:r>
      <w:r w:rsidR="00137C62">
        <w:rPr>
          <w:sz w:val="22"/>
          <w:szCs w:val="22"/>
        </w:rPr>
        <w:t xml:space="preserve">all these </w:t>
      </w:r>
      <w:proofErr w:type="spellStart"/>
      <w:r w:rsidR="00137C62">
        <w:rPr>
          <w:sz w:val="22"/>
          <w:szCs w:val="22"/>
        </w:rPr>
        <w:t>paramters</w:t>
      </w:r>
      <w:proofErr w:type="spellEnd"/>
      <w:r w:rsidR="00137C62">
        <w:rPr>
          <w:sz w:val="22"/>
          <w:szCs w:val="22"/>
        </w:rPr>
        <w:t xml:space="preserve"> </w:t>
      </w:r>
      <w:r>
        <w:rPr>
          <w:sz w:val="22"/>
          <w:szCs w:val="22"/>
        </w:rPr>
        <w:t>should not be supported for conditional handover.</w:t>
      </w:r>
    </w:p>
    <w:p w14:paraId="10D944D2" w14:textId="2BAFB8BB" w:rsidR="00523B51" w:rsidRDefault="00523B51" w:rsidP="006010EE">
      <w:pPr>
        <w:pStyle w:val="ListParagraph"/>
        <w:numPr>
          <w:ilvl w:val="0"/>
          <w:numId w:val="14"/>
        </w:numPr>
        <w:rPr>
          <w:sz w:val="22"/>
          <w:szCs w:val="22"/>
        </w:rPr>
      </w:pPr>
      <w:r>
        <w:rPr>
          <w:sz w:val="22"/>
          <w:szCs w:val="22"/>
        </w:rPr>
        <w:t>Time to trigger</w:t>
      </w:r>
      <w:r w:rsidR="00E429D6">
        <w:rPr>
          <w:sz w:val="22"/>
          <w:szCs w:val="22"/>
        </w:rPr>
        <w:t>:</w:t>
      </w:r>
    </w:p>
    <w:p w14:paraId="0F4EB72D" w14:textId="0CB821E6" w:rsidR="00E429D6" w:rsidRPr="00E429D6" w:rsidRDefault="00E429D6" w:rsidP="00E429D6">
      <w:pPr>
        <w:pStyle w:val="ListParagraph"/>
        <w:numPr>
          <w:ilvl w:val="1"/>
          <w:numId w:val="14"/>
        </w:numPr>
        <w:rPr>
          <w:sz w:val="22"/>
          <w:szCs w:val="22"/>
        </w:rPr>
      </w:pPr>
      <w:r>
        <w:rPr>
          <w:sz w:val="22"/>
          <w:szCs w:val="22"/>
        </w:rPr>
        <w:t xml:space="preserve">To support different quantity, the time to trigger may be different. Therefore, it is reasonable to allow different time to trigger to be configured for the 2 </w:t>
      </w:r>
      <w:proofErr w:type="spellStart"/>
      <w:r>
        <w:rPr>
          <w:sz w:val="22"/>
          <w:szCs w:val="22"/>
        </w:rPr>
        <w:t>measID</w:t>
      </w:r>
      <w:proofErr w:type="spellEnd"/>
      <w:r>
        <w:rPr>
          <w:sz w:val="22"/>
          <w:szCs w:val="22"/>
        </w:rPr>
        <w:t xml:space="preserve"> for the same event, same RS type and same measurement object.</w:t>
      </w:r>
    </w:p>
    <w:p w14:paraId="2E72B012" w14:textId="77777777" w:rsidR="00E429D6" w:rsidRDefault="006010EE" w:rsidP="006010EE">
      <w:pPr>
        <w:pStyle w:val="ListParagraph"/>
        <w:numPr>
          <w:ilvl w:val="0"/>
          <w:numId w:val="14"/>
        </w:numPr>
        <w:rPr>
          <w:sz w:val="22"/>
          <w:szCs w:val="22"/>
        </w:rPr>
      </w:pPr>
      <w:proofErr w:type="spellStart"/>
      <w:r w:rsidRPr="006010EE">
        <w:rPr>
          <w:sz w:val="22"/>
          <w:szCs w:val="22"/>
        </w:rPr>
        <w:t>useWhiteCellList</w:t>
      </w:r>
      <w:proofErr w:type="spellEnd"/>
      <w:r w:rsidR="00E429D6">
        <w:rPr>
          <w:sz w:val="22"/>
          <w:szCs w:val="22"/>
        </w:rPr>
        <w:t>:</w:t>
      </w:r>
    </w:p>
    <w:p w14:paraId="7C7C4312" w14:textId="63462F80" w:rsidR="006010EE" w:rsidRPr="00E429D6" w:rsidRDefault="00E429D6" w:rsidP="00E429D6">
      <w:pPr>
        <w:pStyle w:val="ListParagraph"/>
        <w:numPr>
          <w:ilvl w:val="1"/>
          <w:numId w:val="14"/>
        </w:numPr>
        <w:rPr>
          <w:sz w:val="22"/>
          <w:szCs w:val="22"/>
        </w:rPr>
      </w:pPr>
      <w:r>
        <w:rPr>
          <w:sz w:val="22"/>
          <w:szCs w:val="22"/>
        </w:rPr>
        <w:t>In conditional, handover, target cell list is provided. Therefore, white cell list doesn’t seem to make sense in conditional handover case. Therefore, white cell list should not be supported for conditional handover.</w:t>
      </w:r>
      <w:r w:rsidR="006010EE" w:rsidRPr="00E429D6">
        <w:rPr>
          <w:sz w:val="22"/>
          <w:szCs w:val="22"/>
        </w:rPr>
        <w:t xml:space="preserve">                        </w:t>
      </w:r>
    </w:p>
    <w:p w14:paraId="309293A3" w14:textId="0BF6DC0E" w:rsidR="006E39F2" w:rsidRDefault="00FE2C54" w:rsidP="006010EE">
      <w:pPr>
        <w:pStyle w:val="ListParagraph"/>
        <w:numPr>
          <w:ilvl w:val="0"/>
          <w:numId w:val="14"/>
        </w:numPr>
        <w:rPr>
          <w:sz w:val="22"/>
          <w:szCs w:val="22"/>
        </w:rPr>
      </w:pPr>
      <w:r>
        <w:rPr>
          <w:sz w:val="22"/>
          <w:szCs w:val="22"/>
        </w:rPr>
        <w:t>S-measure</w:t>
      </w:r>
      <w:r w:rsidR="00E429D6">
        <w:rPr>
          <w:sz w:val="22"/>
          <w:szCs w:val="22"/>
        </w:rPr>
        <w:t>:</w:t>
      </w:r>
    </w:p>
    <w:p w14:paraId="1864BF28" w14:textId="585D8051" w:rsidR="00E429D6" w:rsidRPr="006010EE" w:rsidRDefault="00E429D6" w:rsidP="00E429D6">
      <w:pPr>
        <w:pStyle w:val="ListParagraph"/>
        <w:numPr>
          <w:ilvl w:val="1"/>
          <w:numId w:val="14"/>
        </w:numPr>
        <w:rPr>
          <w:sz w:val="22"/>
          <w:szCs w:val="22"/>
        </w:rPr>
      </w:pPr>
      <w:r>
        <w:rPr>
          <w:sz w:val="22"/>
          <w:szCs w:val="22"/>
        </w:rPr>
        <w:t>S-measure is used to save UE power consumption by skipping measurement. However, if conditional handover is configured to the UE</w:t>
      </w:r>
      <w:r w:rsidR="00BF46AA">
        <w:rPr>
          <w:sz w:val="22"/>
          <w:szCs w:val="22"/>
        </w:rPr>
        <w:t>, t</w:t>
      </w:r>
      <w:r>
        <w:rPr>
          <w:sz w:val="22"/>
          <w:szCs w:val="22"/>
        </w:rPr>
        <w:t xml:space="preserve">he UE should be continuously monitoring in case of handover. Otherwise, the network could have de-configured the conditional handover configuration. </w:t>
      </w:r>
      <w:r w:rsidR="00C21DBC" w:rsidRPr="00C21DBC">
        <w:rPr>
          <w:sz w:val="22"/>
          <w:szCs w:val="22"/>
        </w:rPr>
        <w:t>Therefore S-measure should not be applied to measurements of the CHO candidate cells</w:t>
      </w:r>
      <w:r w:rsidR="00C21DBC">
        <w:rPr>
          <w:sz w:val="22"/>
          <w:szCs w:val="22"/>
        </w:rPr>
        <w:t>.</w:t>
      </w:r>
      <w:r>
        <w:rPr>
          <w:sz w:val="22"/>
          <w:szCs w:val="22"/>
        </w:rPr>
        <w:t xml:space="preserve"> </w:t>
      </w:r>
    </w:p>
    <w:p w14:paraId="0778187C" w14:textId="07B2DD27" w:rsidR="006E39F2" w:rsidRPr="00C53ECF" w:rsidRDefault="00E429D6" w:rsidP="006E39F2">
      <w:pPr>
        <w:rPr>
          <w:b/>
          <w:sz w:val="22"/>
          <w:szCs w:val="22"/>
        </w:rPr>
      </w:pPr>
      <w:r w:rsidRPr="00C53ECF">
        <w:rPr>
          <w:b/>
        </w:rPr>
        <w:t xml:space="preserve">Proposal 1: For A3 event, </w:t>
      </w:r>
      <w:r w:rsidRPr="00C53ECF">
        <w:rPr>
          <w:b/>
          <w:sz w:val="22"/>
          <w:szCs w:val="22"/>
        </w:rPr>
        <w:t>A3 event offset, hysteresis and time to trigger should be</w:t>
      </w:r>
      <w:r w:rsidR="00C53ECF" w:rsidRPr="00C53ECF">
        <w:rPr>
          <w:b/>
          <w:sz w:val="22"/>
          <w:szCs w:val="22"/>
        </w:rPr>
        <w:t xml:space="preserve"> allowed to configure differently for the 2 </w:t>
      </w:r>
      <w:proofErr w:type="spellStart"/>
      <w:r w:rsidR="00C53ECF" w:rsidRPr="00C53ECF">
        <w:rPr>
          <w:b/>
          <w:sz w:val="22"/>
          <w:szCs w:val="22"/>
        </w:rPr>
        <w:t>measID</w:t>
      </w:r>
      <w:proofErr w:type="spellEnd"/>
      <w:r w:rsidR="00C53ECF" w:rsidRPr="00C53ECF">
        <w:rPr>
          <w:b/>
          <w:sz w:val="22"/>
          <w:szCs w:val="22"/>
        </w:rPr>
        <w:t xml:space="preserve"> for the same event, same RS type and same measurement object.</w:t>
      </w:r>
    </w:p>
    <w:p w14:paraId="3F455038" w14:textId="77777777" w:rsidR="00C53ECF" w:rsidRPr="00C53ECF" w:rsidRDefault="00C53ECF" w:rsidP="00C53ECF">
      <w:pPr>
        <w:rPr>
          <w:b/>
          <w:sz w:val="22"/>
          <w:szCs w:val="22"/>
        </w:rPr>
      </w:pPr>
      <w:r w:rsidRPr="00C53ECF">
        <w:rPr>
          <w:b/>
        </w:rPr>
        <w:t xml:space="preserve">Proposal 2: For A5 event, A5 threshold 1 and A5 threshold 2, </w:t>
      </w:r>
      <w:r w:rsidRPr="00C53ECF">
        <w:rPr>
          <w:b/>
          <w:sz w:val="22"/>
          <w:szCs w:val="22"/>
        </w:rPr>
        <w:t xml:space="preserve">hysteresis and time to trigger should be allowed to configure differently for the 2 </w:t>
      </w:r>
      <w:proofErr w:type="spellStart"/>
      <w:r w:rsidRPr="00C53ECF">
        <w:rPr>
          <w:b/>
          <w:sz w:val="22"/>
          <w:szCs w:val="22"/>
        </w:rPr>
        <w:t>measID</w:t>
      </w:r>
      <w:proofErr w:type="spellEnd"/>
      <w:r w:rsidRPr="00C53ECF">
        <w:rPr>
          <w:b/>
          <w:sz w:val="22"/>
          <w:szCs w:val="22"/>
        </w:rPr>
        <w:t xml:space="preserve"> for the same event, same RS type and same measurement object.</w:t>
      </w:r>
    </w:p>
    <w:p w14:paraId="177F27B4" w14:textId="161081D7" w:rsidR="00C53ECF" w:rsidRPr="00C53ECF" w:rsidRDefault="00C53ECF" w:rsidP="00C53ECF">
      <w:pPr>
        <w:rPr>
          <w:b/>
          <w:sz w:val="22"/>
          <w:szCs w:val="22"/>
        </w:rPr>
      </w:pPr>
      <w:r w:rsidRPr="00C53ECF">
        <w:rPr>
          <w:b/>
        </w:rPr>
        <w:t xml:space="preserve">Proposal 3: </w:t>
      </w:r>
      <w:r w:rsidR="00BF46AA">
        <w:rPr>
          <w:b/>
        </w:rPr>
        <w:t xml:space="preserve">For both A3 and A5 events, </w:t>
      </w:r>
      <w:r w:rsidRPr="00C53ECF">
        <w:rPr>
          <w:b/>
          <w:sz w:val="22"/>
          <w:szCs w:val="22"/>
        </w:rPr>
        <w:t>Cell specific offset of the target candidate cell and cell specific offset of the serving cell</w:t>
      </w:r>
      <w:r>
        <w:rPr>
          <w:sz w:val="22"/>
          <w:szCs w:val="22"/>
        </w:rPr>
        <w:t xml:space="preserve"> </w:t>
      </w:r>
      <w:r w:rsidRPr="00C53ECF">
        <w:rPr>
          <w:b/>
          <w:sz w:val="22"/>
          <w:szCs w:val="22"/>
        </w:rPr>
        <w:t xml:space="preserve">should be allowed to configure differently for the 2 </w:t>
      </w:r>
      <w:proofErr w:type="spellStart"/>
      <w:r w:rsidRPr="00C53ECF">
        <w:rPr>
          <w:b/>
          <w:sz w:val="22"/>
          <w:szCs w:val="22"/>
        </w:rPr>
        <w:t>measID</w:t>
      </w:r>
      <w:proofErr w:type="spellEnd"/>
      <w:r w:rsidRPr="00C53ECF">
        <w:rPr>
          <w:b/>
          <w:sz w:val="22"/>
          <w:szCs w:val="22"/>
        </w:rPr>
        <w:t xml:space="preserve"> for the same event, same RS type and same measurement object.</w:t>
      </w:r>
    </w:p>
    <w:p w14:paraId="109EBE10" w14:textId="5E97EA4C" w:rsidR="00C53ECF" w:rsidRPr="000F410C" w:rsidRDefault="00C53ECF" w:rsidP="006E39F2">
      <w:pPr>
        <w:rPr>
          <w:b/>
        </w:rPr>
      </w:pPr>
      <w:r w:rsidRPr="000F410C">
        <w:rPr>
          <w:b/>
        </w:rPr>
        <w:t xml:space="preserve">Proposal 4: </w:t>
      </w:r>
      <w:proofErr w:type="spellStart"/>
      <w:r w:rsidR="00137C62" w:rsidRPr="000F410C">
        <w:rPr>
          <w:b/>
          <w:sz w:val="22"/>
          <w:szCs w:val="22"/>
        </w:rPr>
        <w:t>maxNrofRS-IndexesToReport</w:t>
      </w:r>
      <w:proofErr w:type="spellEnd"/>
      <w:r w:rsidR="00137C62" w:rsidRPr="000F410C">
        <w:rPr>
          <w:b/>
          <w:sz w:val="22"/>
          <w:szCs w:val="22"/>
        </w:rPr>
        <w:t xml:space="preserve">, </w:t>
      </w:r>
      <w:proofErr w:type="spellStart"/>
      <w:r w:rsidR="00137C62" w:rsidRPr="000F410C">
        <w:rPr>
          <w:b/>
          <w:sz w:val="22"/>
          <w:szCs w:val="22"/>
        </w:rPr>
        <w:t>maxReportCells</w:t>
      </w:r>
      <w:proofErr w:type="spellEnd"/>
      <w:r w:rsidR="00137C62" w:rsidRPr="000F410C">
        <w:rPr>
          <w:b/>
          <w:sz w:val="22"/>
          <w:szCs w:val="22"/>
        </w:rPr>
        <w:t xml:space="preserve">, </w:t>
      </w:r>
      <w:proofErr w:type="spellStart"/>
      <w:r w:rsidR="00137C62" w:rsidRPr="000F410C">
        <w:rPr>
          <w:b/>
          <w:sz w:val="22"/>
          <w:szCs w:val="22"/>
        </w:rPr>
        <w:t>reportAddNeighMeas</w:t>
      </w:r>
      <w:proofErr w:type="spellEnd"/>
      <w:r w:rsidR="00137C62" w:rsidRPr="000F410C">
        <w:rPr>
          <w:b/>
          <w:sz w:val="22"/>
          <w:szCs w:val="22"/>
        </w:rPr>
        <w:t xml:space="preserve">, </w:t>
      </w:r>
      <w:proofErr w:type="spellStart"/>
      <w:r w:rsidR="00137C62" w:rsidRPr="000F410C">
        <w:rPr>
          <w:b/>
          <w:sz w:val="22"/>
          <w:szCs w:val="22"/>
        </w:rPr>
        <w:t>reportAmount</w:t>
      </w:r>
      <w:proofErr w:type="spellEnd"/>
      <w:r w:rsidR="00137C62" w:rsidRPr="000F410C">
        <w:rPr>
          <w:b/>
          <w:sz w:val="22"/>
          <w:szCs w:val="22"/>
        </w:rPr>
        <w:t xml:space="preserve">, </w:t>
      </w:r>
      <w:proofErr w:type="spellStart"/>
      <w:r w:rsidR="00137C62" w:rsidRPr="000F410C">
        <w:rPr>
          <w:b/>
          <w:sz w:val="22"/>
          <w:szCs w:val="22"/>
        </w:rPr>
        <w:t>reportOnLeave</w:t>
      </w:r>
      <w:proofErr w:type="spellEnd"/>
      <w:r w:rsidR="00137C62" w:rsidRPr="000F410C">
        <w:rPr>
          <w:b/>
          <w:sz w:val="22"/>
          <w:szCs w:val="22"/>
        </w:rPr>
        <w:t xml:space="preserve">, </w:t>
      </w:r>
      <w:proofErr w:type="spellStart"/>
      <w:r w:rsidR="00137C62" w:rsidRPr="000F410C">
        <w:rPr>
          <w:b/>
          <w:sz w:val="22"/>
          <w:szCs w:val="22"/>
        </w:rPr>
        <w:t>reportQuantityCell</w:t>
      </w:r>
      <w:proofErr w:type="spellEnd"/>
      <w:r w:rsidR="00137C62" w:rsidRPr="000F410C">
        <w:rPr>
          <w:b/>
          <w:sz w:val="22"/>
          <w:szCs w:val="22"/>
        </w:rPr>
        <w:t xml:space="preserve">, </w:t>
      </w:r>
      <w:proofErr w:type="spellStart"/>
      <w:r w:rsidR="00137C62" w:rsidRPr="000F410C">
        <w:rPr>
          <w:b/>
          <w:sz w:val="22"/>
          <w:szCs w:val="22"/>
        </w:rPr>
        <w:t>reportQuantityRS</w:t>
      </w:r>
      <w:proofErr w:type="spellEnd"/>
      <w:r w:rsidR="00137C62" w:rsidRPr="000F410C">
        <w:rPr>
          <w:b/>
          <w:sz w:val="22"/>
          <w:szCs w:val="22"/>
        </w:rPr>
        <w:t>-Indexes</w:t>
      </w:r>
      <w:r w:rsidRPr="000F410C">
        <w:rPr>
          <w:b/>
        </w:rPr>
        <w:t xml:space="preserve">, </w:t>
      </w:r>
      <w:r w:rsidR="00137C62" w:rsidRPr="000F410C">
        <w:rPr>
          <w:b/>
        </w:rPr>
        <w:t xml:space="preserve">and </w:t>
      </w:r>
      <w:proofErr w:type="spellStart"/>
      <w:r w:rsidR="00853751" w:rsidRPr="000F410C">
        <w:rPr>
          <w:b/>
        </w:rPr>
        <w:t>useWhiteCellList</w:t>
      </w:r>
      <w:proofErr w:type="spellEnd"/>
      <w:r w:rsidRPr="000F410C">
        <w:rPr>
          <w:b/>
        </w:rPr>
        <w:t xml:space="preserve"> </w:t>
      </w:r>
      <w:r w:rsidR="00853751" w:rsidRPr="000F410C">
        <w:rPr>
          <w:b/>
        </w:rPr>
        <w:t xml:space="preserve">are </w:t>
      </w:r>
      <w:r w:rsidRPr="000F410C">
        <w:rPr>
          <w:b/>
        </w:rPr>
        <w:t xml:space="preserve">not supported </w:t>
      </w:r>
      <w:r w:rsidR="00BF46AA" w:rsidRPr="000F410C">
        <w:rPr>
          <w:b/>
        </w:rPr>
        <w:t xml:space="preserve">within the </w:t>
      </w:r>
      <w:proofErr w:type="spellStart"/>
      <w:r w:rsidR="00BF46AA" w:rsidRPr="000F410C">
        <w:rPr>
          <w:b/>
        </w:rPr>
        <w:t>measID</w:t>
      </w:r>
      <w:proofErr w:type="spellEnd"/>
      <w:r w:rsidR="00BF46AA" w:rsidRPr="000F410C">
        <w:rPr>
          <w:b/>
        </w:rPr>
        <w:t xml:space="preserve"> that is configured </w:t>
      </w:r>
      <w:r w:rsidRPr="000F410C">
        <w:rPr>
          <w:b/>
        </w:rPr>
        <w:t xml:space="preserve">for </w:t>
      </w:r>
      <w:r w:rsidR="00BF46AA" w:rsidRPr="000F410C">
        <w:rPr>
          <w:b/>
        </w:rPr>
        <w:t xml:space="preserve">triggering </w:t>
      </w:r>
      <w:r w:rsidRPr="000F410C">
        <w:rPr>
          <w:b/>
        </w:rPr>
        <w:t>conditional handover.</w:t>
      </w:r>
    </w:p>
    <w:p w14:paraId="28AD050B" w14:textId="6CB202DC" w:rsidR="009A7426" w:rsidRPr="00C53ECF" w:rsidRDefault="009A7426" w:rsidP="006E39F2">
      <w:pPr>
        <w:rPr>
          <w:b/>
        </w:rPr>
      </w:pPr>
      <w:r>
        <w:rPr>
          <w:b/>
        </w:rPr>
        <w:t xml:space="preserve">Proposal 5: S-measure </w:t>
      </w:r>
      <w:r w:rsidR="0056126B">
        <w:rPr>
          <w:b/>
        </w:rPr>
        <w:t xml:space="preserve">should not be applied to </w:t>
      </w:r>
      <w:r w:rsidR="00385979">
        <w:rPr>
          <w:b/>
        </w:rPr>
        <w:t>measurements</w:t>
      </w:r>
      <w:r w:rsidR="0056126B">
        <w:rPr>
          <w:b/>
        </w:rPr>
        <w:t xml:space="preserve"> of the C</w:t>
      </w:r>
      <w:r w:rsidR="00385979">
        <w:rPr>
          <w:b/>
        </w:rPr>
        <w:t>HO</w:t>
      </w:r>
      <w:r w:rsidR="0056126B">
        <w:rPr>
          <w:b/>
        </w:rPr>
        <w:t xml:space="preserve"> candidate cells.</w:t>
      </w:r>
    </w:p>
    <w:p w14:paraId="5A9A5E80" w14:textId="77777777" w:rsidR="00BE0C7A" w:rsidRDefault="006647BF" w:rsidP="006E39F2">
      <w:r>
        <w:t>One other remain</w:t>
      </w:r>
      <w:r w:rsidR="0067283C">
        <w:t xml:space="preserve">ing issue is when measurement ID is added or removal, what should be done for the conditional handover configuration which links to the same measurement ID. In case of measurement ID addition, there should be no impact to conditional handover configuration. Therefore, we should not need to change anything. However, </w:t>
      </w:r>
      <w:r w:rsidR="000C402C">
        <w:t>it is unclear how to handle measurement ID removal, e.g. whether the network can remove measurement ID, but k</w:t>
      </w:r>
      <w:r w:rsidR="00B050B8">
        <w:t xml:space="preserve">eep the CHO configuration? How to remove </w:t>
      </w:r>
      <w:r w:rsidR="00BE0C7A">
        <w:t xml:space="preserve">measurement ID when CHO configuration is removed. </w:t>
      </w:r>
    </w:p>
    <w:p w14:paraId="74F0C0FB" w14:textId="524B90AA" w:rsidR="00BE0C7A" w:rsidRDefault="00BE0C7A" w:rsidP="006E39F2">
      <w:r>
        <w:t xml:space="preserve">To our understanding, it </w:t>
      </w:r>
      <w:r w:rsidR="000F410C">
        <w:t>seems unreasonable for</w:t>
      </w:r>
      <w:r>
        <w:t xml:space="preserve"> the network </w:t>
      </w:r>
      <w:r w:rsidR="000F410C">
        <w:t xml:space="preserve">to </w:t>
      </w:r>
      <w:r>
        <w:t xml:space="preserve">remove the </w:t>
      </w:r>
      <w:proofErr w:type="spellStart"/>
      <w:r>
        <w:t>measID</w:t>
      </w:r>
      <w:proofErr w:type="spellEnd"/>
      <w:r>
        <w:t xml:space="preserve"> but keep the CHO configuration. </w:t>
      </w:r>
      <w:r w:rsidR="000F410C">
        <w:t>This should not be allowed</w:t>
      </w:r>
      <w:r>
        <w:t xml:space="preserve">. </w:t>
      </w:r>
    </w:p>
    <w:p w14:paraId="6EB30514" w14:textId="07ED3461" w:rsidR="00BE0C7A" w:rsidRPr="00C53ECF" w:rsidRDefault="00BE0C7A" w:rsidP="00BE0C7A">
      <w:pPr>
        <w:rPr>
          <w:b/>
        </w:rPr>
      </w:pPr>
      <w:r>
        <w:rPr>
          <w:b/>
        </w:rPr>
        <w:lastRenderedPageBreak/>
        <w:t xml:space="preserve">Proposal 6: </w:t>
      </w:r>
      <w:r w:rsidR="00957A52">
        <w:rPr>
          <w:b/>
        </w:rPr>
        <w:t xml:space="preserve">Network shall not remove </w:t>
      </w:r>
      <w:r w:rsidR="000F410C">
        <w:rPr>
          <w:b/>
        </w:rPr>
        <w:t xml:space="preserve">the corresponding </w:t>
      </w:r>
      <w:proofErr w:type="spellStart"/>
      <w:r w:rsidR="00957A52">
        <w:rPr>
          <w:b/>
        </w:rPr>
        <w:t>measID</w:t>
      </w:r>
      <w:proofErr w:type="spellEnd"/>
      <w:r w:rsidR="00957A52">
        <w:rPr>
          <w:b/>
        </w:rPr>
        <w:t xml:space="preserve"> </w:t>
      </w:r>
      <w:r w:rsidR="000F410C">
        <w:rPr>
          <w:b/>
        </w:rPr>
        <w:t xml:space="preserve">linked to the CHO configuration </w:t>
      </w:r>
      <w:r w:rsidR="00957A52">
        <w:rPr>
          <w:b/>
        </w:rPr>
        <w:t>before CHO configuration is removed</w:t>
      </w:r>
      <w:r>
        <w:rPr>
          <w:b/>
        </w:rPr>
        <w:t>.</w:t>
      </w:r>
    </w:p>
    <w:p w14:paraId="4B7F537F" w14:textId="37AEB29A" w:rsidR="00BE0C7A" w:rsidRDefault="004B4CD5" w:rsidP="006E39F2">
      <w:r>
        <w:t xml:space="preserve">Then when the network removes the CHO configuration, the handling on </w:t>
      </w:r>
      <w:proofErr w:type="spellStart"/>
      <w:r>
        <w:t>measID</w:t>
      </w:r>
      <w:proofErr w:type="spellEnd"/>
      <w:r>
        <w:t xml:space="preserve"> could be:</w:t>
      </w:r>
    </w:p>
    <w:p w14:paraId="61F321E8" w14:textId="66EB2461" w:rsidR="004B4CD5" w:rsidRDefault="000F410C" w:rsidP="004B4CD5">
      <w:pPr>
        <w:pStyle w:val="ListParagraph"/>
        <w:numPr>
          <w:ilvl w:val="0"/>
          <w:numId w:val="16"/>
        </w:numPr>
        <w:spacing w:after="0"/>
        <w:contextualSpacing w:val="0"/>
        <w:rPr>
          <w:rFonts w:eastAsia="Times New Roman"/>
          <w:lang w:eastAsia="zh-CN"/>
        </w:rPr>
      </w:pPr>
      <w:r>
        <w:rPr>
          <w:rFonts w:eastAsia="Times New Roman"/>
        </w:rPr>
        <w:t>O</w:t>
      </w:r>
      <w:r w:rsidR="004B4CD5">
        <w:rPr>
          <w:rFonts w:eastAsia="Times New Roman"/>
        </w:rPr>
        <w:t xml:space="preserve">ption 1: autonomous </w:t>
      </w:r>
      <w:proofErr w:type="spellStart"/>
      <w:r w:rsidR="004B4CD5">
        <w:rPr>
          <w:rFonts w:eastAsia="Times New Roman"/>
        </w:rPr>
        <w:t>measID</w:t>
      </w:r>
      <w:proofErr w:type="spellEnd"/>
      <w:r w:rsidR="004B4CD5">
        <w:rPr>
          <w:rFonts w:eastAsia="Times New Roman"/>
        </w:rPr>
        <w:t xml:space="preserve"> release upon the corresponding CHO config is removed. </w:t>
      </w:r>
    </w:p>
    <w:p w14:paraId="47689CD8" w14:textId="65DF7D12" w:rsidR="004B4CD5" w:rsidRDefault="000F410C" w:rsidP="004B4CD5">
      <w:pPr>
        <w:pStyle w:val="ListParagraph"/>
        <w:numPr>
          <w:ilvl w:val="0"/>
          <w:numId w:val="16"/>
        </w:numPr>
        <w:spacing w:after="0"/>
        <w:contextualSpacing w:val="0"/>
        <w:rPr>
          <w:rFonts w:eastAsia="Times New Roman"/>
        </w:rPr>
      </w:pPr>
      <w:r>
        <w:rPr>
          <w:rFonts w:eastAsia="Times New Roman"/>
        </w:rPr>
        <w:t>O</w:t>
      </w:r>
      <w:r w:rsidR="004B4CD5">
        <w:rPr>
          <w:rFonts w:eastAsia="Times New Roman"/>
        </w:rPr>
        <w:t xml:space="preserve">ption 2: network explicitly remove </w:t>
      </w:r>
      <w:proofErr w:type="spellStart"/>
      <w:r w:rsidR="004B4CD5">
        <w:rPr>
          <w:rFonts w:eastAsia="Times New Roman"/>
        </w:rPr>
        <w:t>measID</w:t>
      </w:r>
      <w:proofErr w:type="spellEnd"/>
      <w:r w:rsidR="004B4CD5">
        <w:rPr>
          <w:rFonts w:eastAsia="Times New Roman"/>
        </w:rPr>
        <w:t xml:space="preserve"> when the corresponding CHO config is removed. </w:t>
      </w:r>
    </w:p>
    <w:p w14:paraId="6734B44F" w14:textId="77777777" w:rsidR="000F410C" w:rsidRDefault="000F410C" w:rsidP="006E39F2"/>
    <w:p w14:paraId="4D0DBF47" w14:textId="1E0939DA" w:rsidR="004B4CD5" w:rsidRDefault="004E671B" w:rsidP="006E39F2">
      <w:r>
        <w:t xml:space="preserve">We would prefer option 2 since the network may use the same </w:t>
      </w:r>
      <w:proofErr w:type="spellStart"/>
      <w:r>
        <w:t>measID</w:t>
      </w:r>
      <w:proofErr w:type="spellEnd"/>
      <w:r>
        <w:t xml:space="preserve"> for </w:t>
      </w:r>
      <w:r w:rsidR="000F410C">
        <w:t>another</w:t>
      </w:r>
      <w:r>
        <w:t xml:space="preserve"> CHO confi</w:t>
      </w:r>
      <w:r w:rsidR="00E741C1">
        <w:t xml:space="preserve">guration, and it would be good to let the network explicitly remove the </w:t>
      </w:r>
      <w:proofErr w:type="spellStart"/>
      <w:r w:rsidR="00E741C1">
        <w:t>measID</w:t>
      </w:r>
      <w:proofErr w:type="spellEnd"/>
      <w:r w:rsidR="00E741C1">
        <w:t xml:space="preserve"> when it is not needed any more. </w:t>
      </w:r>
    </w:p>
    <w:p w14:paraId="1E861602" w14:textId="71B2C33B" w:rsidR="0067283C" w:rsidRPr="00385979" w:rsidRDefault="0067283C" w:rsidP="0067283C">
      <w:pPr>
        <w:rPr>
          <w:rFonts w:ascii="Arial" w:hAnsi="Arial"/>
          <w:sz w:val="36"/>
        </w:rPr>
      </w:pPr>
      <w:r w:rsidRPr="00385979">
        <w:rPr>
          <w:b/>
        </w:rPr>
        <w:t xml:space="preserve">Proposal </w:t>
      </w:r>
      <w:r w:rsidR="00E741C1">
        <w:rPr>
          <w:b/>
        </w:rPr>
        <w:t>7</w:t>
      </w:r>
      <w:r w:rsidRPr="00385979">
        <w:rPr>
          <w:b/>
        </w:rPr>
        <w:t xml:space="preserve">:  </w:t>
      </w:r>
      <w:r w:rsidRPr="0067283C">
        <w:rPr>
          <w:b/>
        </w:rPr>
        <w:t xml:space="preserve">measurement ID </w:t>
      </w:r>
      <w:r w:rsidR="001003AD">
        <w:rPr>
          <w:b/>
        </w:rPr>
        <w:t xml:space="preserve">is explicitly removed by network after CHO configuration is released. </w:t>
      </w:r>
    </w:p>
    <w:p w14:paraId="23A8CAB2" w14:textId="3DB47517" w:rsidR="009F6669" w:rsidRDefault="009F6669" w:rsidP="004E4F0D">
      <w:pPr>
        <w:pStyle w:val="Heading1"/>
      </w:pPr>
      <w:r>
        <w:t>Conclusion</w:t>
      </w:r>
    </w:p>
    <w:p w14:paraId="795C9A01" w14:textId="77777777" w:rsidR="000F410C" w:rsidRPr="00C53ECF" w:rsidRDefault="000F410C" w:rsidP="000F410C">
      <w:pPr>
        <w:rPr>
          <w:b/>
          <w:sz w:val="22"/>
          <w:szCs w:val="22"/>
        </w:rPr>
      </w:pPr>
      <w:r w:rsidRPr="00C53ECF">
        <w:rPr>
          <w:b/>
        </w:rPr>
        <w:t xml:space="preserve">Proposal 1: For A3 event, </w:t>
      </w:r>
      <w:r w:rsidRPr="00C53ECF">
        <w:rPr>
          <w:b/>
          <w:sz w:val="22"/>
          <w:szCs w:val="22"/>
        </w:rPr>
        <w:t xml:space="preserve">A3 event offset, hysteresis and time to trigger should be allowed to configure differently for the 2 </w:t>
      </w:r>
      <w:proofErr w:type="spellStart"/>
      <w:r w:rsidRPr="00C53ECF">
        <w:rPr>
          <w:b/>
          <w:sz w:val="22"/>
          <w:szCs w:val="22"/>
        </w:rPr>
        <w:t>measID</w:t>
      </w:r>
      <w:proofErr w:type="spellEnd"/>
      <w:r w:rsidRPr="00C53ECF">
        <w:rPr>
          <w:b/>
          <w:sz w:val="22"/>
          <w:szCs w:val="22"/>
        </w:rPr>
        <w:t xml:space="preserve"> for the same event, same RS type and same measurement object.</w:t>
      </w:r>
    </w:p>
    <w:p w14:paraId="708D1B2F" w14:textId="77777777" w:rsidR="000F410C" w:rsidRPr="00C53ECF" w:rsidRDefault="000F410C" w:rsidP="000F410C">
      <w:pPr>
        <w:rPr>
          <w:b/>
          <w:sz w:val="22"/>
          <w:szCs w:val="22"/>
        </w:rPr>
      </w:pPr>
      <w:r w:rsidRPr="00C53ECF">
        <w:rPr>
          <w:b/>
        </w:rPr>
        <w:t xml:space="preserve">Proposal 2: For A5 event, A5 threshold 1 and A5 threshold 2, </w:t>
      </w:r>
      <w:r w:rsidRPr="00C53ECF">
        <w:rPr>
          <w:b/>
          <w:sz w:val="22"/>
          <w:szCs w:val="22"/>
        </w:rPr>
        <w:t xml:space="preserve">hysteresis and time to trigger should be allowed to configure differently for the 2 </w:t>
      </w:r>
      <w:proofErr w:type="spellStart"/>
      <w:r w:rsidRPr="00C53ECF">
        <w:rPr>
          <w:b/>
          <w:sz w:val="22"/>
          <w:szCs w:val="22"/>
        </w:rPr>
        <w:t>measID</w:t>
      </w:r>
      <w:proofErr w:type="spellEnd"/>
      <w:r w:rsidRPr="00C53ECF">
        <w:rPr>
          <w:b/>
          <w:sz w:val="22"/>
          <w:szCs w:val="22"/>
        </w:rPr>
        <w:t xml:space="preserve"> for the same event, same RS type and same measurement object.</w:t>
      </w:r>
    </w:p>
    <w:p w14:paraId="7058DFF8" w14:textId="77777777" w:rsidR="000F410C" w:rsidRPr="00C53ECF" w:rsidRDefault="000F410C" w:rsidP="000F410C">
      <w:pPr>
        <w:rPr>
          <w:b/>
          <w:sz w:val="22"/>
          <w:szCs w:val="22"/>
        </w:rPr>
      </w:pPr>
      <w:r w:rsidRPr="00C53ECF">
        <w:rPr>
          <w:b/>
        </w:rPr>
        <w:t xml:space="preserve">Proposal 3: </w:t>
      </w:r>
      <w:r>
        <w:rPr>
          <w:b/>
        </w:rPr>
        <w:t xml:space="preserve">For both A3 and A5 events, </w:t>
      </w:r>
      <w:r w:rsidRPr="00C53ECF">
        <w:rPr>
          <w:b/>
          <w:sz w:val="22"/>
          <w:szCs w:val="22"/>
        </w:rPr>
        <w:t>Cell specific offset of the target candidate cell and cell specific offset of the serving cell</w:t>
      </w:r>
      <w:r>
        <w:rPr>
          <w:sz w:val="22"/>
          <w:szCs w:val="22"/>
        </w:rPr>
        <w:t xml:space="preserve"> </w:t>
      </w:r>
      <w:r w:rsidRPr="00C53ECF">
        <w:rPr>
          <w:b/>
          <w:sz w:val="22"/>
          <w:szCs w:val="22"/>
        </w:rPr>
        <w:t xml:space="preserve">should be allowed to configure differently for the 2 </w:t>
      </w:r>
      <w:proofErr w:type="spellStart"/>
      <w:r w:rsidRPr="00C53ECF">
        <w:rPr>
          <w:b/>
          <w:sz w:val="22"/>
          <w:szCs w:val="22"/>
        </w:rPr>
        <w:t>measID</w:t>
      </w:r>
      <w:proofErr w:type="spellEnd"/>
      <w:r w:rsidRPr="00C53ECF">
        <w:rPr>
          <w:b/>
          <w:sz w:val="22"/>
          <w:szCs w:val="22"/>
        </w:rPr>
        <w:t xml:space="preserve"> for the same event, same RS type and same measurement object.</w:t>
      </w:r>
    </w:p>
    <w:p w14:paraId="1C951DB7" w14:textId="77777777" w:rsidR="000F410C" w:rsidRPr="000F410C" w:rsidRDefault="000F410C" w:rsidP="000F410C">
      <w:pPr>
        <w:rPr>
          <w:b/>
        </w:rPr>
      </w:pPr>
      <w:r w:rsidRPr="000F410C">
        <w:rPr>
          <w:b/>
        </w:rPr>
        <w:t xml:space="preserve">Proposal 4: </w:t>
      </w:r>
      <w:proofErr w:type="spellStart"/>
      <w:r w:rsidRPr="000F410C">
        <w:rPr>
          <w:b/>
          <w:sz w:val="22"/>
          <w:szCs w:val="22"/>
        </w:rPr>
        <w:t>maxNrofRS-IndexesToReport</w:t>
      </w:r>
      <w:proofErr w:type="spellEnd"/>
      <w:r w:rsidRPr="000F410C">
        <w:rPr>
          <w:b/>
          <w:sz w:val="22"/>
          <w:szCs w:val="22"/>
        </w:rPr>
        <w:t xml:space="preserve">, </w:t>
      </w:r>
      <w:proofErr w:type="spellStart"/>
      <w:r w:rsidRPr="000F410C">
        <w:rPr>
          <w:b/>
          <w:sz w:val="22"/>
          <w:szCs w:val="22"/>
        </w:rPr>
        <w:t>maxReportCells</w:t>
      </w:r>
      <w:proofErr w:type="spellEnd"/>
      <w:r w:rsidRPr="000F410C">
        <w:rPr>
          <w:b/>
          <w:sz w:val="22"/>
          <w:szCs w:val="22"/>
        </w:rPr>
        <w:t xml:space="preserve">, </w:t>
      </w:r>
      <w:proofErr w:type="spellStart"/>
      <w:r w:rsidRPr="000F410C">
        <w:rPr>
          <w:b/>
          <w:sz w:val="22"/>
          <w:szCs w:val="22"/>
        </w:rPr>
        <w:t>reportAddNeighMeas</w:t>
      </w:r>
      <w:proofErr w:type="spellEnd"/>
      <w:r w:rsidRPr="000F410C">
        <w:rPr>
          <w:b/>
          <w:sz w:val="22"/>
          <w:szCs w:val="22"/>
        </w:rPr>
        <w:t xml:space="preserve">, </w:t>
      </w:r>
      <w:proofErr w:type="spellStart"/>
      <w:r w:rsidRPr="000F410C">
        <w:rPr>
          <w:b/>
          <w:sz w:val="22"/>
          <w:szCs w:val="22"/>
        </w:rPr>
        <w:t>reportAmount</w:t>
      </w:r>
      <w:proofErr w:type="spellEnd"/>
      <w:r w:rsidRPr="000F410C">
        <w:rPr>
          <w:b/>
          <w:sz w:val="22"/>
          <w:szCs w:val="22"/>
        </w:rPr>
        <w:t xml:space="preserve">, </w:t>
      </w:r>
      <w:proofErr w:type="spellStart"/>
      <w:r w:rsidRPr="000F410C">
        <w:rPr>
          <w:b/>
          <w:sz w:val="22"/>
          <w:szCs w:val="22"/>
        </w:rPr>
        <w:t>reportOnLeave</w:t>
      </w:r>
      <w:proofErr w:type="spellEnd"/>
      <w:r w:rsidRPr="000F410C">
        <w:rPr>
          <w:b/>
          <w:sz w:val="22"/>
          <w:szCs w:val="22"/>
        </w:rPr>
        <w:t xml:space="preserve">, </w:t>
      </w:r>
      <w:proofErr w:type="spellStart"/>
      <w:r w:rsidRPr="000F410C">
        <w:rPr>
          <w:b/>
          <w:sz w:val="22"/>
          <w:szCs w:val="22"/>
        </w:rPr>
        <w:t>reportQuantityCell</w:t>
      </w:r>
      <w:proofErr w:type="spellEnd"/>
      <w:r w:rsidRPr="000F410C">
        <w:rPr>
          <w:b/>
          <w:sz w:val="22"/>
          <w:szCs w:val="22"/>
        </w:rPr>
        <w:t xml:space="preserve">, </w:t>
      </w:r>
      <w:proofErr w:type="spellStart"/>
      <w:r w:rsidRPr="000F410C">
        <w:rPr>
          <w:b/>
          <w:sz w:val="22"/>
          <w:szCs w:val="22"/>
        </w:rPr>
        <w:t>reportQuantityRS</w:t>
      </w:r>
      <w:proofErr w:type="spellEnd"/>
      <w:r w:rsidRPr="000F410C">
        <w:rPr>
          <w:b/>
          <w:sz w:val="22"/>
          <w:szCs w:val="22"/>
        </w:rPr>
        <w:t>-Indexes</w:t>
      </w:r>
      <w:r w:rsidRPr="000F410C">
        <w:rPr>
          <w:b/>
        </w:rPr>
        <w:t xml:space="preserve">, and </w:t>
      </w:r>
      <w:proofErr w:type="spellStart"/>
      <w:r w:rsidRPr="000F410C">
        <w:rPr>
          <w:b/>
        </w:rPr>
        <w:t>useWhiteCellList</w:t>
      </w:r>
      <w:proofErr w:type="spellEnd"/>
      <w:r w:rsidRPr="000F410C">
        <w:rPr>
          <w:b/>
        </w:rPr>
        <w:t xml:space="preserve"> are not supported within the </w:t>
      </w:r>
      <w:proofErr w:type="spellStart"/>
      <w:r w:rsidRPr="000F410C">
        <w:rPr>
          <w:b/>
        </w:rPr>
        <w:t>measID</w:t>
      </w:r>
      <w:proofErr w:type="spellEnd"/>
      <w:r w:rsidRPr="000F410C">
        <w:rPr>
          <w:b/>
        </w:rPr>
        <w:t xml:space="preserve"> that is configured for triggering conditional handover.</w:t>
      </w:r>
    </w:p>
    <w:p w14:paraId="1FA1A942" w14:textId="77777777" w:rsidR="000F410C" w:rsidRPr="00C53ECF" w:rsidRDefault="000F410C" w:rsidP="000F410C">
      <w:pPr>
        <w:rPr>
          <w:b/>
        </w:rPr>
      </w:pPr>
      <w:r>
        <w:rPr>
          <w:b/>
        </w:rPr>
        <w:t>Proposal 5: S-measure should not be applied to measurements of the CHO candidate cells.</w:t>
      </w:r>
    </w:p>
    <w:p w14:paraId="05CAFA0B" w14:textId="5D3A374E" w:rsidR="000F410C" w:rsidRDefault="000F410C" w:rsidP="000F410C">
      <w:pPr>
        <w:rPr>
          <w:b/>
        </w:rPr>
      </w:pPr>
      <w:r>
        <w:rPr>
          <w:b/>
        </w:rPr>
        <w:t xml:space="preserve">Proposal 6: Network shall not remove the corresponding </w:t>
      </w:r>
      <w:proofErr w:type="spellStart"/>
      <w:r>
        <w:rPr>
          <w:b/>
        </w:rPr>
        <w:t>measID</w:t>
      </w:r>
      <w:proofErr w:type="spellEnd"/>
      <w:r>
        <w:rPr>
          <w:b/>
        </w:rPr>
        <w:t xml:space="preserve"> linked to the CHO configuration before CHO configuration is removed.</w:t>
      </w:r>
    </w:p>
    <w:p w14:paraId="4F8A4CD8" w14:textId="71F8B00F" w:rsidR="000F410C" w:rsidRPr="00385979" w:rsidRDefault="000F410C" w:rsidP="000F410C">
      <w:pPr>
        <w:rPr>
          <w:rFonts w:ascii="Arial" w:hAnsi="Arial"/>
          <w:sz w:val="36"/>
        </w:rPr>
      </w:pPr>
      <w:r w:rsidRPr="00385979">
        <w:rPr>
          <w:b/>
        </w:rPr>
        <w:t xml:space="preserve">Proposal </w:t>
      </w:r>
      <w:r>
        <w:rPr>
          <w:b/>
        </w:rPr>
        <w:t>7</w:t>
      </w:r>
      <w:r w:rsidRPr="00385979">
        <w:rPr>
          <w:b/>
        </w:rPr>
        <w:t xml:space="preserve">:  </w:t>
      </w:r>
      <w:r w:rsidRPr="0067283C">
        <w:rPr>
          <w:b/>
        </w:rPr>
        <w:t xml:space="preserve">measurement ID </w:t>
      </w:r>
      <w:r>
        <w:rPr>
          <w:b/>
        </w:rPr>
        <w:t xml:space="preserve">is explicitly removed by network after CHO configuration is released. </w:t>
      </w:r>
      <w:bookmarkStart w:id="1" w:name="_GoBack"/>
      <w:bookmarkEnd w:id="1"/>
    </w:p>
    <w:p w14:paraId="1D6890DE" w14:textId="77777777" w:rsidR="000F410C" w:rsidRPr="00C53ECF" w:rsidRDefault="000F410C" w:rsidP="000F410C">
      <w:pPr>
        <w:rPr>
          <w:b/>
        </w:rPr>
      </w:pPr>
    </w:p>
    <w:p w14:paraId="1687F242" w14:textId="6BDC8CFD" w:rsidR="003B0894" w:rsidRDefault="003B0894" w:rsidP="003B0894">
      <w:pPr>
        <w:pStyle w:val="Heading1"/>
      </w:pPr>
      <w:r>
        <w:t>Reference</w:t>
      </w:r>
    </w:p>
    <w:p w14:paraId="0719C8E3" w14:textId="2830AD83" w:rsidR="003B0894" w:rsidRPr="003B0894" w:rsidRDefault="003B0894" w:rsidP="003B0894">
      <w:r>
        <w:t xml:space="preserve">[1] </w:t>
      </w:r>
      <w:r w:rsidR="00CC02BB">
        <w:t>R2-</w:t>
      </w:r>
      <w:r w:rsidR="00CC02BB" w:rsidRPr="00CC02BB">
        <w:t xml:space="preserve"> 1914835</w:t>
      </w:r>
      <w:r w:rsidR="00CC02BB">
        <w:t xml:space="preserve"> “</w:t>
      </w:r>
      <w:r w:rsidR="00CC02BB" w:rsidRPr="00CC02BB">
        <w:t xml:space="preserve">Summary of open issues on RRC running CR-DAPS </w:t>
      </w:r>
      <w:proofErr w:type="gramStart"/>
      <w:r w:rsidR="00CC02BB" w:rsidRPr="00CC02BB">
        <w:t>( [</w:t>
      </w:r>
      <w:proofErr w:type="gramEnd"/>
      <w:r w:rsidR="00CC02BB" w:rsidRPr="00CC02BB">
        <w:t>107bis#54])</w:t>
      </w:r>
      <w:r w:rsidR="00CC02BB">
        <w:t>”, Intel</w:t>
      </w:r>
    </w:p>
    <w:p w14:paraId="4A98DE3A" w14:textId="77777777" w:rsidR="003269F7" w:rsidRPr="0050388E" w:rsidRDefault="003269F7">
      <w:pPr>
        <w:rPr>
          <w:sz w:val="22"/>
          <w:szCs w:val="22"/>
        </w:rPr>
      </w:pPr>
    </w:p>
    <w:sectPr w:rsidR="003269F7" w:rsidRPr="00503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E126BFD"/>
    <w:multiLevelType w:val="hybridMultilevel"/>
    <w:tmpl w:val="4710B36A"/>
    <w:lvl w:ilvl="0" w:tplc="8D6A888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0"/>
  </w:num>
  <w:num w:numId="4">
    <w:abstractNumId w:val="4"/>
  </w:num>
  <w:num w:numId="5">
    <w:abstractNumId w:val="11"/>
  </w:num>
  <w:num w:numId="6">
    <w:abstractNumId w:val="3"/>
  </w:num>
  <w:num w:numId="7">
    <w:abstractNumId w:val="9"/>
  </w:num>
  <w:num w:numId="8">
    <w:abstractNumId w:val="1"/>
  </w:num>
  <w:num w:numId="9">
    <w:abstractNumId w:val="14"/>
  </w:num>
  <w:num w:numId="10">
    <w:abstractNumId w:val="13"/>
  </w:num>
  <w:num w:numId="11">
    <w:abstractNumId w:val="0"/>
  </w:num>
  <w:num w:numId="12">
    <w:abstractNumId w:val="15"/>
  </w:num>
  <w:num w:numId="13">
    <w:abstractNumId w:val="6"/>
  </w:num>
  <w:num w:numId="14">
    <w:abstractNumId w:val="8"/>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CA3"/>
    <w:rsid w:val="00005DEF"/>
    <w:rsid w:val="00022A7C"/>
    <w:rsid w:val="00023715"/>
    <w:rsid w:val="00034B89"/>
    <w:rsid w:val="0003549F"/>
    <w:rsid w:val="0004058E"/>
    <w:rsid w:val="00044CC4"/>
    <w:rsid w:val="00083979"/>
    <w:rsid w:val="00085CBE"/>
    <w:rsid w:val="00091D9D"/>
    <w:rsid w:val="000A1B50"/>
    <w:rsid w:val="000A48C1"/>
    <w:rsid w:val="000C402C"/>
    <w:rsid w:val="000D1350"/>
    <w:rsid w:val="000D1B03"/>
    <w:rsid w:val="000F1CE8"/>
    <w:rsid w:val="000F410C"/>
    <w:rsid w:val="001003AD"/>
    <w:rsid w:val="001013D3"/>
    <w:rsid w:val="00104CFA"/>
    <w:rsid w:val="001177D9"/>
    <w:rsid w:val="00134957"/>
    <w:rsid w:val="00137C62"/>
    <w:rsid w:val="001402E5"/>
    <w:rsid w:val="0014360E"/>
    <w:rsid w:val="00154C68"/>
    <w:rsid w:val="0016090C"/>
    <w:rsid w:val="00165EDA"/>
    <w:rsid w:val="001660D1"/>
    <w:rsid w:val="00170383"/>
    <w:rsid w:val="00174C46"/>
    <w:rsid w:val="001772FB"/>
    <w:rsid w:val="00190069"/>
    <w:rsid w:val="00195867"/>
    <w:rsid w:val="001966B4"/>
    <w:rsid w:val="0019776A"/>
    <w:rsid w:val="00197B66"/>
    <w:rsid w:val="001A163D"/>
    <w:rsid w:val="001A1C7B"/>
    <w:rsid w:val="001A28AC"/>
    <w:rsid w:val="001A4BCF"/>
    <w:rsid w:val="001B72A5"/>
    <w:rsid w:val="001D7395"/>
    <w:rsid w:val="001E3535"/>
    <w:rsid w:val="001E38EE"/>
    <w:rsid w:val="001F3EA7"/>
    <w:rsid w:val="00201241"/>
    <w:rsid w:val="0020420D"/>
    <w:rsid w:val="0021028E"/>
    <w:rsid w:val="00210698"/>
    <w:rsid w:val="0021404C"/>
    <w:rsid w:val="00215DD9"/>
    <w:rsid w:val="0022320F"/>
    <w:rsid w:val="00226AAB"/>
    <w:rsid w:val="00236A96"/>
    <w:rsid w:val="00244F38"/>
    <w:rsid w:val="00245B02"/>
    <w:rsid w:val="0024604C"/>
    <w:rsid w:val="00256178"/>
    <w:rsid w:val="002565B9"/>
    <w:rsid w:val="00256C02"/>
    <w:rsid w:val="002716BD"/>
    <w:rsid w:val="00274DED"/>
    <w:rsid w:val="002761C6"/>
    <w:rsid w:val="00276A9B"/>
    <w:rsid w:val="002A160F"/>
    <w:rsid w:val="002A5DA7"/>
    <w:rsid w:val="002B2CAA"/>
    <w:rsid w:val="002B51CF"/>
    <w:rsid w:val="002C146E"/>
    <w:rsid w:val="002C4433"/>
    <w:rsid w:val="002F7FE2"/>
    <w:rsid w:val="00303465"/>
    <w:rsid w:val="0032642A"/>
    <w:rsid w:val="003269F7"/>
    <w:rsid w:val="0033308E"/>
    <w:rsid w:val="00340CC5"/>
    <w:rsid w:val="00347526"/>
    <w:rsid w:val="00352554"/>
    <w:rsid w:val="0035334B"/>
    <w:rsid w:val="00357146"/>
    <w:rsid w:val="00371B07"/>
    <w:rsid w:val="00375400"/>
    <w:rsid w:val="003764AC"/>
    <w:rsid w:val="00385979"/>
    <w:rsid w:val="00390861"/>
    <w:rsid w:val="003951F7"/>
    <w:rsid w:val="003A70DA"/>
    <w:rsid w:val="003B0894"/>
    <w:rsid w:val="003C0EA9"/>
    <w:rsid w:val="003C72EB"/>
    <w:rsid w:val="003C7822"/>
    <w:rsid w:val="003D53AC"/>
    <w:rsid w:val="003E1BE6"/>
    <w:rsid w:val="003E6C26"/>
    <w:rsid w:val="003F0846"/>
    <w:rsid w:val="003F4495"/>
    <w:rsid w:val="00412BB4"/>
    <w:rsid w:val="00422837"/>
    <w:rsid w:val="00425160"/>
    <w:rsid w:val="00435573"/>
    <w:rsid w:val="004429AA"/>
    <w:rsid w:val="00442BAD"/>
    <w:rsid w:val="00443603"/>
    <w:rsid w:val="0044554C"/>
    <w:rsid w:val="00446D38"/>
    <w:rsid w:val="00455758"/>
    <w:rsid w:val="00461815"/>
    <w:rsid w:val="00463A36"/>
    <w:rsid w:val="00471A72"/>
    <w:rsid w:val="00473872"/>
    <w:rsid w:val="004809FB"/>
    <w:rsid w:val="00492997"/>
    <w:rsid w:val="00495E98"/>
    <w:rsid w:val="004A055C"/>
    <w:rsid w:val="004B1E82"/>
    <w:rsid w:val="004B3CF6"/>
    <w:rsid w:val="004B4CD5"/>
    <w:rsid w:val="004C1E8F"/>
    <w:rsid w:val="004D1F19"/>
    <w:rsid w:val="004D4620"/>
    <w:rsid w:val="004E4F0D"/>
    <w:rsid w:val="004E522E"/>
    <w:rsid w:val="004E5EAB"/>
    <w:rsid w:val="004E671B"/>
    <w:rsid w:val="004E729A"/>
    <w:rsid w:val="0050388E"/>
    <w:rsid w:val="0051638C"/>
    <w:rsid w:val="00521810"/>
    <w:rsid w:val="00523B51"/>
    <w:rsid w:val="00541708"/>
    <w:rsid w:val="00542579"/>
    <w:rsid w:val="00546D77"/>
    <w:rsid w:val="005508EC"/>
    <w:rsid w:val="0056126B"/>
    <w:rsid w:val="00566567"/>
    <w:rsid w:val="00584213"/>
    <w:rsid w:val="00590BB2"/>
    <w:rsid w:val="00591212"/>
    <w:rsid w:val="00591AE5"/>
    <w:rsid w:val="005A66B6"/>
    <w:rsid w:val="005B0DBF"/>
    <w:rsid w:val="005B2E14"/>
    <w:rsid w:val="005C4EF5"/>
    <w:rsid w:val="005D2FEF"/>
    <w:rsid w:val="005D5A4C"/>
    <w:rsid w:val="005E3E10"/>
    <w:rsid w:val="005E6967"/>
    <w:rsid w:val="005F7E10"/>
    <w:rsid w:val="006010EE"/>
    <w:rsid w:val="006059CA"/>
    <w:rsid w:val="00607E82"/>
    <w:rsid w:val="00613F4A"/>
    <w:rsid w:val="006155F2"/>
    <w:rsid w:val="00617413"/>
    <w:rsid w:val="00625F58"/>
    <w:rsid w:val="00627143"/>
    <w:rsid w:val="00645851"/>
    <w:rsid w:val="00647861"/>
    <w:rsid w:val="006573A6"/>
    <w:rsid w:val="00660CD2"/>
    <w:rsid w:val="006647BF"/>
    <w:rsid w:val="00665F88"/>
    <w:rsid w:val="0067283C"/>
    <w:rsid w:val="006730C5"/>
    <w:rsid w:val="00683235"/>
    <w:rsid w:val="00694075"/>
    <w:rsid w:val="006A4027"/>
    <w:rsid w:val="006B0EE4"/>
    <w:rsid w:val="006B179F"/>
    <w:rsid w:val="006B240E"/>
    <w:rsid w:val="006C1720"/>
    <w:rsid w:val="006C7500"/>
    <w:rsid w:val="006C7F13"/>
    <w:rsid w:val="006D1E33"/>
    <w:rsid w:val="006D3C89"/>
    <w:rsid w:val="006D654A"/>
    <w:rsid w:val="006E09B4"/>
    <w:rsid w:val="006E39F2"/>
    <w:rsid w:val="007003A3"/>
    <w:rsid w:val="00707C83"/>
    <w:rsid w:val="0071757D"/>
    <w:rsid w:val="00722F34"/>
    <w:rsid w:val="00743548"/>
    <w:rsid w:val="0074587A"/>
    <w:rsid w:val="007537AD"/>
    <w:rsid w:val="00761C9B"/>
    <w:rsid w:val="00764F51"/>
    <w:rsid w:val="007676DD"/>
    <w:rsid w:val="00770179"/>
    <w:rsid w:val="00783B93"/>
    <w:rsid w:val="0078518E"/>
    <w:rsid w:val="007860B2"/>
    <w:rsid w:val="007863DD"/>
    <w:rsid w:val="00790C76"/>
    <w:rsid w:val="007A1EEF"/>
    <w:rsid w:val="007B1DBF"/>
    <w:rsid w:val="007B703F"/>
    <w:rsid w:val="007B777D"/>
    <w:rsid w:val="007C0355"/>
    <w:rsid w:val="007C4D1B"/>
    <w:rsid w:val="007E297D"/>
    <w:rsid w:val="007E4180"/>
    <w:rsid w:val="007F4243"/>
    <w:rsid w:val="007F510D"/>
    <w:rsid w:val="00824D06"/>
    <w:rsid w:val="00836B29"/>
    <w:rsid w:val="0083732A"/>
    <w:rsid w:val="008505D0"/>
    <w:rsid w:val="00853751"/>
    <w:rsid w:val="008577BD"/>
    <w:rsid w:val="00857B19"/>
    <w:rsid w:val="00862017"/>
    <w:rsid w:val="00865D53"/>
    <w:rsid w:val="00873652"/>
    <w:rsid w:val="00873C76"/>
    <w:rsid w:val="00876B53"/>
    <w:rsid w:val="008826AE"/>
    <w:rsid w:val="00882B71"/>
    <w:rsid w:val="008871C0"/>
    <w:rsid w:val="008917FE"/>
    <w:rsid w:val="00897001"/>
    <w:rsid w:val="008972BE"/>
    <w:rsid w:val="008B43E9"/>
    <w:rsid w:val="008D59AB"/>
    <w:rsid w:val="008E1FA2"/>
    <w:rsid w:val="008F1390"/>
    <w:rsid w:val="008F55A1"/>
    <w:rsid w:val="008F7F60"/>
    <w:rsid w:val="00902AAD"/>
    <w:rsid w:val="00903FA5"/>
    <w:rsid w:val="0090629B"/>
    <w:rsid w:val="00912440"/>
    <w:rsid w:val="0091330E"/>
    <w:rsid w:val="00916C43"/>
    <w:rsid w:val="0093559E"/>
    <w:rsid w:val="00937E67"/>
    <w:rsid w:val="00940149"/>
    <w:rsid w:val="0094058D"/>
    <w:rsid w:val="00940C83"/>
    <w:rsid w:val="00942F7D"/>
    <w:rsid w:val="00943A9E"/>
    <w:rsid w:val="00945905"/>
    <w:rsid w:val="00950C60"/>
    <w:rsid w:val="00954387"/>
    <w:rsid w:val="00957A52"/>
    <w:rsid w:val="00961CB5"/>
    <w:rsid w:val="00963CEC"/>
    <w:rsid w:val="0097735C"/>
    <w:rsid w:val="00990D58"/>
    <w:rsid w:val="00991A9E"/>
    <w:rsid w:val="0099276B"/>
    <w:rsid w:val="009A0F49"/>
    <w:rsid w:val="009A7426"/>
    <w:rsid w:val="009B01E8"/>
    <w:rsid w:val="009B2B44"/>
    <w:rsid w:val="009C0FEE"/>
    <w:rsid w:val="009E2CFF"/>
    <w:rsid w:val="009E6101"/>
    <w:rsid w:val="009E7ED2"/>
    <w:rsid w:val="009F6669"/>
    <w:rsid w:val="009F7551"/>
    <w:rsid w:val="00A006FA"/>
    <w:rsid w:val="00A10FD7"/>
    <w:rsid w:val="00A1145D"/>
    <w:rsid w:val="00A2293E"/>
    <w:rsid w:val="00A25B95"/>
    <w:rsid w:val="00A27A45"/>
    <w:rsid w:val="00A3429B"/>
    <w:rsid w:val="00A3548C"/>
    <w:rsid w:val="00A73C0C"/>
    <w:rsid w:val="00A87A2D"/>
    <w:rsid w:val="00A93090"/>
    <w:rsid w:val="00A95A86"/>
    <w:rsid w:val="00AA62A5"/>
    <w:rsid w:val="00AB338A"/>
    <w:rsid w:val="00AB4752"/>
    <w:rsid w:val="00AC0A20"/>
    <w:rsid w:val="00AC0B67"/>
    <w:rsid w:val="00AD182B"/>
    <w:rsid w:val="00AD6A5B"/>
    <w:rsid w:val="00AD7A92"/>
    <w:rsid w:val="00AE3F8B"/>
    <w:rsid w:val="00AE5685"/>
    <w:rsid w:val="00AE58CB"/>
    <w:rsid w:val="00AF6414"/>
    <w:rsid w:val="00B050B8"/>
    <w:rsid w:val="00B06EA4"/>
    <w:rsid w:val="00B21EB9"/>
    <w:rsid w:val="00B233FD"/>
    <w:rsid w:val="00B2508B"/>
    <w:rsid w:val="00B34C26"/>
    <w:rsid w:val="00B53453"/>
    <w:rsid w:val="00B72693"/>
    <w:rsid w:val="00B755BF"/>
    <w:rsid w:val="00BA3EF9"/>
    <w:rsid w:val="00BA4BF4"/>
    <w:rsid w:val="00BA6B09"/>
    <w:rsid w:val="00BB4071"/>
    <w:rsid w:val="00BB5BA6"/>
    <w:rsid w:val="00BC2421"/>
    <w:rsid w:val="00BC7322"/>
    <w:rsid w:val="00BD2BA0"/>
    <w:rsid w:val="00BE0C7A"/>
    <w:rsid w:val="00BE42B7"/>
    <w:rsid w:val="00BE46FF"/>
    <w:rsid w:val="00BE68FC"/>
    <w:rsid w:val="00BF0A2D"/>
    <w:rsid w:val="00BF46AA"/>
    <w:rsid w:val="00BF53A2"/>
    <w:rsid w:val="00BF6B4C"/>
    <w:rsid w:val="00BF7AED"/>
    <w:rsid w:val="00C007AD"/>
    <w:rsid w:val="00C052A4"/>
    <w:rsid w:val="00C10851"/>
    <w:rsid w:val="00C17877"/>
    <w:rsid w:val="00C204F9"/>
    <w:rsid w:val="00C21DBC"/>
    <w:rsid w:val="00C273BF"/>
    <w:rsid w:val="00C31DCE"/>
    <w:rsid w:val="00C5089F"/>
    <w:rsid w:val="00C53ECF"/>
    <w:rsid w:val="00C551FD"/>
    <w:rsid w:val="00C624ED"/>
    <w:rsid w:val="00C70292"/>
    <w:rsid w:val="00C71703"/>
    <w:rsid w:val="00C77783"/>
    <w:rsid w:val="00C86715"/>
    <w:rsid w:val="00C90F33"/>
    <w:rsid w:val="00C94B98"/>
    <w:rsid w:val="00CA1776"/>
    <w:rsid w:val="00CA605D"/>
    <w:rsid w:val="00CB065B"/>
    <w:rsid w:val="00CB4F98"/>
    <w:rsid w:val="00CC02BB"/>
    <w:rsid w:val="00CC11E7"/>
    <w:rsid w:val="00CD010D"/>
    <w:rsid w:val="00CD7A35"/>
    <w:rsid w:val="00CE348D"/>
    <w:rsid w:val="00CF1431"/>
    <w:rsid w:val="00CF15D2"/>
    <w:rsid w:val="00CF167B"/>
    <w:rsid w:val="00CF5A51"/>
    <w:rsid w:val="00D00686"/>
    <w:rsid w:val="00D02038"/>
    <w:rsid w:val="00D03397"/>
    <w:rsid w:val="00D0404A"/>
    <w:rsid w:val="00D1631B"/>
    <w:rsid w:val="00D2723C"/>
    <w:rsid w:val="00D31827"/>
    <w:rsid w:val="00D37315"/>
    <w:rsid w:val="00D464EF"/>
    <w:rsid w:val="00D46979"/>
    <w:rsid w:val="00D54DA2"/>
    <w:rsid w:val="00D56AEA"/>
    <w:rsid w:val="00D61C33"/>
    <w:rsid w:val="00D63BDF"/>
    <w:rsid w:val="00D64851"/>
    <w:rsid w:val="00D72C4B"/>
    <w:rsid w:val="00D82B75"/>
    <w:rsid w:val="00D86C15"/>
    <w:rsid w:val="00D872C4"/>
    <w:rsid w:val="00D9215B"/>
    <w:rsid w:val="00D97732"/>
    <w:rsid w:val="00DB4E72"/>
    <w:rsid w:val="00DC70C0"/>
    <w:rsid w:val="00DD49AF"/>
    <w:rsid w:val="00DE5114"/>
    <w:rsid w:val="00DF47F1"/>
    <w:rsid w:val="00E06970"/>
    <w:rsid w:val="00E1024A"/>
    <w:rsid w:val="00E11296"/>
    <w:rsid w:val="00E16B31"/>
    <w:rsid w:val="00E22394"/>
    <w:rsid w:val="00E231F9"/>
    <w:rsid w:val="00E27C93"/>
    <w:rsid w:val="00E34ED3"/>
    <w:rsid w:val="00E35C95"/>
    <w:rsid w:val="00E363DE"/>
    <w:rsid w:val="00E37A50"/>
    <w:rsid w:val="00E429D6"/>
    <w:rsid w:val="00E437AF"/>
    <w:rsid w:val="00E474BB"/>
    <w:rsid w:val="00E5105B"/>
    <w:rsid w:val="00E516E3"/>
    <w:rsid w:val="00E544C3"/>
    <w:rsid w:val="00E66B56"/>
    <w:rsid w:val="00E70075"/>
    <w:rsid w:val="00E7234E"/>
    <w:rsid w:val="00E741C1"/>
    <w:rsid w:val="00E8182D"/>
    <w:rsid w:val="00E878C8"/>
    <w:rsid w:val="00EA13CD"/>
    <w:rsid w:val="00EC574D"/>
    <w:rsid w:val="00ED45AD"/>
    <w:rsid w:val="00ED71B8"/>
    <w:rsid w:val="00EE0F4C"/>
    <w:rsid w:val="00EE3BB5"/>
    <w:rsid w:val="00EF580B"/>
    <w:rsid w:val="00F03865"/>
    <w:rsid w:val="00F24943"/>
    <w:rsid w:val="00F24AAA"/>
    <w:rsid w:val="00F3375E"/>
    <w:rsid w:val="00F370FC"/>
    <w:rsid w:val="00F476CE"/>
    <w:rsid w:val="00F5147A"/>
    <w:rsid w:val="00F52156"/>
    <w:rsid w:val="00F64A14"/>
    <w:rsid w:val="00F75ADB"/>
    <w:rsid w:val="00F80A4A"/>
    <w:rsid w:val="00F80ED4"/>
    <w:rsid w:val="00FA0141"/>
    <w:rsid w:val="00FA6FF9"/>
    <w:rsid w:val="00FB6349"/>
    <w:rsid w:val="00FC1A1E"/>
    <w:rsid w:val="00FC490E"/>
    <w:rsid w:val="00FC7BB9"/>
    <w:rsid w:val="00FE0A63"/>
    <w:rsid w:val="00FE2C54"/>
    <w:rsid w:val="00FF6D27"/>
    <w:rsid w:val="00FF70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aliases w:val="EN"/>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Revision">
    <w:name w:val="Revision"/>
    <w:hidden/>
    <w:uiPriority w:val="99"/>
    <w:semiHidden/>
    <w:rsid w:val="00BF0A2D"/>
    <w:pPr>
      <w:spacing w:after="0" w:line="240" w:lineRule="auto"/>
    </w:pPr>
    <w:rPr>
      <w:rFonts w:ascii="Times New Roman" w:eastAsia="Malgun Gothic" w:hAnsi="Times New Roman" w:cs="Times New Roman"/>
      <w:sz w:val="20"/>
      <w:szCs w:val="20"/>
      <w:lang w:val="en-GB" w:eastAsia="en-US"/>
    </w:rPr>
  </w:style>
  <w:style w:type="paragraph" w:styleId="TOC3">
    <w:name w:val="toc 3"/>
    <w:basedOn w:val="TOC2"/>
    <w:semiHidden/>
    <w:rsid w:val="00903FA5"/>
    <w:pPr>
      <w:keepLines/>
      <w:widowControl w:val="0"/>
      <w:tabs>
        <w:tab w:val="right" w:leader="dot" w:pos="9639"/>
      </w:tabs>
      <w:spacing w:after="0"/>
      <w:ind w:left="1134" w:right="425" w:hanging="1134"/>
    </w:pPr>
    <w:rPr>
      <w:rFonts w:eastAsiaTheme="minorEastAsia"/>
      <w:noProof/>
    </w:rPr>
  </w:style>
  <w:style w:type="paragraph" w:styleId="TOC2">
    <w:name w:val="toc 2"/>
    <w:basedOn w:val="Normal"/>
    <w:next w:val="Normal"/>
    <w:autoRedefine/>
    <w:uiPriority w:val="39"/>
    <w:semiHidden/>
    <w:unhideWhenUsed/>
    <w:rsid w:val="00903FA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A6E7A7C-4100-43B8-A6C2-A6B4F819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
  <dc:description/>
  <cp:lastModifiedBy>Intel</cp:lastModifiedBy>
  <cp:revision>4</cp:revision>
  <dcterms:created xsi:type="dcterms:W3CDTF">2019-11-08T04:16:00Z</dcterms:created>
  <dcterms:modified xsi:type="dcterms:W3CDTF">2019-11-08T04:17:00Z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