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78C45AB9"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 xml:space="preserve">3GPP </w:t>
      </w:r>
      <w:r w:rsidR="007219A8">
        <w:rPr>
          <w:rFonts w:ascii="Arial" w:hAnsi="Arial" w:cs="Arial"/>
          <w:b/>
          <w:bCs/>
          <w:noProof/>
          <w:snapToGrid w:val="0"/>
          <w:kern w:val="0"/>
          <w:sz w:val="28"/>
          <w:szCs w:val="28"/>
        </w:rPr>
        <w:t>RAN2#108</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sidR="007219A8">
        <w:rPr>
          <w:rFonts w:ascii="Arial" w:hAnsi="Arial" w:cs="Arial"/>
          <w:b/>
          <w:bCs/>
          <w:noProof/>
          <w:snapToGrid w:val="0"/>
          <w:kern w:val="0"/>
          <w:sz w:val="28"/>
          <w:szCs w:val="28"/>
        </w:rPr>
        <w:tab/>
      </w:r>
      <w:r w:rsidR="007219A8">
        <w:rPr>
          <w:rFonts w:ascii="Arial" w:hAnsi="Arial" w:cs="Arial"/>
          <w:b/>
          <w:bCs/>
          <w:noProof/>
          <w:snapToGrid w:val="0"/>
          <w:kern w:val="0"/>
          <w:sz w:val="28"/>
          <w:szCs w:val="28"/>
        </w:rPr>
        <w:tab/>
      </w:r>
      <w:r w:rsidR="007219A8">
        <w:rPr>
          <w:rFonts w:ascii="Arial" w:hAnsi="Arial" w:cs="Arial"/>
          <w:b/>
          <w:bCs/>
          <w:noProof/>
          <w:snapToGrid w:val="0"/>
          <w:kern w:val="0"/>
          <w:sz w:val="28"/>
          <w:szCs w:val="28"/>
        </w:rPr>
        <w:tab/>
      </w:r>
      <w:r w:rsidR="007219A8">
        <w:rPr>
          <w:rFonts w:ascii="Arial" w:hAnsi="Arial" w:cs="Arial"/>
          <w:b/>
          <w:bCs/>
          <w:noProof/>
          <w:snapToGrid w:val="0"/>
          <w:kern w:val="0"/>
          <w:sz w:val="28"/>
          <w:szCs w:val="28"/>
        </w:rPr>
        <w:tab/>
      </w:r>
      <w:r w:rsidR="007219A8">
        <w:rPr>
          <w:rFonts w:ascii="Arial" w:hAnsi="Arial" w:cs="Arial"/>
          <w:b/>
          <w:bCs/>
          <w:noProof/>
          <w:snapToGrid w:val="0"/>
          <w:kern w:val="0"/>
          <w:sz w:val="28"/>
          <w:szCs w:val="28"/>
        </w:rPr>
        <w:tab/>
      </w:r>
      <w:r w:rsidR="00A36158" w:rsidRPr="00A36158">
        <w:rPr>
          <w:rFonts w:ascii="Arial" w:hAnsi="Arial" w:cs="Arial"/>
          <w:b/>
          <w:bCs/>
          <w:noProof/>
          <w:snapToGrid w:val="0"/>
          <w:kern w:val="0"/>
          <w:sz w:val="28"/>
          <w:szCs w:val="28"/>
        </w:rPr>
        <w:t>R2-1914790</w:t>
      </w:r>
      <w:bookmarkStart w:id="0" w:name="_GoBack"/>
      <w:bookmarkEnd w:id="0"/>
    </w:p>
    <w:p w14:paraId="3D29C805" w14:textId="5A756BF9" w:rsidR="00553234" w:rsidRPr="00402985" w:rsidRDefault="007219A8"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Reno, USA</w:t>
      </w:r>
      <w:r w:rsidR="00137540">
        <w:rPr>
          <w:rFonts w:ascii="Arial" w:hAnsi="Arial" w:cs="Arial"/>
          <w:b/>
          <w:bCs/>
          <w:noProof/>
          <w:kern w:val="0"/>
          <w:sz w:val="28"/>
          <w:szCs w:val="28"/>
          <w:lang w:val="en-GB"/>
        </w:rPr>
        <w:t xml:space="preserve">, </w:t>
      </w:r>
      <w:r>
        <w:rPr>
          <w:rFonts w:ascii="Arial" w:hAnsi="Arial" w:cs="Arial"/>
          <w:b/>
          <w:bCs/>
          <w:noProof/>
          <w:kern w:val="0"/>
          <w:sz w:val="28"/>
          <w:szCs w:val="28"/>
          <w:lang w:val="en-GB"/>
        </w:rPr>
        <w:t>18-22 November, 2019</w:t>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1C49AE59"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5A6564">
        <w:rPr>
          <w:rFonts w:ascii="Arial" w:hAnsi="Arial" w:cs="Arial"/>
          <w:b/>
          <w:bCs/>
          <w:noProof/>
          <w:snapToGrid w:val="0"/>
          <w:kern w:val="0"/>
          <w:sz w:val="28"/>
          <w:szCs w:val="28"/>
        </w:rPr>
        <w:t>LBT aspects of MSGA</w:t>
      </w:r>
      <w:r w:rsidR="00566123">
        <w:rPr>
          <w:rFonts w:ascii="Arial" w:hAnsi="Arial" w:cs="Arial"/>
          <w:b/>
          <w:bCs/>
          <w:noProof/>
          <w:snapToGrid w:val="0"/>
          <w:kern w:val="0"/>
          <w:sz w:val="28"/>
          <w:szCs w:val="28"/>
        </w:rPr>
        <w:t xml:space="preserve"> transmission</w:t>
      </w:r>
    </w:p>
    <w:p w14:paraId="350787AF" w14:textId="31894709"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1" w:name="Source"/>
      <w:bookmarkEnd w:id="1"/>
      <w:r w:rsidR="00563F91" w:rsidRPr="00563F91">
        <w:rPr>
          <w:rFonts w:ascii="Arial" w:hAnsi="Arial" w:cs="Arial"/>
          <w:b/>
          <w:bCs/>
          <w:noProof/>
          <w:snapToGrid w:val="0"/>
          <w:kern w:val="0"/>
          <w:sz w:val="28"/>
          <w:szCs w:val="28"/>
        </w:rPr>
        <w:t>6.2.2.3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2" w:name="DocumentFor"/>
      <w:bookmarkEnd w:id="2"/>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66442AE4" w:rsidR="0060767B" w:rsidRPr="00E66C3B" w:rsidRDefault="00F1477E" w:rsidP="0060767B">
      <w:r>
        <w:t xml:space="preserve">One of the applications of 2-step RACH is to reduce the impact of LBT on the RACH procedure in case of NR-U. In this contribution, we look at the design aspects of msgA for NR-U 2-step RACH and </w:t>
      </w:r>
      <w:r w:rsidR="00566123">
        <w:t>identify RACH formats that are suitable for MSGA without needing double LBT</w:t>
      </w:r>
      <w:r>
        <w:t xml:space="preserve">. </w:t>
      </w:r>
    </w:p>
    <w:p w14:paraId="36B65BB2" w14:textId="134A89E7"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2D991A71" w14:textId="6E025810" w:rsidR="00137540" w:rsidRDefault="00137540" w:rsidP="00137540">
      <w:r>
        <w:t xml:space="preserve">2-step RACH is applicable to NR-U. One of the important benefits of 2-step RACH in NR-U is that it reduces the number of LBT steps required to be performed by the UE during initial access. This assumes that the PRACH and the payload part of the </w:t>
      </w:r>
      <w:r w:rsidRPr="00137540">
        <w:rPr>
          <w:i/>
        </w:rPr>
        <w:t>MsgA</w:t>
      </w:r>
      <w:r>
        <w:t xml:space="preserve"> in 2-step RACH can be sent by the UE within one COT (i.e. with one LBT). However, regulatory requirements impose a limit on the length of gap between consecutive transmissions within a channel occupancy time (COT) – see </w:t>
      </w:r>
      <w:r>
        <w:fldChar w:fldCharType="begin"/>
      </w:r>
      <w:r>
        <w:instrText xml:space="preserve"> REF _Ref535426220 \r \h </w:instrText>
      </w:r>
      <w:r>
        <w:fldChar w:fldCharType="separate"/>
      </w:r>
      <w:r>
        <w:t>[1]</w:t>
      </w:r>
      <w:r>
        <w:fldChar w:fldCharType="end"/>
      </w:r>
      <w:r>
        <w:t xml:space="preserve">: </w:t>
      </w:r>
    </w:p>
    <w:p w14:paraId="3BFDBB6C" w14:textId="100BF7A1" w:rsidR="00137540" w:rsidRDefault="00137540" w:rsidP="00137540"/>
    <w:p w14:paraId="24E6DF73" w14:textId="77777777" w:rsidR="00137540" w:rsidRPr="00984FD0" w:rsidRDefault="00137540" w:rsidP="00137540">
      <w:pPr>
        <w:rPr>
          <w:i/>
        </w:rPr>
      </w:pPr>
      <w:r w:rsidRPr="00984FD0">
        <w:rPr>
          <w:i/>
        </w:rPr>
        <w:t xml:space="preserve">The Channel Access Engine can have multiple transmissions without performing an additional CCA on this Operating Channel providing the gap in between such transmissions </w:t>
      </w:r>
      <w:r w:rsidRPr="00984FD0">
        <w:rPr>
          <w:i/>
          <w:highlight w:val="yellow"/>
        </w:rPr>
        <w:t>does not exceed 16 µs</w:t>
      </w:r>
      <w:r w:rsidRPr="00984FD0">
        <w:rPr>
          <w:i/>
        </w:rPr>
        <w:t>. Otherwise, if this gap exceeds 16 µs and does not exceed 25 µs, the Initiating Device may continue transmissions provided that no energy was detected with a level above the ED threshold defined in clause 4.2.7.3.2.5 for a duration of one Observation Slot.</w:t>
      </w:r>
    </w:p>
    <w:p w14:paraId="3627835A" w14:textId="77777777" w:rsidR="00137540" w:rsidRDefault="00137540" w:rsidP="00137540"/>
    <w:p w14:paraId="2C17BC10" w14:textId="3BD46D1E" w:rsidR="00137540" w:rsidRDefault="00137540" w:rsidP="00137540">
      <w:r>
        <w:t>So, based on the above, the 2-step RACH procedure for NR-U (at least in the 5 GHz bands) will only benefit from a single CCA step if the RACH and payload are separated by &lt; 16</w:t>
      </w:r>
      <w:r w:rsidRPr="003A4234">
        <w:t xml:space="preserve"> µs</w:t>
      </w:r>
      <w:r>
        <w:t xml:space="preserve">. </w:t>
      </w:r>
    </w:p>
    <w:p w14:paraId="5F6AFDE0" w14:textId="269A5C62" w:rsidR="00137540" w:rsidRDefault="00137540" w:rsidP="00137540"/>
    <w:p w14:paraId="0AD6E58F" w14:textId="05BB9195" w:rsidR="00137540" w:rsidRPr="00B532E2" w:rsidRDefault="006F51B0" w:rsidP="00137540">
      <w:pPr>
        <w:rPr>
          <w:b/>
        </w:rPr>
      </w:pPr>
      <w:r>
        <w:rPr>
          <w:b/>
        </w:rPr>
        <w:t>Proposal</w:t>
      </w:r>
      <w:r w:rsidR="00137540" w:rsidRPr="00B532E2">
        <w:rPr>
          <w:b/>
        </w:rPr>
        <w:t xml:space="preserve"> 1: for 2-step RACH in NR, </w:t>
      </w:r>
      <w:r w:rsidR="007219A8">
        <w:rPr>
          <w:b/>
        </w:rPr>
        <w:t xml:space="preserve">if </w:t>
      </w:r>
      <w:r w:rsidR="00137540" w:rsidRPr="00B532E2">
        <w:rPr>
          <w:b/>
        </w:rPr>
        <w:t xml:space="preserve">the gap (i.e. pause in transmission) between the PRACH and PUSCH </w:t>
      </w:r>
      <w:r w:rsidR="007219A8">
        <w:rPr>
          <w:b/>
        </w:rPr>
        <w:t>is</w:t>
      </w:r>
      <w:r w:rsidR="00137540" w:rsidRPr="00B532E2">
        <w:rPr>
          <w:b/>
        </w:rPr>
        <w:t xml:space="preserve"> smaller than 16 µs</w:t>
      </w:r>
      <w:r w:rsidR="007219A8">
        <w:rPr>
          <w:b/>
        </w:rPr>
        <w:t xml:space="preserve"> then there is no need for an additional LBT before the transmission of PUSCH payload of MSGA</w:t>
      </w:r>
      <w:r w:rsidR="00137540" w:rsidRPr="00B532E2">
        <w:rPr>
          <w:b/>
        </w:rPr>
        <w:t>.</w:t>
      </w:r>
    </w:p>
    <w:p w14:paraId="0AE55B81" w14:textId="15085EDA" w:rsidR="00137540" w:rsidRDefault="00137540" w:rsidP="00137540"/>
    <w:p w14:paraId="2BAEF534" w14:textId="192DDF5A" w:rsidR="00137540" w:rsidRDefault="007219A8" w:rsidP="00137540">
      <w:r>
        <w:t>The channel structure for MSGA uses TDM for the PRACH and PUSCH payload</w:t>
      </w:r>
      <w:r w:rsidR="00137540">
        <w:t xml:space="preserve">. </w:t>
      </w:r>
      <w:r>
        <w:t xml:space="preserve">Further, RAN1 also agreed that the gap between the RO and PO is configurable. </w:t>
      </w:r>
      <w:r w:rsidR="00137540">
        <w:t xml:space="preserve">So, the question is if there is any gap between the preamble and the payload parts and if so, how long is this gap. </w:t>
      </w:r>
    </w:p>
    <w:p w14:paraId="72018E46" w14:textId="77777777" w:rsidR="00137540" w:rsidRDefault="00137540" w:rsidP="00137540"/>
    <w:p w14:paraId="40BC1116" w14:textId="3ED910C8" w:rsidR="00137540" w:rsidRDefault="00137540" w:rsidP="00137540">
      <w:r>
        <w:t xml:space="preserve">The general 2-step RACH structure is as shown below: </w:t>
      </w:r>
    </w:p>
    <w:p w14:paraId="09E84400" w14:textId="77777777" w:rsidR="00137540" w:rsidRDefault="00137540" w:rsidP="00137540"/>
    <w:p w14:paraId="2E8560A9" w14:textId="77777777" w:rsidR="00137540" w:rsidRDefault="00137540" w:rsidP="00137540">
      <w:pPr>
        <w:keepNext/>
      </w:pPr>
      <w:r>
        <w:object w:dxaOrig="9135" w:dyaOrig="2122" w14:anchorId="0B147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05pt;height:104.55pt" o:ole="">
            <v:imagedata r:id="rId8" o:title=""/>
          </v:shape>
          <o:OLEObject Type="Embed" ProgID="Visio.Drawing.11" ShapeID="_x0000_i1025" DrawAspect="Content" ObjectID="_1634651471" r:id="rId9"/>
        </w:object>
      </w:r>
    </w:p>
    <w:p w14:paraId="4DD9F0C3" w14:textId="45FB5144" w:rsidR="00137540" w:rsidRDefault="00137540" w:rsidP="00137540">
      <w:pPr>
        <w:pStyle w:val="Caption"/>
        <w:jc w:val="center"/>
      </w:pPr>
      <w:bookmarkStart w:id="3" w:name="_Ref535419711"/>
      <w:r>
        <w:t xml:space="preserve">Figure </w:t>
      </w:r>
      <w:r w:rsidR="00A36158">
        <w:fldChar w:fldCharType="begin"/>
      </w:r>
      <w:r w:rsidR="00A36158">
        <w:instrText xml:space="preserve"> SEQ Figure \* ARABIC </w:instrText>
      </w:r>
      <w:r w:rsidR="00A36158">
        <w:fldChar w:fldCharType="separate"/>
      </w:r>
      <w:r>
        <w:rPr>
          <w:noProof/>
        </w:rPr>
        <w:t>1</w:t>
      </w:r>
      <w:r w:rsidR="00A36158">
        <w:rPr>
          <w:noProof/>
        </w:rPr>
        <w:fldChar w:fldCharType="end"/>
      </w:r>
      <w:bookmarkEnd w:id="3"/>
      <w:r>
        <w:t>: 2-step RACH structure for NR-U</w:t>
      </w:r>
    </w:p>
    <w:p w14:paraId="3228CD83" w14:textId="2788ED3D" w:rsidR="000829EA" w:rsidRDefault="00E150AD" w:rsidP="000829EA">
      <w:r>
        <w:t xml:space="preserve">From NR-U perspective, any gaps (i.e. pause in transmission) that is larger than 16us will require an additional LBT step. </w:t>
      </w:r>
      <w:r w:rsidR="000829EA">
        <w:t xml:space="preserve">Note that the Gap in the above consists of any GP (which is part of the PRACH structure) and any separation between PRACH and the PUSCH part – i.e. the </w:t>
      </w:r>
      <w:r w:rsidR="00E545D5">
        <w:t xml:space="preserve">TDM separation between PRACH and PUSCH shown as </w:t>
      </w:r>
      <w:r w:rsidR="000829EA" w:rsidRPr="000829EA">
        <w:rPr>
          <w:i/>
        </w:rPr>
        <w:t>TDM_Sep</w:t>
      </w:r>
      <w:r w:rsidR="000829EA">
        <w:t xml:space="preserve"> </w:t>
      </w:r>
      <w:r w:rsidR="00E545D5">
        <w:t xml:space="preserve">in the figure above </w:t>
      </w:r>
      <w:r w:rsidR="000829EA">
        <w:t>(which is a configuration parameter specific to 2-step RACH configuration).</w:t>
      </w:r>
    </w:p>
    <w:p w14:paraId="47923E65" w14:textId="35F5CF91" w:rsidR="000829EA" w:rsidRDefault="000829EA" w:rsidP="000829EA">
      <w:r>
        <w:t xml:space="preserve"> </w:t>
      </w:r>
    </w:p>
    <w:p w14:paraId="433A680A" w14:textId="1A002124" w:rsidR="000829EA" w:rsidRDefault="000829EA" w:rsidP="000829EA">
      <w:r>
        <w:t xml:space="preserve">Different PRACH formats have different GP lengths. Since the GP length forms part of the Gap (i.e. there is no transmission during GP), depending on the GP length, </w:t>
      </w:r>
      <w:r w:rsidR="007219A8">
        <w:t xml:space="preserve">only </w:t>
      </w:r>
      <w:r>
        <w:t xml:space="preserve">some of the PRACH formats </w:t>
      </w:r>
      <w:r w:rsidR="007219A8">
        <w:t>allow transmission without a further LBT step</w:t>
      </w:r>
      <w:r>
        <w:t xml:space="preserve">. The following table shows this: </w:t>
      </w:r>
    </w:p>
    <w:p w14:paraId="38293CD6" w14:textId="77777777" w:rsidR="00E545D5" w:rsidRDefault="00E545D5" w:rsidP="000829EA"/>
    <w:tbl>
      <w:tblPr>
        <w:tblW w:w="6941" w:type="dxa"/>
        <w:jc w:val="center"/>
        <w:tblLook w:val="04A0" w:firstRow="1" w:lastRow="0" w:firstColumn="1" w:lastColumn="0" w:noHBand="0" w:noVBand="1"/>
      </w:tblPr>
      <w:tblGrid>
        <w:gridCol w:w="1882"/>
        <w:gridCol w:w="2320"/>
        <w:gridCol w:w="2739"/>
      </w:tblGrid>
      <w:tr w:rsidR="000829EA" w:rsidRPr="00A77C24" w14:paraId="743C1384" w14:textId="77777777" w:rsidTr="007219A8">
        <w:trPr>
          <w:trHeight w:val="300"/>
          <w:jc w:val="center"/>
        </w:trPr>
        <w:tc>
          <w:tcPr>
            <w:tcW w:w="18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3075" w14:textId="77777777" w:rsidR="000829EA" w:rsidRPr="00A77C24" w:rsidRDefault="000829EA" w:rsidP="00DF1088">
            <w:pPr>
              <w:jc w:val="center"/>
              <w:rPr>
                <w:rFonts w:ascii="Calibri" w:eastAsia="Times New Roman" w:hAnsi="Calibri" w:cs="Calibri"/>
                <w:b/>
                <w:bCs/>
                <w:color w:val="000000"/>
                <w:lang w:eastAsia="en-GB"/>
              </w:rPr>
            </w:pPr>
            <w:r w:rsidRPr="00A77C24">
              <w:rPr>
                <w:rFonts w:ascii="Calibri" w:eastAsia="Times New Roman" w:hAnsi="Calibri" w:cs="Calibri"/>
                <w:b/>
                <w:bCs/>
                <w:color w:val="000000"/>
                <w:lang w:eastAsia="en-GB"/>
              </w:rPr>
              <w:t>Preamble format</w:t>
            </w:r>
          </w:p>
        </w:tc>
        <w:tc>
          <w:tcPr>
            <w:tcW w:w="2320" w:type="dxa"/>
            <w:tcBorders>
              <w:top w:val="single" w:sz="4" w:space="0" w:color="auto"/>
              <w:left w:val="nil"/>
              <w:bottom w:val="single" w:sz="4" w:space="0" w:color="auto"/>
              <w:right w:val="single" w:sz="4" w:space="0" w:color="auto"/>
            </w:tcBorders>
            <w:shd w:val="clear" w:color="auto" w:fill="auto"/>
            <w:noWrap/>
            <w:vAlign w:val="bottom"/>
            <w:hideMark/>
          </w:tcPr>
          <w:p w14:paraId="126DD6C4" w14:textId="77777777" w:rsidR="000829EA" w:rsidRPr="00A77C24" w:rsidRDefault="000829EA" w:rsidP="00DF1088">
            <w:pPr>
              <w:jc w:val="center"/>
              <w:rPr>
                <w:rFonts w:ascii="Calibri" w:eastAsia="Times New Roman" w:hAnsi="Calibri" w:cs="Calibri"/>
                <w:b/>
                <w:bCs/>
                <w:color w:val="000000"/>
                <w:lang w:eastAsia="en-GB"/>
              </w:rPr>
            </w:pPr>
            <w:r w:rsidRPr="00A77C24">
              <w:rPr>
                <w:rFonts w:ascii="Calibri" w:eastAsia="Times New Roman" w:hAnsi="Calibri" w:cs="Calibri"/>
                <w:b/>
                <w:bCs/>
                <w:color w:val="000000"/>
                <w:lang w:eastAsia="en-GB"/>
              </w:rPr>
              <w:t>GP Length (µs)</w:t>
            </w:r>
          </w:p>
        </w:tc>
        <w:tc>
          <w:tcPr>
            <w:tcW w:w="2739" w:type="dxa"/>
            <w:tcBorders>
              <w:top w:val="single" w:sz="4" w:space="0" w:color="auto"/>
              <w:left w:val="nil"/>
              <w:bottom w:val="single" w:sz="4" w:space="0" w:color="auto"/>
              <w:right w:val="single" w:sz="4" w:space="0" w:color="auto"/>
            </w:tcBorders>
            <w:shd w:val="clear" w:color="auto" w:fill="auto"/>
            <w:noWrap/>
            <w:vAlign w:val="bottom"/>
            <w:hideMark/>
          </w:tcPr>
          <w:p w14:paraId="1AD4E403" w14:textId="559AB4E6" w:rsidR="000829EA" w:rsidRPr="00A77C24" w:rsidRDefault="007219A8" w:rsidP="00DF1088">
            <w:pPr>
              <w:rPr>
                <w:rFonts w:ascii="Calibri" w:eastAsia="Times New Roman" w:hAnsi="Calibri" w:cs="Calibri"/>
                <w:b/>
                <w:bCs/>
                <w:color w:val="000000"/>
                <w:lang w:eastAsia="en-GB"/>
              </w:rPr>
            </w:pPr>
            <w:r>
              <w:rPr>
                <w:rFonts w:ascii="Calibri" w:eastAsia="Times New Roman" w:hAnsi="Calibri" w:cs="Calibri"/>
                <w:b/>
                <w:bCs/>
                <w:color w:val="000000"/>
                <w:lang w:eastAsia="en-GB"/>
              </w:rPr>
              <w:t>Can 2</w:t>
            </w:r>
            <w:r w:rsidRPr="007219A8">
              <w:rPr>
                <w:rFonts w:ascii="Calibri" w:eastAsia="Times New Roman" w:hAnsi="Calibri" w:cs="Calibri"/>
                <w:b/>
                <w:bCs/>
                <w:color w:val="000000"/>
                <w:vertAlign w:val="superscript"/>
                <w:lang w:eastAsia="en-GB"/>
              </w:rPr>
              <w:t>nd</w:t>
            </w:r>
            <w:r>
              <w:rPr>
                <w:rFonts w:ascii="Calibri" w:eastAsia="Times New Roman" w:hAnsi="Calibri" w:cs="Calibri"/>
                <w:b/>
                <w:bCs/>
                <w:color w:val="000000"/>
                <w:lang w:eastAsia="en-GB"/>
              </w:rPr>
              <w:t xml:space="preserve"> LBT be avoided?</w:t>
            </w:r>
          </w:p>
        </w:tc>
      </w:tr>
      <w:tr w:rsidR="000829EA" w:rsidRPr="00A77C24" w14:paraId="673AC5D7"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3FC59348"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0</w:t>
            </w:r>
          </w:p>
        </w:tc>
        <w:tc>
          <w:tcPr>
            <w:tcW w:w="2320" w:type="dxa"/>
            <w:tcBorders>
              <w:top w:val="nil"/>
              <w:left w:val="nil"/>
              <w:bottom w:val="single" w:sz="4" w:space="0" w:color="auto"/>
              <w:right w:val="single" w:sz="4" w:space="0" w:color="auto"/>
            </w:tcBorders>
            <w:shd w:val="clear" w:color="auto" w:fill="auto"/>
            <w:noWrap/>
            <w:vAlign w:val="bottom"/>
            <w:hideMark/>
          </w:tcPr>
          <w:p w14:paraId="19B01364"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96.9</w:t>
            </w:r>
          </w:p>
        </w:tc>
        <w:tc>
          <w:tcPr>
            <w:tcW w:w="2739" w:type="dxa"/>
            <w:tcBorders>
              <w:top w:val="nil"/>
              <w:left w:val="nil"/>
              <w:bottom w:val="single" w:sz="4" w:space="0" w:color="auto"/>
              <w:right w:val="single" w:sz="4" w:space="0" w:color="auto"/>
            </w:tcBorders>
            <w:shd w:val="clear" w:color="auto" w:fill="auto"/>
            <w:noWrap/>
            <w:vAlign w:val="bottom"/>
            <w:hideMark/>
          </w:tcPr>
          <w:p w14:paraId="12E49BD4"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r w:rsidR="000829EA" w:rsidRPr="00A77C24" w14:paraId="7A825C72"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54C4C14A"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1</w:t>
            </w:r>
          </w:p>
        </w:tc>
        <w:tc>
          <w:tcPr>
            <w:tcW w:w="2320" w:type="dxa"/>
            <w:tcBorders>
              <w:top w:val="nil"/>
              <w:left w:val="nil"/>
              <w:bottom w:val="single" w:sz="4" w:space="0" w:color="auto"/>
              <w:right w:val="single" w:sz="4" w:space="0" w:color="auto"/>
            </w:tcBorders>
            <w:shd w:val="clear" w:color="auto" w:fill="auto"/>
            <w:noWrap/>
            <w:vAlign w:val="bottom"/>
            <w:hideMark/>
          </w:tcPr>
          <w:p w14:paraId="1B381B36"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716.2</w:t>
            </w:r>
          </w:p>
        </w:tc>
        <w:tc>
          <w:tcPr>
            <w:tcW w:w="2739" w:type="dxa"/>
            <w:tcBorders>
              <w:top w:val="nil"/>
              <w:left w:val="nil"/>
              <w:bottom w:val="single" w:sz="4" w:space="0" w:color="auto"/>
              <w:right w:val="single" w:sz="4" w:space="0" w:color="auto"/>
            </w:tcBorders>
            <w:shd w:val="clear" w:color="auto" w:fill="auto"/>
            <w:noWrap/>
            <w:vAlign w:val="bottom"/>
            <w:hideMark/>
          </w:tcPr>
          <w:p w14:paraId="5278AC99"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r w:rsidR="000829EA" w:rsidRPr="00A77C24" w14:paraId="7729AB0F"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76216CB5"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2</w:t>
            </w:r>
          </w:p>
        </w:tc>
        <w:tc>
          <w:tcPr>
            <w:tcW w:w="2320" w:type="dxa"/>
            <w:tcBorders>
              <w:top w:val="nil"/>
              <w:left w:val="nil"/>
              <w:bottom w:val="single" w:sz="4" w:space="0" w:color="auto"/>
              <w:right w:val="single" w:sz="4" w:space="0" w:color="auto"/>
            </w:tcBorders>
            <w:shd w:val="clear" w:color="auto" w:fill="auto"/>
            <w:noWrap/>
            <w:vAlign w:val="bottom"/>
            <w:hideMark/>
          </w:tcPr>
          <w:p w14:paraId="7B546026"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953.3</w:t>
            </w:r>
          </w:p>
        </w:tc>
        <w:tc>
          <w:tcPr>
            <w:tcW w:w="2739" w:type="dxa"/>
            <w:tcBorders>
              <w:top w:val="nil"/>
              <w:left w:val="nil"/>
              <w:bottom w:val="single" w:sz="4" w:space="0" w:color="auto"/>
              <w:right w:val="single" w:sz="4" w:space="0" w:color="auto"/>
            </w:tcBorders>
            <w:shd w:val="clear" w:color="auto" w:fill="auto"/>
            <w:noWrap/>
            <w:vAlign w:val="bottom"/>
            <w:hideMark/>
          </w:tcPr>
          <w:p w14:paraId="6EF99082"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r w:rsidR="000829EA" w:rsidRPr="00A77C24" w14:paraId="7133F030"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14944494"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3</w:t>
            </w:r>
          </w:p>
        </w:tc>
        <w:tc>
          <w:tcPr>
            <w:tcW w:w="2320" w:type="dxa"/>
            <w:tcBorders>
              <w:top w:val="nil"/>
              <w:left w:val="nil"/>
              <w:bottom w:val="single" w:sz="4" w:space="0" w:color="auto"/>
              <w:right w:val="single" w:sz="4" w:space="0" w:color="auto"/>
            </w:tcBorders>
            <w:shd w:val="clear" w:color="auto" w:fill="auto"/>
            <w:noWrap/>
            <w:vAlign w:val="bottom"/>
            <w:hideMark/>
          </w:tcPr>
          <w:p w14:paraId="1717AB6C"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96.9</w:t>
            </w:r>
          </w:p>
        </w:tc>
        <w:tc>
          <w:tcPr>
            <w:tcW w:w="2739" w:type="dxa"/>
            <w:tcBorders>
              <w:top w:val="nil"/>
              <w:left w:val="nil"/>
              <w:bottom w:val="single" w:sz="4" w:space="0" w:color="auto"/>
              <w:right w:val="single" w:sz="4" w:space="0" w:color="auto"/>
            </w:tcBorders>
            <w:shd w:val="clear" w:color="auto" w:fill="auto"/>
            <w:noWrap/>
            <w:vAlign w:val="bottom"/>
            <w:hideMark/>
          </w:tcPr>
          <w:p w14:paraId="021816EB"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r w:rsidR="007219A8" w:rsidRPr="007219A8" w14:paraId="04516F38"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709251D4"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A1</w:t>
            </w:r>
          </w:p>
        </w:tc>
        <w:tc>
          <w:tcPr>
            <w:tcW w:w="2320" w:type="dxa"/>
            <w:tcBorders>
              <w:top w:val="nil"/>
              <w:left w:val="nil"/>
              <w:bottom w:val="single" w:sz="4" w:space="0" w:color="auto"/>
              <w:right w:val="single" w:sz="4" w:space="0" w:color="auto"/>
            </w:tcBorders>
            <w:shd w:val="clear" w:color="auto" w:fill="auto"/>
            <w:noWrap/>
            <w:vAlign w:val="bottom"/>
            <w:hideMark/>
          </w:tcPr>
          <w:p w14:paraId="385A349E"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0</w:t>
            </w:r>
          </w:p>
        </w:tc>
        <w:tc>
          <w:tcPr>
            <w:tcW w:w="2739" w:type="dxa"/>
            <w:tcBorders>
              <w:top w:val="nil"/>
              <w:left w:val="nil"/>
              <w:bottom w:val="single" w:sz="4" w:space="0" w:color="auto"/>
              <w:right w:val="single" w:sz="4" w:space="0" w:color="auto"/>
            </w:tcBorders>
            <w:shd w:val="clear" w:color="auto" w:fill="auto"/>
            <w:noWrap/>
            <w:vAlign w:val="bottom"/>
            <w:hideMark/>
          </w:tcPr>
          <w:p w14:paraId="77A15BF3" w14:textId="77777777" w:rsidR="000829EA" w:rsidRPr="007219A8" w:rsidRDefault="000829EA" w:rsidP="00DF1088">
            <w:pPr>
              <w:rPr>
                <w:rFonts w:ascii="Calibri" w:eastAsia="Times New Roman" w:hAnsi="Calibri" w:cs="Calibri"/>
                <w:color w:val="00B050"/>
                <w:lang w:eastAsia="en-GB"/>
              </w:rPr>
            </w:pPr>
            <w:r w:rsidRPr="007219A8">
              <w:rPr>
                <w:rFonts w:ascii="Calibri" w:eastAsia="Times New Roman" w:hAnsi="Calibri" w:cs="Calibri"/>
                <w:color w:val="00B050"/>
                <w:lang w:eastAsia="en-GB"/>
              </w:rPr>
              <w:t>Yes</w:t>
            </w:r>
          </w:p>
        </w:tc>
      </w:tr>
      <w:tr w:rsidR="007219A8" w:rsidRPr="007219A8" w14:paraId="5E1E57F8"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43246739"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A2</w:t>
            </w:r>
          </w:p>
        </w:tc>
        <w:tc>
          <w:tcPr>
            <w:tcW w:w="2320" w:type="dxa"/>
            <w:tcBorders>
              <w:top w:val="nil"/>
              <w:left w:val="nil"/>
              <w:bottom w:val="single" w:sz="4" w:space="0" w:color="auto"/>
              <w:right w:val="single" w:sz="4" w:space="0" w:color="auto"/>
            </w:tcBorders>
            <w:shd w:val="clear" w:color="auto" w:fill="auto"/>
            <w:noWrap/>
            <w:vAlign w:val="bottom"/>
            <w:hideMark/>
          </w:tcPr>
          <w:p w14:paraId="6698D22B"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0</w:t>
            </w:r>
          </w:p>
        </w:tc>
        <w:tc>
          <w:tcPr>
            <w:tcW w:w="2739" w:type="dxa"/>
            <w:tcBorders>
              <w:top w:val="nil"/>
              <w:left w:val="nil"/>
              <w:bottom w:val="single" w:sz="4" w:space="0" w:color="auto"/>
              <w:right w:val="single" w:sz="4" w:space="0" w:color="auto"/>
            </w:tcBorders>
            <w:shd w:val="clear" w:color="auto" w:fill="auto"/>
            <w:noWrap/>
            <w:vAlign w:val="bottom"/>
            <w:hideMark/>
          </w:tcPr>
          <w:p w14:paraId="0FC39B02" w14:textId="77777777" w:rsidR="000829EA" w:rsidRPr="007219A8" w:rsidRDefault="000829EA" w:rsidP="00DF1088">
            <w:pPr>
              <w:rPr>
                <w:rFonts w:ascii="Calibri" w:eastAsia="Times New Roman" w:hAnsi="Calibri" w:cs="Calibri"/>
                <w:color w:val="00B050"/>
                <w:lang w:eastAsia="en-GB"/>
              </w:rPr>
            </w:pPr>
            <w:r w:rsidRPr="007219A8">
              <w:rPr>
                <w:rFonts w:ascii="Calibri" w:eastAsia="Times New Roman" w:hAnsi="Calibri" w:cs="Calibri"/>
                <w:color w:val="00B050"/>
                <w:lang w:eastAsia="en-GB"/>
              </w:rPr>
              <w:t>Yes</w:t>
            </w:r>
          </w:p>
        </w:tc>
      </w:tr>
      <w:tr w:rsidR="007219A8" w:rsidRPr="007219A8" w14:paraId="10F35254"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4D21A06E"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A3</w:t>
            </w:r>
          </w:p>
        </w:tc>
        <w:tc>
          <w:tcPr>
            <w:tcW w:w="2320" w:type="dxa"/>
            <w:tcBorders>
              <w:top w:val="nil"/>
              <w:left w:val="nil"/>
              <w:bottom w:val="single" w:sz="4" w:space="0" w:color="auto"/>
              <w:right w:val="single" w:sz="4" w:space="0" w:color="auto"/>
            </w:tcBorders>
            <w:shd w:val="clear" w:color="auto" w:fill="auto"/>
            <w:noWrap/>
            <w:vAlign w:val="bottom"/>
            <w:hideMark/>
          </w:tcPr>
          <w:p w14:paraId="1E1485E9"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0</w:t>
            </w:r>
          </w:p>
        </w:tc>
        <w:tc>
          <w:tcPr>
            <w:tcW w:w="2739" w:type="dxa"/>
            <w:tcBorders>
              <w:top w:val="nil"/>
              <w:left w:val="nil"/>
              <w:bottom w:val="single" w:sz="4" w:space="0" w:color="auto"/>
              <w:right w:val="single" w:sz="4" w:space="0" w:color="auto"/>
            </w:tcBorders>
            <w:shd w:val="clear" w:color="auto" w:fill="auto"/>
            <w:noWrap/>
            <w:vAlign w:val="bottom"/>
            <w:hideMark/>
          </w:tcPr>
          <w:p w14:paraId="14620F58" w14:textId="77777777" w:rsidR="000829EA" w:rsidRPr="007219A8" w:rsidRDefault="000829EA" w:rsidP="00DF1088">
            <w:pPr>
              <w:rPr>
                <w:rFonts w:ascii="Calibri" w:eastAsia="Times New Roman" w:hAnsi="Calibri" w:cs="Calibri"/>
                <w:color w:val="00B050"/>
                <w:lang w:eastAsia="en-GB"/>
              </w:rPr>
            </w:pPr>
            <w:r w:rsidRPr="007219A8">
              <w:rPr>
                <w:rFonts w:ascii="Calibri" w:eastAsia="Times New Roman" w:hAnsi="Calibri" w:cs="Calibri"/>
                <w:color w:val="00B050"/>
                <w:lang w:eastAsia="en-GB"/>
              </w:rPr>
              <w:t>Yes</w:t>
            </w:r>
          </w:p>
        </w:tc>
      </w:tr>
      <w:tr w:rsidR="007219A8" w:rsidRPr="007219A8" w14:paraId="29777A7A"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61AA0C32"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B1</w:t>
            </w:r>
          </w:p>
        </w:tc>
        <w:tc>
          <w:tcPr>
            <w:tcW w:w="2320" w:type="dxa"/>
            <w:tcBorders>
              <w:top w:val="nil"/>
              <w:left w:val="nil"/>
              <w:bottom w:val="single" w:sz="4" w:space="0" w:color="auto"/>
              <w:right w:val="single" w:sz="4" w:space="0" w:color="auto"/>
            </w:tcBorders>
            <w:shd w:val="clear" w:color="auto" w:fill="auto"/>
            <w:noWrap/>
            <w:vAlign w:val="bottom"/>
            <w:hideMark/>
          </w:tcPr>
          <w:p w14:paraId="53A2D665"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2.3</w:t>
            </w:r>
          </w:p>
        </w:tc>
        <w:tc>
          <w:tcPr>
            <w:tcW w:w="2739" w:type="dxa"/>
            <w:tcBorders>
              <w:top w:val="nil"/>
              <w:left w:val="nil"/>
              <w:bottom w:val="single" w:sz="4" w:space="0" w:color="auto"/>
              <w:right w:val="single" w:sz="4" w:space="0" w:color="auto"/>
            </w:tcBorders>
            <w:shd w:val="clear" w:color="auto" w:fill="auto"/>
            <w:noWrap/>
            <w:vAlign w:val="bottom"/>
            <w:hideMark/>
          </w:tcPr>
          <w:p w14:paraId="2907C0AD" w14:textId="77777777" w:rsidR="000829EA" w:rsidRPr="007219A8" w:rsidRDefault="000829EA" w:rsidP="00DF1088">
            <w:pPr>
              <w:rPr>
                <w:rFonts w:ascii="Calibri" w:eastAsia="Times New Roman" w:hAnsi="Calibri" w:cs="Calibri"/>
                <w:color w:val="00B050"/>
                <w:lang w:eastAsia="en-GB"/>
              </w:rPr>
            </w:pPr>
            <w:r w:rsidRPr="007219A8">
              <w:rPr>
                <w:rFonts w:ascii="Calibri" w:eastAsia="Times New Roman" w:hAnsi="Calibri" w:cs="Calibri"/>
                <w:color w:val="00B050"/>
                <w:lang w:eastAsia="en-GB"/>
              </w:rPr>
              <w:t>Yes</w:t>
            </w:r>
          </w:p>
        </w:tc>
      </w:tr>
      <w:tr w:rsidR="007219A8" w:rsidRPr="007219A8" w14:paraId="07B0F33E"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67A254B0"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B2</w:t>
            </w:r>
          </w:p>
        </w:tc>
        <w:tc>
          <w:tcPr>
            <w:tcW w:w="2320" w:type="dxa"/>
            <w:tcBorders>
              <w:top w:val="nil"/>
              <w:left w:val="nil"/>
              <w:bottom w:val="single" w:sz="4" w:space="0" w:color="auto"/>
              <w:right w:val="single" w:sz="4" w:space="0" w:color="auto"/>
            </w:tcBorders>
            <w:shd w:val="clear" w:color="auto" w:fill="auto"/>
            <w:noWrap/>
            <w:vAlign w:val="bottom"/>
            <w:hideMark/>
          </w:tcPr>
          <w:p w14:paraId="5997D0E2"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7</w:t>
            </w:r>
          </w:p>
        </w:tc>
        <w:tc>
          <w:tcPr>
            <w:tcW w:w="2739" w:type="dxa"/>
            <w:tcBorders>
              <w:top w:val="nil"/>
              <w:left w:val="nil"/>
              <w:bottom w:val="single" w:sz="4" w:space="0" w:color="auto"/>
              <w:right w:val="single" w:sz="4" w:space="0" w:color="auto"/>
            </w:tcBorders>
            <w:shd w:val="clear" w:color="auto" w:fill="auto"/>
            <w:noWrap/>
            <w:vAlign w:val="bottom"/>
            <w:hideMark/>
          </w:tcPr>
          <w:p w14:paraId="30354BFD" w14:textId="77777777" w:rsidR="000829EA" w:rsidRPr="007219A8" w:rsidRDefault="000829EA" w:rsidP="00DF1088">
            <w:pPr>
              <w:rPr>
                <w:rFonts w:ascii="Calibri" w:eastAsia="Times New Roman" w:hAnsi="Calibri" w:cs="Calibri"/>
                <w:color w:val="00B050"/>
                <w:lang w:eastAsia="en-GB"/>
              </w:rPr>
            </w:pPr>
            <w:r w:rsidRPr="007219A8">
              <w:rPr>
                <w:rFonts w:ascii="Calibri" w:eastAsia="Times New Roman" w:hAnsi="Calibri" w:cs="Calibri"/>
                <w:color w:val="00B050"/>
                <w:lang w:eastAsia="en-GB"/>
              </w:rPr>
              <w:t>Yes</w:t>
            </w:r>
          </w:p>
        </w:tc>
      </w:tr>
      <w:tr w:rsidR="007219A8" w:rsidRPr="007219A8" w14:paraId="7BE4A810"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2A704C32"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B3</w:t>
            </w:r>
          </w:p>
        </w:tc>
        <w:tc>
          <w:tcPr>
            <w:tcW w:w="2320" w:type="dxa"/>
            <w:tcBorders>
              <w:top w:val="nil"/>
              <w:left w:val="nil"/>
              <w:bottom w:val="single" w:sz="4" w:space="0" w:color="auto"/>
              <w:right w:val="single" w:sz="4" w:space="0" w:color="auto"/>
            </w:tcBorders>
            <w:shd w:val="clear" w:color="auto" w:fill="auto"/>
            <w:noWrap/>
            <w:vAlign w:val="bottom"/>
            <w:hideMark/>
          </w:tcPr>
          <w:p w14:paraId="3127D642" w14:textId="77777777" w:rsidR="000829EA" w:rsidRPr="007219A8" w:rsidRDefault="000829EA" w:rsidP="00DF1088">
            <w:pPr>
              <w:jc w:val="center"/>
              <w:rPr>
                <w:rFonts w:ascii="Calibri" w:eastAsia="Times New Roman" w:hAnsi="Calibri" w:cs="Calibri"/>
                <w:color w:val="00B050"/>
                <w:lang w:eastAsia="en-GB"/>
              </w:rPr>
            </w:pPr>
            <w:r w:rsidRPr="007219A8">
              <w:rPr>
                <w:rFonts w:ascii="Calibri" w:eastAsia="Times New Roman" w:hAnsi="Calibri" w:cs="Calibri"/>
                <w:color w:val="00B050"/>
                <w:lang w:eastAsia="en-GB"/>
              </w:rPr>
              <w:t>11.7</w:t>
            </w:r>
          </w:p>
        </w:tc>
        <w:tc>
          <w:tcPr>
            <w:tcW w:w="2739" w:type="dxa"/>
            <w:tcBorders>
              <w:top w:val="nil"/>
              <w:left w:val="nil"/>
              <w:bottom w:val="single" w:sz="4" w:space="0" w:color="auto"/>
              <w:right w:val="single" w:sz="4" w:space="0" w:color="auto"/>
            </w:tcBorders>
            <w:shd w:val="clear" w:color="auto" w:fill="auto"/>
            <w:noWrap/>
            <w:vAlign w:val="bottom"/>
            <w:hideMark/>
          </w:tcPr>
          <w:p w14:paraId="60536F60" w14:textId="77777777" w:rsidR="000829EA" w:rsidRPr="007219A8" w:rsidRDefault="000829EA" w:rsidP="00DF1088">
            <w:pPr>
              <w:rPr>
                <w:rFonts w:ascii="Calibri" w:eastAsia="Times New Roman" w:hAnsi="Calibri" w:cs="Calibri"/>
                <w:color w:val="00B050"/>
                <w:lang w:eastAsia="en-GB"/>
              </w:rPr>
            </w:pPr>
            <w:r w:rsidRPr="007219A8">
              <w:rPr>
                <w:rFonts w:ascii="Calibri" w:eastAsia="Times New Roman" w:hAnsi="Calibri" w:cs="Calibri"/>
                <w:color w:val="00B050"/>
                <w:lang w:eastAsia="en-GB"/>
              </w:rPr>
              <w:t>Yes</w:t>
            </w:r>
          </w:p>
        </w:tc>
      </w:tr>
      <w:tr w:rsidR="000829EA" w:rsidRPr="00A77C24" w14:paraId="0E9818EB"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0E106720"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B4</w:t>
            </w:r>
          </w:p>
        </w:tc>
        <w:tc>
          <w:tcPr>
            <w:tcW w:w="2320" w:type="dxa"/>
            <w:tcBorders>
              <w:top w:val="nil"/>
              <w:left w:val="nil"/>
              <w:bottom w:val="single" w:sz="4" w:space="0" w:color="auto"/>
              <w:right w:val="single" w:sz="4" w:space="0" w:color="auto"/>
            </w:tcBorders>
            <w:shd w:val="clear" w:color="auto" w:fill="auto"/>
            <w:noWrap/>
            <w:vAlign w:val="bottom"/>
            <w:hideMark/>
          </w:tcPr>
          <w:p w14:paraId="2650ED1A"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25.8</w:t>
            </w:r>
          </w:p>
        </w:tc>
        <w:tc>
          <w:tcPr>
            <w:tcW w:w="2739" w:type="dxa"/>
            <w:tcBorders>
              <w:top w:val="nil"/>
              <w:left w:val="nil"/>
              <w:bottom w:val="single" w:sz="4" w:space="0" w:color="auto"/>
              <w:right w:val="single" w:sz="4" w:space="0" w:color="auto"/>
            </w:tcBorders>
            <w:shd w:val="clear" w:color="auto" w:fill="auto"/>
            <w:noWrap/>
            <w:vAlign w:val="bottom"/>
            <w:hideMark/>
          </w:tcPr>
          <w:p w14:paraId="09A4B3F3"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r w:rsidR="000829EA" w:rsidRPr="00A77C24" w14:paraId="3AB1EAD6"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7C00A637"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C0</w:t>
            </w:r>
          </w:p>
        </w:tc>
        <w:tc>
          <w:tcPr>
            <w:tcW w:w="2320" w:type="dxa"/>
            <w:tcBorders>
              <w:top w:val="nil"/>
              <w:left w:val="nil"/>
              <w:bottom w:val="single" w:sz="4" w:space="0" w:color="auto"/>
              <w:right w:val="single" w:sz="4" w:space="0" w:color="auto"/>
            </w:tcBorders>
            <w:shd w:val="clear" w:color="auto" w:fill="auto"/>
            <w:noWrap/>
            <w:vAlign w:val="bottom"/>
            <w:hideMark/>
          </w:tcPr>
          <w:p w14:paraId="3FF58AAF"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37</w:t>
            </w:r>
          </w:p>
        </w:tc>
        <w:tc>
          <w:tcPr>
            <w:tcW w:w="2739" w:type="dxa"/>
            <w:tcBorders>
              <w:top w:val="nil"/>
              <w:left w:val="nil"/>
              <w:bottom w:val="single" w:sz="4" w:space="0" w:color="auto"/>
              <w:right w:val="single" w:sz="4" w:space="0" w:color="auto"/>
            </w:tcBorders>
            <w:shd w:val="clear" w:color="auto" w:fill="auto"/>
            <w:noWrap/>
            <w:vAlign w:val="bottom"/>
            <w:hideMark/>
          </w:tcPr>
          <w:p w14:paraId="49D63B68"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r w:rsidR="000829EA" w:rsidRPr="00A77C24" w14:paraId="5FE628A7" w14:textId="77777777" w:rsidTr="007219A8">
        <w:trPr>
          <w:trHeight w:val="300"/>
          <w:jc w:val="center"/>
        </w:trPr>
        <w:tc>
          <w:tcPr>
            <w:tcW w:w="1882" w:type="dxa"/>
            <w:tcBorders>
              <w:top w:val="nil"/>
              <w:left w:val="single" w:sz="4" w:space="0" w:color="auto"/>
              <w:bottom w:val="single" w:sz="4" w:space="0" w:color="auto"/>
              <w:right w:val="single" w:sz="4" w:space="0" w:color="auto"/>
            </w:tcBorders>
            <w:shd w:val="clear" w:color="auto" w:fill="auto"/>
            <w:noWrap/>
            <w:vAlign w:val="bottom"/>
            <w:hideMark/>
          </w:tcPr>
          <w:p w14:paraId="568AD65A"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C2</w:t>
            </w:r>
          </w:p>
        </w:tc>
        <w:tc>
          <w:tcPr>
            <w:tcW w:w="2320" w:type="dxa"/>
            <w:tcBorders>
              <w:top w:val="nil"/>
              <w:left w:val="nil"/>
              <w:bottom w:val="single" w:sz="4" w:space="0" w:color="auto"/>
              <w:right w:val="single" w:sz="4" w:space="0" w:color="auto"/>
            </w:tcBorders>
            <w:shd w:val="clear" w:color="auto" w:fill="auto"/>
            <w:noWrap/>
            <w:vAlign w:val="bottom"/>
            <w:hideMark/>
          </w:tcPr>
          <w:p w14:paraId="274E26E5" w14:textId="77777777" w:rsidR="000829EA" w:rsidRPr="00A77C24" w:rsidRDefault="000829EA" w:rsidP="00DF1088">
            <w:pPr>
              <w:jc w:val="center"/>
              <w:rPr>
                <w:rFonts w:ascii="Calibri" w:eastAsia="Times New Roman" w:hAnsi="Calibri" w:cs="Calibri"/>
                <w:color w:val="000000"/>
                <w:lang w:eastAsia="en-GB"/>
              </w:rPr>
            </w:pPr>
            <w:r w:rsidRPr="00A77C24">
              <w:rPr>
                <w:rFonts w:ascii="Calibri" w:eastAsia="Times New Roman" w:hAnsi="Calibri" w:cs="Calibri"/>
                <w:color w:val="000000"/>
                <w:lang w:eastAsia="en-GB"/>
              </w:rPr>
              <w:t>94.8</w:t>
            </w:r>
          </w:p>
        </w:tc>
        <w:tc>
          <w:tcPr>
            <w:tcW w:w="2739" w:type="dxa"/>
            <w:tcBorders>
              <w:top w:val="nil"/>
              <w:left w:val="nil"/>
              <w:bottom w:val="single" w:sz="4" w:space="0" w:color="auto"/>
              <w:right w:val="single" w:sz="4" w:space="0" w:color="auto"/>
            </w:tcBorders>
            <w:shd w:val="clear" w:color="auto" w:fill="auto"/>
            <w:noWrap/>
            <w:vAlign w:val="bottom"/>
            <w:hideMark/>
          </w:tcPr>
          <w:p w14:paraId="7C36DDC1" w14:textId="77777777" w:rsidR="000829EA" w:rsidRPr="00A77C24" w:rsidRDefault="000829EA" w:rsidP="00DF1088">
            <w:pPr>
              <w:rPr>
                <w:rFonts w:ascii="Calibri" w:eastAsia="Times New Roman" w:hAnsi="Calibri" w:cs="Calibri"/>
                <w:color w:val="000000"/>
                <w:lang w:eastAsia="en-GB"/>
              </w:rPr>
            </w:pPr>
            <w:r w:rsidRPr="00A77C24">
              <w:rPr>
                <w:rFonts w:ascii="Calibri" w:eastAsia="Times New Roman" w:hAnsi="Calibri" w:cs="Calibri"/>
                <w:color w:val="000000"/>
                <w:lang w:eastAsia="en-GB"/>
              </w:rPr>
              <w:t>No</w:t>
            </w:r>
          </w:p>
        </w:tc>
      </w:tr>
    </w:tbl>
    <w:p w14:paraId="1BB26C1B" w14:textId="77777777" w:rsidR="000829EA" w:rsidRDefault="000829EA" w:rsidP="000829EA"/>
    <w:p w14:paraId="2DB6F4D6" w14:textId="0D5EAE0E" w:rsidR="00F1477E" w:rsidRPr="000829EA" w:rsidRDefault="005A4950" w:rsidP="00F1477E">
      <w:r>
        <w:rPr>
          <w:b/>
        </w:rPr>
        <w:t>Observation</w:t>
      </w:r>
      <w:r w:rsidR="00F1477E">
        <w:rPr>
          <w:b/>
        </w:rPr>
        <w:t xml:space="preserve"> 1</w:t>
      </w:r>
      <w:r w:rsidR="00F1477E" w:rsidRPr="00A77C24">
        <w:rPr>
          <w:b/>
        </w:rPr>
        <w:t xml:space="preserve">: </w:t>
      </w:r>
      <w:r>
        <w:rPr>
          <w:b/>
        </w:rPr>
        <w:t>P</w:t>
      </w:r>
      <w:r w:rsidR="00F1477E" w:rsidRPr="00A77C24">
        <w:rPr>
          <w:b/>
        </w:rPr>
        <w:t>reamble formats A1, A2, A3</w:t>
      </w:r>
      <w:r w:rsidR="00F1477E">
        <w:rPr>
          <w:b/>
        </w:rPr>
        <w:t xml:space="preserve">, </w:t>
      </w:r>
      <w:r w:rsidR="00F1477E" w:rsidRPr="00A77C24">
        <w:rPr>
          <w:b/>
        </w:rPr>
        <w:t xml:space="preserve">B1, B2 and B3 </w:t>
      </w:r>
      <w:r w:rsidR="007219A8">
        <w:rPr>
          <w:b/>
        </w:rPr>
        <w:t>allow</w:t>
      </w:r>
      <w:r w:rsidR="00F1477E" w:rsidRPr="00A77C24">
        <w:rPr>
          <w:b/>
        </w:rPr>
        <w:t xml:space="preserve"> </w:t>
      </w:r>
      <w:r w:rsidR="007219A8">
        <w:rPr>
          <w:b/>
        </w:rPr>
        <w:t>MSGA transmission with single LBT step</w:t>
      </w:r>
      <w:r w:rsidR="00F1477E" w:rsidRPr="00A77C24">
        <w:rPr>
          <w:b/>
        </w:rPr>
        <w:t xml:space="preserve"> in NR-U.</w:t>
      </w:r>
      <w:r>
        <w:rPr>
          <w:b/>
        </w:rPr>
        <w:t xml:space="preserve"> For the remaining preamble formats a second LBT step is necessary. </w:t>
      </w:r>
    </w:p>
    <w:p w14:paraId="7D2B8EDC" w14:textId="1668ACBD" w:rsidR="00137540" w:rsidRDefault="00137540" w:rsidP="00F1477E"/>
    <w:p w14:paraId="5F8E09DF" w14:textId="448CEEDF" w:rsidR="000829EA" w:rsidRDefault="007219A8" w:rsidP="000829EA">
      <w:r>
        <w:t>Then the next question is regarding the TDM separation (i.e the TDM_SEP in Fig1) between the RO and PO. It has been agreed that this gap is configurable</w:t>
      </w:r>
      <w:r w:rsidR="006157A1">
        <w:t xml:space="preserve"> for 2-step RACH. </w:t>
      </w:r>
      <w:r w:rsidR="000829EA">
        <w:t xml:space="preserve">Note that the </w:t>
      </w:r>
      <w:r w:rsidR="000829EA" w:rsidRPr="00186A47">
        <w:rPr>
          <w:i/>
        </w:rPr>
        <w:t>TDM_sep</w:t>
      </w:r>
      <w:r w:rsidR="000829EA">
        <w:t xml:space="preserve"> should be in the integer multiples of OFDM symbols. </w:t>
      </w:r>
      <w:r w:rsidR="006157A1">
        <w:t xml:space="preserve">The total gap (including the GP and the TDM_SEP) should be below 16 us to allow single LBT. So, </w:t>
      </w:r>
      <w:r w:rsidR="005A4950">
        <w:t>t</w:t>
      </w:r>
      <w:r w:rsidR="000829EA">
        <w:t xml:space="preserve">he </w:t>
      </w:r>
      <w:r w:rsidR="005A4950">
        <w:t xml:space="preserve">number of </w:t>
      </w:r>
      <w:r w:rsidR="000829EA">
        <w:t>OFDM symbol</w:t>
      </w:r>
      <w:r w:rsidR="005A4950">
        <w:t>s gap that can be there between the RO and PO to avoid 2</w:t>
      </w:r>
      <w:r w:rsidR="005A4950" w:rsidRPr="005A4950">
        <w:rPr>
          <w:vertAlign w:val="superscript"/>
        </w:rPr>
        <w:t>nd</w:t>
      </w:r>
      <w:r w:rsidR="005A4950">
        <w:t xml:space="preserve"> LBT step </w:t>
      </w:r>
      <w:r w:rsidR="000829EA">
        <w:t xml:space="preserve">is given below: </w:t>
      </w:r>
    </w:p>
    <w:p w14:paraId="65160E7A" w14:textId="77777777" w:rsidR="000829EA" w:rsidRDefault="000829EA" w:rsidP="000829EA"/>
    <w:p w14:paraId="60800F00" w14:textId="70DC304A" w:rsidR="005A4950" w:rsidRDefault="005A4950" w:rsidP="005A4950">
      <w:pPr>
        <w:pStyle w:val="Caption"/>
        <w:keepNext/>
        <w:jc w:val="center"/>
      </w:pPr>
      <w:r>
        <w:lastRenderedPageBreak/>
        <w:t xml:space="preserve">Table </w:t>
      </w:r>
      <w:r w:rsidR="00A36158">
        <w:fldChar w:fldCharType="begin"/>
      </w:r>
      <w:r w:rsidR="00A36158">
        <w:instrText xml:space="preserve"> SEQ Table \* ARABIC </w:instrText>
      </w:r>
      <w:r w:rsidR="00A36158">
        <w:fldChar w:fldCharType="separate"/>
      </w:r>
      <w:r>
        <w:rPr>
          <w:noProof/>
        </w:rPr>
        <w:t>1</w:t>
      </w:r>
      <w:r w:rsidR="00A36158">
        <w:rPr>
          <w:noProof/>
        </w:rPr>
        <w:fldChar w:fldCharType="end"/>
      </w:r>
      <w:r>
        <w:t>: TDM separation to ensure single LBT step for various SCS</w:t>
      </w:r>
    </w:p>
    <w:tbl>
      <w:tblPr>
        <w:tblW w:w="8642" w:type="dxa"/>
        <w:jc w:val="center"/>
        <w:tblLook w:val="04A0" w:firstRow="1" w:lastRow="0" w:firstColumn="1" w:lastColumn="0" w:noHBand="0" w:noVBand="1"/>
      </w:tblPr>
      <w:tblGrid>
        <w:gridCol w:w="1202"/>
        <w:gridCol w:w="2104"/>
        <w:gridCol w:w="5336"/>
      </w:tblGrid>
      <w:tr w:rsidR="006157A1" w:rsidRPr="00A77C24" w14:paraId="6F4D2862" w14:textId="32B602F0" w:rsidTr="00566123">
        <w:trPr>
          <w:trHeight w:val="345"/>
          <w:jc w:val="center"/>
        </w:trPr>
        <w:tc>
          <w:tcPr>
            <w:tcW w:w="1202" w:type="dxa"/>
            <w:tcBorders>
              <w:top w:val="single" w:sz="4" w:space="0" w:color="auto"/>
              <w:left w:val="single" w:sz="4" w:space="0" w:color="auto"/>
              <w:bottom w:val="single" w:sz="4" w:space="0" w:color="auto"/>
              <w:right w:val="single" w:sz="4" w:space="0" w:color="auto"/>
            </w:tcBorders>
            <w:shd w:val="clear" w:color="auto" w:fill="87D7FF" w:themeFill="text1" w:themeFillTint="66"/>
            <w:vAlign w:val="center"/>
            <w:hideMark/>
          </w:tcPr>
          <w:p w14:paraId="671D93E4"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SCS</w:t>
            </w:r>
          </w:p>
        </w:tc>
        <w:tc>
          <w:tcPr>
            <w:tcW w:w="2104" w:type="dxa"/>
            <w:tcBorders>
              <w:top w:val="single" w:sz="4" w:space="0" w:color="auto"/>
              <w:left w:val="nil"/>
              <w:bottom w:val="single" w:sz="4" w:space="0" w:color="auto"/>
              <w:right w:val="single" w:sz="4" w:space="0" w:color="auto"/>
            </w:tcBorders>
            <w:shd w:val="clear" w:color="auto" w:fill="87D7FF" w:themeFill="text1" w:themeFillTint="66"/>
            <w:vAlign w:val="center"/>
            <w:hideMark/>
          </w:tcPr>
          <w:p w14:paraId="74BF7089"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Symbol duration</w:t>
            </w:r>
          </w:p>
        </w:tc>
        <w:tc>
          <w:tcPr>
            <w:tcW w:w="5336" w:type="dxa"/>
            <w:tcBorders>
              <w:top w:val="single" w:sz="4" w:space="0" w:color="auto"/>
              <w:left w:val="nil"/>
              <w:bottom w:val="single" w:sz="4" w:space="0" w:color="auto"/>
              <w:right w:val="single" w:sz="4" w:space="0" w:color="auto"/>
            </w:tcBorders>
            <w:shd w:val="clear" w:color="auto" w:fill="87D7FF" w:themeFill="text1" w:themeFillTint="66"/>
          </w:tcPr>
          <w:p w14:paraId="0B9B747A" w14:textId="7F9DFE60" w:rsidR="006157A1" w:rsidRPr="00A77C24" w:rsidRDefault="006157A1"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TDM_SEP (#OFDM symbols) allowed to ensure no 2</w:t>
            </w:r>
            <w:r w:rsidRPr="006157A1">
              <w:rPr>
                <w:rFonts w:ascii="Segoe UI" w:eastAsia="Times New Roman" w:hAnsi="Segoe UI" w:cs="Segoe UI"/>
                <w:color w:val="000000"/>
                <w:sz w:val="24"/>
                <w:vertAlign w:val="superscript"/>
                <w:lang w:eastAsia="en-GB"/>
              </w:rPr>
              <w:t>nd</w:t>
            </w:r>
            <w:r>
              <w:rPr>
                <w:rFonts w:ascii="Segoe UI" w:eastAsia="Times New Roman" w:hAnsi="Segoe UI" w:cs="Segoe UI"/>
                <w:color w:val="000000"/>
                <w:sz w:val="24"/>
                <w:lang w:eastAsia="en-GB"/>
              </w:rPr>
              <w:t xml:space="preserve"> LBT</w:t>
            </w:r>
          </w:p>
        </w:tc>
      </w:tr>
      <w:tr w:rsidR="006157A1" w:rsidRPr="00A77C24" w14:paraId="64ECFB1F" w14:textId="65D02424" w:rsidTr="00566123">
        <w:trPr>
          <w:trHeight w:val="690"/>
          <w:jc w:val="center"/>
        </w:trPr>
        <w:tc>
          <w:tcPr>
            <w:tcW w:w="1202" w:type="dxa"/>
            <w:tcBorders>
              <w:top w:val="nil"/>
              <w:left w:val="single" w:sz="4" w:space="0" w:color="auto"/>
              <w:bottom w:val="single" w:sz="4" w:space="0" w:color="auto"/>
              <w:right w:val="single" w:sz="4" w:space="0" w:color="auto"/>
            </w:tcBorders>
            <w:shd w:val="clear" w:color="auto" w:fill="auto"/>
            <w:vAlign w:val="center"/>
            <w:hideMark/>
          </w:tcPr>
          <w:p w14:paraId="7E13381A"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15 kHz</w:t>
            </w:r>
          </w:p>
        </w:tc>
        <w:tc>
          <w:tcPr>
            <w:tcW w:w="2104" w:type="dxa"/>
            <w:tcBorders>
              <w:top w:val="nil"/>
              <w:left w:val="nil"/>
              <w:bottom w:val="single" w:sz="4" w:space="0" w:color="auto"/>
              <w:right w:val="single" w:sz="4" w:space="0" w:color="auto"/>
            </w:tcBorders>
            <w:shd w:val="clear" w:color="auto" w:fill="auto"/>
            <w:vAlign w:val="center"/>
            <w:hideMark/>
          </w:tcPr>
          <w:p w14:paraId="425C2B11"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71.43 μs</w:t>
            </w:r>
          </w:p>
        </w:tc>
        <w:tc>
          <w:tcPr>
            <w:tcW w:w="5336" w:type="dxa"/>
            <w:tcBorders>
              <w:top w:val="nil"/>
              <w:left w:val="nil"/>
              <w:bottom w:val="single" w:sz="4" w:space="0" w:color="auto"/>
              <w:right w:val="single" w:sz="4" w:space="0" w:color="auto"/>
            </w:tcBorders>
          </w:tcPr>
          <w:p w14:paraId="7D075F47" w14:textId="3FBDDBE1" w:rsidR="006157A1" w:rsidRPr="00A77C24" w:rsidRDefault="006157A1"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0</w:t>
            </w:r>
            <w:r w:rsidR="005A4950">
              <w:rPr>
                <w:rFonts w:ascii="Segoe UI" w:eastAsia="Times New Roman" w:hAnsi="Segoe UI" w:cs="Segoe UI"/>
                <w:color w:val="000000"/>
                <w:sz w:val="24"/>
                <w:lang w:eastAsia="en-GB"/>
              </w:rPr>
              <w:t xml:space="preserve"> symbols for all preamble formats</w:t>
            </w:r>
          </w:p>
        </w:tc>
      </w:tr>
      <w:tr w:rsidR="005A4950" w:rsidRPr="00A77C24" w14:paraId="19AC19FE" w14:textId="1EDF1DB5" w:rsidTr="00566123">
        <w:trPr>
          <w:trHeight w:val="690"/>
          <w:jc w:val="center"/>
        </w:trPr>
        <w:tc>
          <w:tcPr>
            <w:tcW w:w="1202" w:type="dxa"/>
            <w:tcBorders>
              <w:top w:val="nil"/>
              <w:left w:val="single" w:sz="4" w:space="0" w:color="auto"/>
              <w:bottom w:val="single" w:sz="4" w:space="0" w:color="auto"/>
              <w:right w:val="single" w:sz="4" w:space="0" w:color="auto"/>
            </w:tcBorders>
            <w:shd w:val="clear" w:color="auto" w:fill="auto"/>
            <w:vAlign w:val="center"/>
            <w:hideMark/>
          </w:tcPr>
          <w:p w14:paraId="726ACD31" w14:textId="77777777" w:rsidR="005A4950" w:rsidRPr="00A77C24" w:rsidRDefault="005A4950"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30 kHz</w:t>
            </w:r>
          </w:p>
        </w:tc>
        <w:tc>
          <w:tcPr>
            <w:tcW w:w="2104" w:type="dxa"/>
            <w:tcBorders>
              <w:top w:val="nil"/>
              <w:left w:val="nil"/>
              <w:bottom w:val="single" w:sz="4" w:space="0" w:color="auto"/>
              <w:right w:val="single" w:sz="4" w:space="0" w:color="auto"/>
            </w:tcBorders>
            <w:shd w:val="clear" w:color="auto" w:fill="auto"/>
            <w:vAlign w:val="center"/>
            <w:hideMark/>
          </w:tcPr>
          <w:p w14:paraId="064ED773" w14:textId="77777777" w:rsidR="005A4950" w:rsidRPr="00A77C24" w:rsidRDefault="005A4950"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35.71 μs</w:t>
            </w:r>
          </w:p>
        </w:tc>
        <w:tc>
          <w:tcPr>
            <w:tcW w:w="5336" w:type="dxa"/>
            <w:tcBorders>
              <w:top w:val="nil"/>
              <w:left w:val="nil"/>
              <w:bottom w:val="single" w:sz="4" w:space="0" w:color="auto"/>
              <w:right w:val="single" w:sz="4" w:space="0" w:color="auto"/>
            </w:tcBorders>
          </w:tcPr>
          <w:p w14:paraId="7083666B" w14:textId="7560910C" w:rsidR="005A4950" w:rsidRPr="00A77C24" w:rsidRDefault="005A4950"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0 symbols for all preamble formats</w:t>
            </w:r>
          </w:p>
        </w:tc>
      </w:tr>
      <w:tr w:rsidR="005A4950" w:rsidRPr="00A77C24" w14:paraId="72B90186" w14:textId="7BFD0384" w:rsidTr="00566123">
        <w:trPr>
          <w:trHeight w:val="690"/>
          <w:jc w:val="center"/>
        </w:trPr>
        <w:tc>
          <w:tcPr>
            <w:tcW w:w="1202" w:type="dxa"/>
            <w:tcBorders>
              <w:top w:val="nil"/>
              <w:left w:val="single" w:sz="4" w:space="0" w:color="auto"/>
              <w:bottom w:val="single" w:sz="4" w:space="0" w:color="auto"/>
              <w:right w:val="single" w:sz="4" w:space="0" w:color="auto"/>
            </w:tcBorders>
            <w:shd w:val="clear" w:color="auto" w:fill="auto"/>
            <w:vAlign w:val="center"/>
            <w:hideMark/>
          </w:tcPr>
          <w:p w14:paraId="7A6DD620" w14:textId="77777777" w:rsidR="005A4950" w:rsidRPr="00A77C24" w:rsidRDefault="005A4950"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60 kHz</w:t>
            </w:r>
          </w:p>
        </w:tc>
        <w:tc>
          <w:tcPr>
            <w:tcW w:w="2104" w:type="dxa"/>
            <w:tcBorders>
              <w:top w:val="nil"/>
              <w:left w:val="nil"/>
              <w:bottom w:val="single" w:sz="4" w:space="0" w:color="auto"/>
              <w:right w:val="single" w:sz="4" w:space="0" w:color="auto"/>
            </w:tcBorders>
            <w:shd w:val="clear" w:color="auto" w:fill="auto"/>
            <w:vAlign w:val="center"/>
            <w:hideMark/>
          </w:tcPr>
          <w:p w14:paraId="62BC73F2" w14:textId="77777777" w:rsidR="005A4950" w:rsidRPr="00A77C24" w:rsidRDefault="005A4950"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17.86 μs</w:t>
            </w:r>
          </w:p>
        </w:tc>
        <w:tc>
          <w:tcPr>
            <w:tcW w:w="5336" w:type="dxa"/>
            <w:tcBorders>
              <w:top w:val="nil"/>
              <w:left w:val="nil"/>
              <w:bottom w:val="single" w:sz="4" w:space="0" w:color="auto"/>
              <w:right w:val="single" w:sz="4" w:space="0" w:color="auto"/>
            </w:tcBorders>
          </w:tcPr>
          <w:p w14:paraId="347CC77B" w14:textId="6F9D1381" w:rsidR="005A4950" w:rsidRPr="00A77C24" w:rsidRDefault="005A4950"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0 symbols for all preamble formats</w:t>
            </w:r>
          </w:p>
        </w:tc>
      </w:tr>
      <w:tr w:rsidR="006157A1" w:rsidRPr="00A77C24" w14:paraId="101188FA" w14:textId="31FD7C25" w:rsidTr="00566123">
        <w:trPr>
          <w:trHeight w:val="690"/>
          <w:jc w:val="center"/>
        </w:trPr>
        <w:tc>
          <w:tcPr>
            <w:tcW w:w="1202" w:type="dxa"/>
            <w:tcBorders>
              <w:top w:val="nil"/>
              <w:left w:val="single" w:sz="4" w:space="0" w:color="auto"/>
              <w:bottom w:val="single" w:sz="4" w:space="0" w:color="auto"/>
              <w:right w:val="single" w:sz="4" w:space="0" w:color="auto"/>
            </w:tcBorders>
            <w:shd w:val="clear" w:color="auto" w:fill="auto"/>
            <w:vAlign w:val="center"/>
            <w:hideMark/>
          </w:tcPr>
          <w:p w14:paraId="3E7C6020"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120 kHz</w:t>
            </w:r>
          </w:p>
        </w:tc>
        <w:tc>
          <w:tcPr>
            <w:tcW w:w="2104" w:type="dxa"/>
            <w:tcBorders>
              <w:top w:val="nil"/>
              <w:left w:val="nil"/>
              <w:bottom w:val="single" w:sz="4" w:space="0" w:color="auto"/>
              <w:right w:val="single" w:sz="4" w:space="0" w:color="auto"/>
            </w:tcBorders>
            <w:shd w:val="clear" w:color="auto" w:fill="auto"/>
            <w:vAlign w:val="center"/>
            <w:hideMark/>
          </w:tcPr>
          <w:p w14:paraId="44807B93"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8.93 μs</w:t>
            </w:r>
          </w:p>
        </w:tc>
        <w:tc>
          <w:tcPr>
            <w:tcW w:w="5336" w:type="dxa"/>
            <w:tcBorders>
              <w:top w:val="nil"/>
              <w:left w:val="nil"/>
              <w:bottom w:val="single" w:sz="4" w:space="0" w:color="auto"/>
              <w:right w:val="single" w:sz="4" w:space="0" w:color="auto"/>
            </w:tcBorders>
          </w:tcPr>
          <w:p w14:paraId="3CEB786B" w14:textId="7F4E7172" w:rsidR="006157A1" w:rsidRDefault="005A4950"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 xml:space="preserve">Up to </w:t>
            </w:r>
            <w:r w:rsidR="006157A1">
              <w:rPr>
                <w:rFonts w:ascii="Segoe UI" w:eastAsia="Times New Roman" w:hAnsi="Segoe UI" w:cs="Segoe UI"/>
                <w:color w:val="000000"/>
                <w:sz w:val="24"/>
                <w:lang w:eastAsia="en-GB"/>
              </w:rPr>
              <w:t>1</w:t>
            </w:r>
            <w:r>
              <w:rPr>
                <w:rFonts w:ascii="Segoe UI" w:eastAsia="Times New Roman" w:hAnsi="Segoe UI" w:cs="Segoe UI"/>
                <w:color w:val="000000"/>
                <w:sz w:val="24"/>
                <w:lang w:eastAsia="en-GB"/>
              </w:rPr>
              <w:t xml:space="preserve"> symbol</w:t>
            </w:r>
            <w:r w:rsidR="006157A1">
              <w:rPr>
                <w:rFonts w:ascii="Segoe UI" w:eastAsia="Times New Roman" w:hAnsi="Segoe UI" w:cs="Segoe UI"/>
                <w:color w:val="000000"/>
                <w:sz w:val="24"/>
                <w:lang w:eastAsia="en-GB"/>
              </w:rPr>
              <w:t xml:space="preserve"> (for preamble formats A1, A2, A3, B1 and B2),</w:t>
            </w:r>
          </w:p>
          <w:p w14:paraId="649075B3" w14:textId="60FF8DFF" w:rsidR="006157A1" w:rsidRPr="00A77C24" w:rsidRDefault="006157A1"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 xml:space="preserve">0 </w:t>
            </w:r>
            <w:r w:rsidR="005A4950">
              <w:rPr>
                <w:rFonts w:ascii="Segoe UI" w:eastAsia="Times New Roman" w:hAnsi="Segoe UI" w:cs="Segoe UI"/>
                <w:color w:val="000000"/>
                <w:sz w:val="24"/>
                <w:lang w:eastAsia="en-GB"/>
              </w:rPr>
              <w:t xml:space="preserve">symbols </w:t>
            </w:r>
            <w:r>
              <w:rPr>
                <w:rFonts w:ascii="Segoe UI" w:eastAsia="Times New Roman" w:hAnsi="Segoe UI" w:cs="Segoe UI"/>
                <w:color w:val="000000"/>
                <w:sz w:val="24"/>
                <w:lang w:eastAsia="en-GB"/>
              </w:rPr>
              <w:t>(for preamble format B3)</w:t>
            </w:r>
          </w:p>
        </w:tc>
      </w:tr>
      <w:tr w:rsidR="006157A1" w:rsidRPr="00A77C24" w14:paraId="6A651924" w14:textId="15004133" w:rsidTr="00566123">
        <w:trPr>
          <w:trHeight w:val="690"/>
          <w:jc w:val="center"/>
        </w:trPr>
        <w:tc>
          <w:tcPr>
            <w:tcW w:w="1202" w:type="dxa"/>
            <w:tcBorders>
              <w:top w:val="nil"/>
              <w:left w:val="single" w:sz="4" w:space="0" w:color="auto"/>
              <w:bottom w:val="single" w:sz="4" w:space="0" w:color="auto"/>
              <w:right w:val="single" w:sz="4" w:space="0" w:color="auto"/>
            </w:tcBorders>
            <w:shd w:val="clear" w:color="auto" w:fill="auto"/>
            <w:vAlign w:val="center"/>
            <w:hideMark/>
          </w:tcPr>
          <w:p w14:paraId="0BC098BE"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240 kHz</w:t>
            </w:r>
          </w:p>
        </w:tc>
        <w:tc>
          <w:tcPr>
            <w:tcW w:w="2104" w:type="dxa"/>
            <w:tcBorders>
              <w:top w:val="nil"/>
              <w:left w:val="nil"/>
              <w:bottom w:val="single" w:sz="4" w:space="0" w:color="auto"/>
              <w:right w:val="single" w:sz="4" w:space="0" w:color="auto"/>
            </w:tcBorders>
            <w:shd w:val="clear" w:color="auto" w:fill="auto"/>
            <w:vAlign w:val="center"/>
            <w:hideMark/>
          </w:tcPr>
          <w:p w14:paraId="76B07428" w14:textId="77777777" w:rsidR="006157A1" w:rsidRPr="00A77C24" w:rsidRDefault="006157A1" w:rsidP="00566123">
            <w:pPr>
              <w:jc w:val="center"/>
              <w:rPr>
                <w:rFonts w:ascii="Segoe UI" w:eastAsia="Times New Roman" w:hAnsi="Segoe UI" w:cs="Segoe UI"/>
                <w:color w:val="000000"/>
                <w:sz w:val="24"/>
                <w:lang w:eastAsia="en-GB"/>
              </w:rPr>
            </w:pPr>
            <w:r w:rsidRPr="00A77C24">
              <w:rPr>
                <w:rFonts w:ascii="Segoe UI" w:eastAsia="Times New Roman" w:hAnsi="Segoe UI" w:cs="Segoe UI"/>
                <w:color w:val="000000"/>
                <w:sz w:val="24"/>
                <w:lang w:eastAsia="en-GB"/>
              </w:rPr>
              <w:t>4.46 μs</w:t>
            </w:r>
          </w:p>
        </w:tc>
        <w:tc>
          <w:tcPr>
            <w:tcW w:w="5336" w:type="dxa"/>
            <w:tcBorders>
              <w:top w:val="nil"/>
              <w:left w:val="nil"/>
              <w:bottom w:val="single" w:sz="4" w:space="0" w:color="auto"/>
              <w:right w:val="single" w:sz="4" w:space="0" w:color="auto"/>
            </w:tcBorders>
          </w:tcPr>
          <w:p w14:paraId="5201D9EE" w14:textId="28C63556" w:rsidR="006157A1" w:rsidRDefault="005A4950"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Up to 3 symbols for A1, A2, A3 and B1</w:t>
            </w:r>
          </w:p>
          <w:p w14:paraId="28B53945" w14:textId="77777777" w:rsidR="005A4950" w:rsidRDefault="005A4950"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Up to 2 symbols for B2</w:t>
            </w:r>
          </w:p>
          <w:p w14:paraId="45D20DF4" w14:textId="7FCB4BEB" w:rsidR="005A4950" w:rsidRPr="00A77C24" w:rsidRDefault="005A4950" w:rsidP="00566123">
            <w:pPr>
              <w:jc w:val="center"/>
              <w:rPr>
                <w:rFonts w:ascii="Segoe UI" w:eastAsia="Times New Roman" w:hAnsi="Segoe UI" w:cs="Segoe UI"/>
                <w:color w:val="000000"/>
                <w:sz w:val="24"/>
                <w:lang w:eastAsia="en-GB"/>
              </w:rPr>
            </w:pPr>
            <w:r>
              <w:rPr>
                <w:rFonts w:ascii="Segoe UI" w:eastAsia="Times New Roman" w:hAnsi="Segoe UI" w:cs="Segoe UI"/>
                <w:color w:val="000000"/>
                <w:sz w:val="24"/>
                <w:lang w:eastAsia="en-GB"/>
              </w:rPr>
              <w:t>0 symbols for B3</w:t>
            </w:r>
          </w:p>
        </w:tc>
      </w:tr>
    </w:tbl>
    <w:p w14:paraId="43826899" w14:textId="77777777" w:rsidR="000829EA" w:rsidRDefault="000829EA" w:rsidP="000829EA"/>
    <w:p w14:paraId="2A9A1DE5" w14:textId="77777777" w:rsidR="005A4950" w:rsidRPr="005A4950" w:rsidRDefault="005A4950" w:rsidP="00F1477E">
      <w:pPr>
        <w:rPr>
          <w:b/>
          <w:bCs/>
        </w:rPr>
      </w:pPr>
      <w:r w:rsidRPr="005A4950">
        <w:rPr>
          <w:b/>
          <w:bCs/>
        </w:rPr>
        <w:t xml:space="preserve">Observation 2: The preamble formats A1, A2, A3, B1, B2 and B3 can use single LBT step if the TDM separation between RO and PO is as per Table 1. </w:t>
      </w:r>
    </w:p>
    <w:p w14:paraId="55F44B7F" w14:textId="77777777" w:rsidR="005A4950" w:rsidRDefault="005A4950" w:rsidP="00F1477E"/>
    <w:p w14:paraId="54E5B266" w14:textId="00609E00" w:rsidR="005A4950" w:rsidRPr="005A4950" w:rsidRDefault="005A4950" w:rsidP="00F1477E">
      <w:pPr>
        <w:rPr>
          <w:b/>
          <w:bCs/>
        </w:rPr>
      </w:pPr>
      <w:r w:rsidRPr="005A4950">
        <w:rPr>
          <w:b/>
          <w:bCs/>
        </w:rPr>
        <w:t xml:space="preserve">Observation 3: Based on observations 1 and 2 it can be concluded that existing RACH formats can work for 2-step RACH in NR-U to enable single LBT step for MSGA. </w:t>
      </w:r>
    </w:p>
    <w:p w14:paraId="531DF703" w14:textId="77777777" w:rsidR="005A4950" w:rsidRDefault="005A4950" w:rsidP="00F1477E"/>
    <w:p w14:paraId="3E7A188B" w14:textId="77777777" w:rsidR="006F51B0" w:rsidRDefault="005A4950" w:rsidP="00F1477E">
      <w:r>
        <w:t xml:space="preserve">Then the second question is what happens for other RACH formats where there is a need for additional LBT step. If there is a gap larger than 16 us, then an additional LBT is needed and the type of the LBT depends on the actual gap length. From RAN2 perspective, it can be assumed that if this additional LBT step fails, then the PUSCH transmission is dropped by the physical layer. </w:t>
      </w:r>
      <w:r w:rsidR="006F51B0">
        <w:t xml:space="preserve">From the procedure perspective, the gNB will still receive the RACH but will not receive the PUSCH. Then the fallback procedure can be invoked. Based on the above, the following proposals are made: </w:t>
      </w:r>
    </w:p>
    <w:p w14:paraId="730D66A6" w14:textId="51F1D5B7" w:rsidR="006F51B0" w:rsidRPr="006F51B0" w:rsidRDefault="006F51B0" w:rsidP="00F1477E">
      <w:pPr>
        <w:rPr>
          <w:b/>
          <w:bCs/>
        </w:rPr>
      </w:pPr>
      <w:r w:rsidRPr="006F51B0">
        <w:rPr>
          <w:b/>
          <w:bCs/>
        </w:rPr>
        <w:t xml:space="preserve">Proposal </w:t>
      </w:r>
      <w:r>
        <w:rPr>
          <w:b/>
          <w:bCs/>
        </w:rPr>
        <w:t>2</w:t>
      </w:r>
      <w:r w:rsidRPr="006F51B0">
        <w:rPr>
          <w:b/>
          <w:bCs/>
        </w:rPr>
        <w:t>: 2-step RACH can be configured for NR-U and UE will perform a single LBT if the necessary conditions are satisfied (per observations 1, 2 and 3)</w:t>
      </w:r>
    </w:p>
    <w:p w14:paraId="21BF6339" w14:textId="77777777" w:rsidR="00566123" w:rsidRDefault="00566123" w:rsidP="00F1477E">
      <w:pPr>
        <w:rPr>
          <w:b/>
          <w:bCs/>
        </w:rPr>
      </w:pPr>
    </w:p>
    <w:p w14:paraId="7F84A81A" w14:textId="76EA9E14" w:rsidR="006F51B0" w:rsidRPr="006F51B0" w:rsidRDefault="006F51B0" w:rsidP="00F1477E">
      <w:pPr>
        <w:rPr>
          <w:b/>
          <w:bCs/>
        </w:rPr>
      </w:pPr>
      <w:r w:rsidRPr="006F51B0">
        <w:rPr>
          <w:b/>
          <w:bCs/>
        </w:rPr>
        <w:t xml:space="preserve">Proposal </w:t>
      </w:r>
      <w:r>
        <w:rPr>
          <w:b/>
          <w:bCs/>
        </w:rPr>
        <w:t>3</w:t>
      </w:r>
      <w:r w:rsidRPr="006F51B0">
        <w:rPr>
          <w:b/>
          <w:bCs/>
        </w:rPr>
        <w:t xml:space="preserve">: If an additional LBT is needed, the physical layer will </w:t>
      </w:r>
      <w:r w:rsidR="00566123">
        <w:rPr>
          <w:b/>
          <w:bCs/>
        </w:rPr>
        <w:t xml:space="preserve">determine the type of LBT based on the gap between the RACH and the associated PUSCH resource and </w:t>
      </w:r>
      <w:r w:rsidRPr="006F51B0">
        <w:rPr>
          <w:b/>
          <w:bCs/>
        </w:rPr>
        <w:t xml:space="preserve">perform </w:t>
      </w:r>
      <w:r w:rsidR="00566123">
        <w:rPr>
          <w:b/>
          <w:bCs/>
        </w:rPr>
        <w:t>the LBT</w:t>
      </w:r>
      <w:r w:rsidRPr="006F51B0">
        <w:rPr>
          <w:b/>
          <w:bCs/>
        </w:rPr>
        <w:t xml:space="preserve"> and transmit the PUSCH payload on the configured resource</w:t>
      </w:r>
      <w:r w:rsidR="00566123">
        <w:rPr>
          <w:b/>
          <w:bCs/>
        </w:rPr>
        <w:t xml:space="preserve"> if LBT succeeds</w:t>
      </w:r>
    </w:p>
    <w:p w14:paraId="434F473E" w14:textId="77777777" w:rsidR="00566123" w:rsidRDefault="00566123" w:rsidP="00F1477E">
      <w:pPr>
        <w:rPr>
          <w:b/>
          <w:bCs/>
        </w:rPr>
      </w:pPr>
    </w:p>
    <w:p w14:paraId="6249365A" w14:textId="464E4238" w:rsidR="00F1477E" w:rsidRDefault="006F51B0" w:rsidP="00F1477E">
      <w:pPr>
        <w:rPr>
          <w:b/>
          <w:bCs/>
        </w:rPr>
      </w:pPr>
      <w:r w:rsidRPr="006F51B0">
        <w:rPr>
          <w:b/>
          <w:bCs/>
        </w:rPr>
        <w:lastRenderedPageBreak/>
        <w:t xml:space="preserve">Proposal </w:t>
      </w:r>
      <w:r>
        <w:rPr>
          <w:b/>
          <w:bCs/>
        </w:rPr>
        <w:t>4</w:t>
      </w:r>
      <w:r w:rsidRPr="006F51B0">
        <w:rPr>
          <w:b/>
          <w:bCs/>
        </w:rPr>
        <w:t xml:space="preserve">: If the PUSCH payload is dropped due to LBT failure then fallback procedure is invoked (i.e. UE will listen to MSGB-RNTI space even if PUSCH payload is not transmitted – and will </w:t>
      </w:r>
      <w:r w:rsidR="00566123">
        <w:rPr>
          <w:b/>
          <w:bCs/>
        </w:rPr>
        <w:t xml:space="preserve">expect </w:t>
      </w:r>
      <w:r w:rsidRPr="00566123">
        <w:rPr>
          <w:b/>
          <w:bCs/>
          <w:i/>
          <w:iCs/>
        </w:rPr>
        <w:t>fallbackRAR</w:t>
      </w:r>
      <w:r w:rsidRPr="006F51B0">
        <w:rPr>
          <w:b/>
          <w:bCs/>
        </w:rPr>
        <w:t xml:space="preserve"> in this case)</w:t>
      </w:r>
    </w:p>
    <w:p w14:paraId="16DC80CD" w14:textId="77777777" w:rsidR="00566123" w:rsidRDefault="00566123" w:rsidP="00F1477E">
      <w:pPr>
        <w:rPr>
          <w:b/>
          <w:bCs/>
        </w:rPr>
      </w:pPr>
    </w:p>
    <w:p w14:paraId="2CA4643E" w14:textId="536CFAC0" w:rsidR="006F51B0" w:rsidRPr="006F51B0" w:rsidRDefault="006F51B0" w:rsidP="00F1477E">
      <w:pPr>
        <w:rPr>
          <w:b/>
          <w:bCs/>
        </w:rPr>
      </w:pPr>
      <w:r>
        <w:rPr>
          <w:b/>
          <w:bCs/>
        </w:rPr>
        <w:t xml:space="preserve">Proposal 5: Send the above observations and agreements to RAN1 </w:t>
      </w:r>
    </w:p>
    <w:p w14:paraId="34E695DE" w14:textId="77777777" w:rsidR="00B532E2" w:rsidRPr="00B532E2" w:rsidRDefault="00B532E2" w:rsidP="00F1477E">
      <w:pPr>
        <w:rPr>
          <w:b/>
        </w:rPr>
      </w:pPr>
    </w:p>
    <w:p w14:paraId="789B3D6C" w14:textId="05D46F1F"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20C1643F" w14:textId="64B5FA38" w:rsidR="006F51B0" w:rsidRDefault="006F51B0" w:rsidP="006F51B0">
      <w:pPr>
        <w:rPr>
          <w:b/>
        </w:rPr>
      </w:pPr>
      <w:r>
        <w:rPr>
          <w:b/>
        </w:rPr>
        <w:t>This contribution discusses the LBT aspects of MSGA in 2-step RACH and the following observations are proposals are made:</w:t>
      </w:r>
    </w:p>
    <w:p w14:paraId="3C7EB42D" w14:textId="77777777" w:rsidR="006F51B0" w:rsidRDefault="006F51B0" w:rsidP="006F51B0">
      <w:pPr>
        <w:rPr>
          <w:b/>
        </w:rPr>
      </w:pPr>
    </w:p>
    <w:p w14:paraId="47AE9096" w14:textId="5E7DF233" w:rsidR="006F51B0" w:rsidRPr="006F51B0" w:rsidRDefault="006F51B0" w:rsidP="006F51B0">
      <w:pPr>
        <w:rPr>
          <w:b/>
        </w:rPr>
      </w:pPr>
      <w:r w:rsidRPr="006F51B0">
        <w:rPr>
          <w:b/>
        </w:rPr>
        <w:t>Proposal 1: for 2-step RACH in NR, if the gap (i.e. pause in transmission) between the PRACH and PUSCH is smaller than 16 µs then there is no need for an additional LBT before the transmission of PUSCH payload of MSGA.</w:t>
      </w:r>
    </w:p>
    <w:p w14:paraId="1012F778" w14:textId="77777777" w:rsidR="006F51B0" w:rsidRDefault="006F51B0" w:rsidP="006F51B0">
      <w:pPr>
        <w:rPr>
          <w:b/>
        </w:rPr>
      </w:pPr>
    </w:p>
    <w:p w14:paraId="0EEDA72F" w14:textId="344D2F0E" w:rsidR="006F51B0" w:rsidRPr="006F51B0" w:rsidRDefault="006F51B0" w:rsidP="006F51B0">
      <w:pPr>
        <w:rPr>
          <w:b/>
        </w:rPr>
      </w:pPr>
      <w:r w:rsidRPr="006F51B0">
        <w:rPr>
          <w:b/>
        </w:rPr>
        <w:t xml:space="preserve">Observation 1: Preamble formats A1, A2, A3, B1, B2 and B3 allow MSGA transmission with single LBT step in NR-U. For the remaining preamble formats a second LBT step is necessary. </w:t>
      </w:r>
    </w:p>
    <w:p w14:paraId="4E335DA3" w14:textId="77777777" w:rsidR="006F51B0" w:rsidRPr="006F51B0" w:rsidRDefault="006F51B0" w:rsidP="006F51B0">
      <w:pPr>
        <w:rPr>
          <w:b/>
        </w:rPr>
      </w:pPr>
      <w:r w:rsidRPr="006F51B0">
        <w:rPr>
          <w:b/>
        </w:rPr>
        <w:t xml:space="preserve">Observation 2: The preamble formats A1, A2, A3, B1, B2 and B3 can use single LBT step if the TDM separation between RO and PO is as per Table 1. </w:t>
      </w:r>
    </w:p>
    <w:p w14:paraId="69E1580E" w14:textId="77777777" w:rsidR="006F51B0" w:rsidRDefault="006F51B0" w:rsidP="006F51B0">
      <w:pPr>
        <w:rPr>
          <w:b/>
        </w:rPr>
      </w:pPr>
    </w:p>
    <w:p w14:paraId="3496C0F7" w14:textId="42AC5FBB" w:rsidR="006F51B0" w:rsidRPr="006F51B0" w:rsidRDefault="006F51B0" w:rsidP="006F51B0">
      <w:pPr>
        <w:rPr>
          <w:b/>
        </w:rPr>
      </w:pPr>
      <w:r w:rsidRPr="006F51B0">
        <w:rPr>
          <w:b/>
        </w:rPr>
        <w:t xml:space="preserve">Observation 3: Based on observations 1 and 2 it can be concluded that existing RACH formats can work for 2-step RACH in NR-U to enable single LBT step for MSGA. </w:t>
      </w:r>
    </w:p>
    <w:p w14:paraId="541C21F8" w14:textId="77777777" w:rsidR="006F51B0" w:rsidRDefault="006F51B0" w:rsidP="006F51B0">
      <w:pPr>
        <w:rPr>
          <w:b/>
        </w:rPr>
      </w:pPr>
    </w:p>
    <w:p w14:paraId="2EA88EC9" w14:textId="77777777" w:rsidR="00566123" w:rsidRPr="006F51B0" w:rsidRDefault="00566123" w:rsidP="00566123">
      <w:pPr>
        <w:rPr>
          <w:b/>
          <w:bCs/>
        </w:rPr>
      </w:pPr>
      <w:r w:rsidRPr="006F51B0">
        <w:rPr>
          <w:b/>
          <w:bCs/>
        </w:rPr>
        <w:t xml:space="preserve">Proposal </w:t>
      </w:r>
      <w:r>
        <w:rPr>
          <w:b/>
          <w:bCs/>
        </w:rPr>
        <w:t>2</w:t>
      </w:r>
      <w:r w:rsidRPr="006F51B0">
        <w:rPr>
          <w:b/>
          <w:bCs/>
        </w:rPr>
        <w:t>: 2-step RACH can be configured for NR-U and UE will perform a single LBT if the necessary conditions are satisfied (per observations 1, 2 and 3)</w:t>
      </w:r>
    </w:p>
    <w:p w14:paraId="137A7B15" w14:textId="77777777" w:rsidR="00566123" w:rsidRDefault="00566123" w:rsidP="00566123">
      <w:pPr>
        <w:rPr>
          <w:b/>
          <w:bCs/>
        </w:rPr>
      </w:pPr>
    </w:p>
    <w:p w14:paraId="5CD081BC" w14:textId="77777777" w:rsidR="00566123" w:rsidRPr="006F51B0" w:rsidRDefault="00566123" w:rsidP="00566123">
      <w:pPr>
        <w:rPr>
          <w:b/>
          <w:bCs/>
        </w:rPr>
      </w:pPr>
      <w:r w:rsidRPr="006F51B0">
        <w:rPr>
          <w:b/>
          <w:bCs/>
        </w:rPr>
        <w:t xml:space="preserve">Proposal </w:t>
      </w:r>
      <w:r>
        <w:rPr>
          <w:b/>
          <w:bCs/>
        </w:rPr>
        <w:t>3</w:t>
      </w:r>
      <w:r w:rsidRPr="006F51B0">
        <w:rPr>
          <w:b/>
          <w:bCs/>
        </w:rPr>
        <w:t xml:space="preserve">: If an additional LBT is needed, the physical layer will </w:t>
      </w:r>
      <w:r>
        <w:rPr>
          <w:b/>
          <w:bCs/>
        </w:rPr>
        <w:t xml:space="preserve">determine the type of LBT based on the gap between the RACH and the associated PUSCH resource and </w:t>
      </w:r>
      <w:r w:rsidRPr="006F51B0">
        <w:rPr>
          <w:b/>
          <w:bCs/>
        </w:rPr>
        <w:t xml:space="preserve">perform </w:t>
      </w:r>
      <w:r>
        <w:rPr>
          <w:b/>
          <w:bCs/>
        </w:rPr>
        <w:t>the LBT</w:t>
      </w:r>
      <w:r w:rsidRPr="006F51B0">
        <w:rPr>
          <w:b/>
          <w:bCs/>
        </w:rPr>
        <w:t xml:space="preserve"> and transmit the PUSCH payload on the configured resource</w:t>
      </w:r>
      <w:r>
        <w:rPr>
          <w:b/>
          <w:bCs/>
        </w:rPr>
        <w:t xml:space="preserve"> if LBT succeeds</w:t>
      </w:r>
    </w:p>
    <w:p w14:paraId="460DF079" w14:textId="77777777" w:rsidR="00566123" w:rsidRDefault="00566123" w:rsidP="00566123">
      <w:pPr>
        <w:rPr>
          <w:b/>
          <w:bCs/>
        </w:rPr>
      </w:pPr>
    </w:p>
    <w:p w14:paraId="1FCF305E" w14:textId="77777777" w:rsidR="00566123" w:rsidRDefault="00566123" w:rsidP="00566123">
      <w:pPr>
        <w:rPr>
          <w:b/>
          <w:bCs/>
        </w:rPr>
      </w:pPr>
      <w:r w:rsidRPr="006F51B0">
        <w:rPr>
          <w:b/>
          <w:bCs/>
        </w:rPr>
        <w:t xml:space="preserve">Proposal </w:t>
      </w:r>
      <w:r>
        <w:rPr>
          <w:b/>
          <w:bCs/>
        </w:rPr>
        <w:t>4</w:t>
      </w:r>
      <w:r w:rsidRPr="006F51B0">
        <w:rPr>
          <w:b/>
          <w:bCs/>
        </w:rPr>
        <w:t xml:space="preserve">: If the PUSCH payload is dropped due to LBT failure then fallback procedure is invoked (i.e. UE will listen to MSGB-RNTI space even if PUSCH payload is not transmitted – and will </w:t>
      </w:r>
      <w:r>
        <w:rPr>
          <w:b/>
          <w:bCs/>
        </w:rPr>
        <w:t xml:space="preserve">expect </w:t>
      </w:r>
      <w:r w:rsidRPr="00566123">
        <w:rPr>
          <w:b/>
          <w:bCs/>
          <w:i/>
          <w:iCs/>
        </w:rPr>
        <w:t>fallbackRAR</w:t>
      </w:r>
      <w:r w:rsidRPr="006F51B0">
        <w:rPr>
          <w:b/>
          <w:bCs/>
        </w:rPr>
        <w:t xml:space="preserve"> in this case)</w:t>
      </w:r>
    </w:p>
    <w:p w14:paraId="6A7F5AE4" w14:textId="77777777" w:rsidR="00566123" w:rsidRDefault="00566123" w:rsidP="00566123">
      <w:pPr>
        <w:rPr>
          <w:b/>
          <w:bCs/>
        </w:rPr>
      </w:pPr>
    </w:p>
    <w:p w14:paraId="32CEC761" w14:textId="77777777" w:rsidR="00566123" w:rsidRPr="006F51B0" w:rsidRDefault="00566123" w:rsidP="00566123">
      <w:pPr>
        <w:rPr>
          <w:b/>
          <w:bCs/>
        </w:rPr>
      </w:pPr>
      <w:r>
        <w:rPr>
          <w:b/>
          <w:bCs/>
        </w:rPr>
        <w:t xml:space="preserve">Proposal 5: Send the above observations and agreements to RAN1 </w:t>
      </w:r>
    </w:p>
    <w:p w14:paraId="298065C7" w14:textId="638634E8" w:rsidR="00F1477E" w:rsidRDefault="006F51B0" w:rsidP="006F51B0">
      <w:pPr>
        <w:rPr>
          <w:b/>
        </w:rPr>
      </w:pPr>
      <w:r w:rsidRPr="006F51B0">
        <w:rPr>
          <w:b/>
        </w:rPr>
        <w:t xml:space="preserve"> </w:t>
      </w:r>
      <w:r w:rsidR="00F1477E">
        <w:rPr>
          <w:b/>
        </w:rPr>
        <w:t xml:space="preserve"> </w:t>
      </w:r>
    </w:p>
    <w:p w14:paraId="6A97AE49" w14:textId="40230128" w:rsidR="00945FA9" w:rsidRDefault="00945FA9" w:rsidP="00F1477E">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796C9076" w14:textId="03205903" w:rsidR="00137540" w:rsidRPr="00137540" w:rsidRDefault="00137540" w:rsidP="00F1477E">
      <w:pPr>
        <w:pStyle w:val="ListParagraph"/>
        <w:numPr>
          <w:ilvl w:val="0"/>
          <w:numId w:val="29"/>
        </w:numPr>
        <w:ind w:firstLineChars="0"/>
      </w:pPr>
      <w:bookmarkStart w:id="4" w:name="_Ref535426220"/>
      <w:r>
        <w:t>EN 301893</w:t>
      </w:r>
      <w:bookmarkEnd w:id="4"/>
    </w:p>
    <w:sectPr w:rsidR="00137540" w:rsidRPr="00137540" w:rsidSect="00BF0850">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0A55CD3"/>
    <w:multiLevelType w:val="hybridMultilevel"/>
    <w:tmpl w:val="B678B7A6"/>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6" w15:restartNumberingAfterBreak="0">
    <w:nsid w:val="6B2B1128"/>
    <w:multiLevelType w:val="hybridMultilevel"/>
    <w:tmpl w:val="E25A10C8"/>
    <w:lvl w:ilvl="0" w:tplc="3B80255E">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25"/>
  </w:num>
  <w:num w:numId="4">
    <w:abstractNumId w:val="2"/>
  </w:num>
  <w:num w:numId="5">
    <w:abstractNumId w:val="13"/>
  </w:num>
  <w:num w:numId="6">
    <w:abstractNumId w:val="9"/>
  </w:num>
  <w:num w:numId="7">
    <w:abstractNumId w:val="15"/>
  </w:num>
  <w:num w:numId="8">
    <w:abstractNumId w:val="23"/>
  </w:num>
  <w:num w:numId="9">
    <w:abstractNumId w:val="29"/>
  </w:num>
  <w:num w:numId="10">
    <w:abstractNumId w:val="7"/>
  </w:num>
  <w:num w:numId="11">
    <w:abstractNumId w:val="18"/>
  </w:num>
  <w:num w:numId="12">
    <w:abstractNumId w:val="16"/>
  </w:num>
  <w:num w:numId="13">
    <w:abstractNumId w:val="28"/>
  </w:num>
  <w:num w:numId="14">
    <w:abstractNumId w:val="3"/>
  </w:num>
  <w:num w:numId="15">
    <w:abstractNumId w:val="4"/>
  </w:num>
  <w:num w:numId="16">
    <w:abstractNumId w:val="22"/>
  </w:num>
  <w:num w:numId="17">
    <w:abstractNumId w:val="6"/>
  </w:num>
  <w:num w:numId="18">
    <w:abstractNumId w:val="27"/>
  </w:num>
  <w:num w:numId="19">
    <w:abstractNumId w:val="8"/>
  </w:num>
  <w:num w:numId="20">
    <w:abstractNumId w:val="11"/>
  </w:num>
  <w:num w:numId="21">
    <w:abstractNumId w:val="12"/>
  </w:num>
  <w:num w:numId="22">
    <w:abstractNumId w:val="14"/>
  </w:num>
  <w:num w:numId="23">
    <w:abstractNumId w:val="5"/>
  </w:num>
  <w:num w:numId="24">
    <w:abstractNumId w:val="19"/>
  </w:num>
  <w:num w:numId="25">
    <w:abstractNumId w:val="10"/>
  </w:num>
  <w:num w:numId="26">
    <w:abstractNumId w:val="1"/>
  </w:num>
  <w:num w:numId="27">
    <w:abstractNumId w:val="24"/>
  </w:num>
  <w:num w:numId="28">
    <w:abstractNumId w:val="17"/>
  </w:num>
  <w:num w:numId="29">
    <w:abstractNumId w:val="21"/>
  </w:num>
  <w:num w:numId="30">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710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9EA"/>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540"/>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2C9"/>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3F91"/>
    <w:rsid w:val="005657FC"/>
    <w:rsid w:val="00566123"/>
    <w:rsid w:val="00567054"/>
    <w:rsid w:val="00567A9A"/>
    <w:rsid w:val="00570FEC"/>
    <w:rsid w:val="00571A8C"/>
    <w:rsid w:val="0057377D"/>
    <w:rsid w:val="00585E04"/>
    <w:rsid w:val="0058687D"/>
    <w:rsid w:val="005910DD"/>
    <w:rsid w:val="005940C1"/>
    <w:rsid w:val="0059566C"/>
    <w:rsid w:val="0059585E"/>
    <w:rsid w:val="005A3156"/>
    <w:rsid w:val="005A4950"/>
    <w:rsid w:val="005A53DF"/>
    <w:rsid w:val="005A6185"/>
    <w:rsid w:val="005A6564"/>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27D4"/>
    <w:rsid w:val="00614547"/>
    <w:rsid w:val="00614D4B"/>
    <w:rsid w:val="006157A1"/>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51B0"/>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19A8"/>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36158"/>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32E2"/>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54B1"/>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0AD"/>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545D5"/>
    <w:rsid w:val="00E62B3D"/>
    <w:rsid w:val="00E6315A"/>
    <w:rsid w:val="00E63986"/>
    <w:rsid w:val="00E65E86"/>
    <w:rsid w:val="00E66C3B"/>
    <w:rsid w:val="00E71B00"/>
    <w:rsid w:val="00E73C7F"/>
    <w:rsid w:val="00E740D9"/>
    <w:rsid w:val="00E8224F"/>
    <w:rsid w:val="00E853FB"/>
    <w:rsid w:val="00E85E3C"/>
    <w:rsid w:val="00E943EE"/>
    <w:rsid w:val="00E95147"/>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2499"/>
    <w:rsid w:val="00EF4AE0"/>
    <w:rsid w:val="00EF6FA1"/>
    <w:rsid w:val="00F012FF"/>
    <w:rsid w:val="00F01A21"/>
    <w:rsid w:val="00F046E9"/>
    <w:rsid w:val="00F04831"/>
    <w:rsid w:val="00F12DA8"/>
    <w:rsid w:val="00F1322B"/>
    <w:rsid w:val="00F13699"/>
    <w:rsid w:val="00F1477E"/>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123"/>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uiPriority w:val="35"/>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827936947">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7F9DE-A089-47DA-9541-FEEB663A5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1126</Words>
  <Characters>6422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cp:lastModifiedBy>
  <cp:revision>6</cp:revision>
  <cp:lastPrinted>2113-01-01T00:00:00Z</cp:lastPrinted>
  <dcterms:created xsi:type="dcterms:W3CDTF">2019-11-04T17:26:00Z</dcterms:created>
  <dcterms:modified xsi:type="dcterms:W3CDTF">2019-11-07T17:05:00Z</dcterms:modified>
</cp:coreProperties>
</file>