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19805711" w:rsidR="00F9507A" w:rsidRPr="00091CFF" w:rsidRDefault="00F9507A" w:rsidP="00F9507A">
      <w:pPr>
        <w:pStyle w:val="3GPPHeader"/>
        <w:spacing w:after="60"/>
        <w:rPr>
          <w:sz w:val="36"/>
          <w:szCs w:val="32"/>
          <w:lang w:val="en-US"/>
        </w:rPr>
      </w:pPr>
      <w:r w:rsidRPr="00091CFF">
        <w:rPr>
          <w:lang w:val="en-US"/>
        </w:rPr>
        <w:t>3GPP TSG-RAN WG2 #10</w:t>
      </w:r>
      <w:r w:rsidR="00091CFF">
        <w:rPr>
          <w:lang w:val="en-US"/>
        </w:rPr>
        <w:t>7</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R2-1</w:t>
      </w:r>
      <w:r w:rsidR="00091CFF">
        <w:rPr>
          <w:sz w:val="28"/>
          <w:lang w:val="en-US"/>
        </w:rPr>
        <w:t>9</w:t>
      </w:r>
      <w:r w:rsidR="00FF038F">
        <w:rPr>
          <w:sz w:val="28"/>
          <w:lang w:val="en-US"/>
        </w:rPr>
        <w:t>10832</w:t>
      </w:r>
    </w:p>
    <w:p w14:paraId="0D04A106" w14:textId="7DAAC2AC" w:rsidR="00F9507A" w:rsidRPr="00091CFF" w:rsidRDefault="00091CFF" w:rsidP="00F9507A">
      <w:pPr>
        <w:pStyle w:val="3GPPHeader"/>
        <w:rPr>
          <w:lang w:val="en-US"/>
        </w:rPr>
      </w:pPr>
      <w:r>
        <w:rPr>
          <w:noProof/>
          <w:lang w:val="en-US"/>
        </w:rPr>
        <w:t>Prague</w:t>
      </w:r>
      <w:r w:rsidR="00F9507A" w:rsidRPr="00091CFF">
        <w:rPr>
          <w:noProof/>
          <w:lang w:val="en-US"/>
        </w:rPr>
        <w:t xml:space="preserve">, </w:t>
      </w:r>
      <w:r>
        <w:rPr>
          <w:noProof/>
          <w:lang w:val="en-US"/>
        </w:rPr>
        <w:t>Czech Republic</w:t>
      </w:r>
      <w:r w:rsidR="00F9507A" w:rsidRPr="00091CFF">
        <w:rPr>
          <w:noProof/>
          <w:lang w:val="en-US"/>
        </w:rPr>
        <w:t>, 2</w:t>
      </w:r>
      <w:r>
        <w:rPr>
          <w:noProof/>
          <w:lang w:val="en-US"/>
        </w:rPr>
        <w:t>6</w:t>
      </w:r>
      <w:r w:rsidR="00F9507A" w:rsidRPr="00091CFF">
        <w:rPr>
          <w:noProof/>
          <w:vertAlign w:val="superscript"/>
          <w:lang w:val="en-US"/>
        </w:rPr>
        <w:t xml:space="preserve">th </w:t>
      </w:r>
      <w:r>
        <w:rPr>
          <w:noProof/>
          <w:lang w:val="en-US"/>
        </w:rPr>
        <w:t>August</w:t>
      </w:r>
      <w:r w:rsidR="00F9507A" w:rsidRPr="00091CFF">
        <w:rPr>
          <w:noProof/>
          <w:vertAlign w:val="superscript"/>
          <w:lang w:val="en-US"/>
        </w:rPr>
        <w:t xml:space="preserve"> </w:t>
      </w:r>
      <w:r w:rsidR="00F9507A" w:rsidRPr="00091CFF">
        <w:rPr>
          <w:noProof/>
          <w:lang w:val="en-US"/>
        </w:rPr>
        <w:t xml:space="preserve">– </w:t>
      </w:r>
      <w:r>
        <w:rPr>
          <w:noProof/>
          <w:lang w:val="en-US"/>
        </w:rPr>
        <w:t>30</w:t>
      </w:r>
      <w:r w:rsidRPr="00091CFF">
        <w:rPr>
          <w:noProof/>
          <w:vertAlign w:val="superscript"/>
          <w:lang w:val="en-US"/>
        </w:rPr>
        <w:t>th</w:t>
      </w:r>
      <w:r>
        <w:rPr>
          <w:noProof/>
          <w:lang w:val="en-US"/>
        </w:rPr>
        <w:t xml:space="preserve"> August</w:t>
      </w:r>
      <w:r w:rsidR="00F9507A" w:rsidRPr="00091CFF">
        <w:rPr>
          <w:noProof/>
          <w:lang w:val="en-US"/>
        </w:rPr>
        <w:t xml:space="preserve"> 201</w:t>
      </w:r>
      <w:r>
        <w:rPr>
          <w:noProof/>
          <w:lang w:val="en-US"/>
        </w:rPr>
        <w:t>9</w:t>
      </w:r>
      <w:r w:rsidR="00F9507A" w:rsidRPr="00091CFF">
        <w:rPr>
          <w:lang w:val="en-US"/>
        </w:rPr>
        <w:tab/>
      </w:r>
    </w:p>
    <w:p w14:paraId="0F028AA1" w14:textId="08C81ED3" w:rsidR="00F64BA5" w:rsidRPr="00397540" w:rsidRDefault="00F64BA5" w:rsidP="00F64BA5">
      <w:pPr>
        <w:pStyle w:val="CRCoverPage"/>
        <w:outlineLvl w:val="0"/>
        <w:rPr>
          <w:rFonts w:cs="Arial"/>
          <w:b/>
          <w:noProof/>
          <w:sz w:val="24"/>
        </w:rPr>
      </w:pPr>
    </w:p>
    <w:p w14:paraId="530B5054" w14:textId="216B08B0" w:rsidR="00055EFC" w:rsidRPr="00CE0B30" w:rsidRDefault="00055EFC" w:rsidP="00055EFC">
      <w:pPr>
        <w:pStyle w:val="3GPPHeader"/>
        <w:rPr>
          <w:rFonts w:ascii="Arial" w:hAnsi="Arial" w:cs="Arial"/>
          <w:sz w:val="22"/>
          <w:lang w:val="en-US"/>
        </w:rPr>
      </w:pPr>
      <w:r w:rsidRPr="00CE0B30">
        <w:rPr>
          <w:rFonts w:ascii="Arial" w:hAnsi="Arial" w:cs="Arial"/>
          <w:sz w:val="22"/>
          <w:lang w:val="en-US"/>
        </w:rPr>
        <w:t>Agenda Item:</w:t>
      </w:r>
      <w:r w:rsidRPr="00CE0B30">
        <w:rPr>
          <w:rFonts w:ascii="Arial" w:hAnsi="Arial" w:cs="Arial"/>
          <w:sz w:val="22"/>
          <w:lang w:val="en-US"/>
        </w:rPr>
        <w:tab/>
      </w:r>
      <w:r w:rsidR="00CE0B30" w:rsidRPr="00CE0B30">
        <w:rPr>
          <w:rFonts w:ascii="Arial" w:hAnsi="Arial" w:cs="Arial"/>
          <w:sz w:val="22"/>
          <w:lang w:val="en-US"/>
        </w:rPr>
        <w:t>1</w:t>
      </w:r>
      <w:r w:rsidR="00CE0B30">
        <w:rPr>
          <w:rFonts w:ascii="Arial" w:hAnsi="Arial" w:cs="Arial"/>
          <w:sz w:val="22"/>
          <w:lang w:val="en-US"/>
        </w:rPr>
        <w:t>1.20.1</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72C93429"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CE72A4" w:rsidRPr="00091CFF">
        <w:rPr>
          <w:rFonts w:ascii="Arial" w:hAnsi="Arial" w:cs="Arial"/>
          <w:sz w:val="22"/>
          <w:lang w:val="en-US"/>
        </w:rPr>
        <w:t xml:space="preserve">Triggering condition for </w:t>
      </w:r>
      <w:r w:rsidR="00DF2EA1" w:rsidRPr="00091CFF">
        <w:rPr>
          <w:rFonts w:ascii="Arial" w:hAnsi="Arial" w:cs="Arial"/>
          <w:sz w:val="22"/>
          <w:lang w:val="en-US"/>
        </w:rPr>
        <w:t>A1-A6 events 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2B1576EC" w14:textId="65A71541" w:rsidR="00D8203B" w:rsidRPr="00091CFF" w:rsidRDefault="00502881" w:rsidP="007F6671">
      <w:pPr>
        <w:tabs>
          <w:tab w:val="left" w:pos="1622"/>
        </w:tabs>
        <w:spacing w:after="0" w:line="240" w:lineRule="auto"/>
        <w:rPr>
          <w:rFonts w:ascii="Arial" w:eastAsia="MS Mincho" w:hAnsi="Arial" w:cs="Arial"/>
          <w:sz w:val="20"/>
          <w:szCs w:val="24"/>
          <w:lang w:val="en-US" w:eastAsia="en-GB"/>
        </w:rPr>
      </w:pPr>
      <w:r w:rsidRPr="00091CFF">
        <w:rPr>
          <w:rFonts w:ascii="Arial" w:eastAsia="MS Mincho" w:hAnsi="Arial" w:cs="Arial"/>
          <w:sz w:val="20"/>
          <w:szCs w:val="24"/>
          <w:lang w:val="en-US" w:eastAsia="en-GB"/>
        </w:rPr>
        <w:t xml:space="preserve">In this contribution, we </w:t>
      </w:r>
      <w:r w:rsidR="00091CFF">
        <w:rPr>
          <w:rFonts w:ascii="Arial" w:eastAsia="MS Mincho" w:hAnsi="Arial" w:cs="Arial"/>
          <w:sz w:val="20"/>
          <w:szCs w:val="24"/>
          <w:lang w:val="en-US" w:eastAsia="en-GB"/>
        </w:rPr>
        <w:t xml:space="preserve">discuss the limitations of the existing event triggering conditions and </w:t>
      </w:r>
      <w:r w:rsidR="00AD5EF1" w:rsidRPr="00091CFF">
        <w:rPr>
          <w:rFonts w:ascii="Arial" w:eastAsia="MS Mincho" w:hAnsi="Arial" w:cs="Arial"/>
          <w:sz w:val="20"/>
          <w:szCs w:val="24"/>
          <w:lang w:val="en-US" w:eastAsia="en-GB"/>
        </w:rPr>
        <w:t xml:space="preserve">provide </w:t>
      </w:r>
      <w:r w:rsidR="00952145" w:rsidRPr="00091CFF">
        <w:rPr>
          <w:rFonts w:ascii="Arial" w:eastAsia="MS Mincho" w:hAnsi="Arial" w:cs="Arial"/>
          <w:sz w:val="20"/>
          <w:szCs w:val="24"/>
          <w:lang w:val="en-US" w:eastAsia="en-GB"/>
        </w:rPr>
        <w:t>explanations about the benefits of configuring multiple trigger quantities</w:t>
      </w:r>
      <w:r w:rsidRPr="00091CFF">
        <w:rPr>
          <w:rFonts w:ascii="Arial" w:eastAsia="MS Mincho" w:hAnsi="Arial" w:cs="Arial"/>
          <w:sz w:val="20"/>
          <w:szCs w:val="24"/>
          <w:lang w:val="en-US" w:eastAsia="en-GB"/>
        </w:rPr>
        <w:t>.</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73B1F68D" w14:textId="77F355CB" w:rsidR="001A49E6" w:rsidRPr="001A49E6" w:rsidRDefault="001A49E6" w:rsidP="000F5E2A">
      <w:pPr>
        <w:pStyle w:val="Heading2"/>
      </w:pPr>
      <w:r>
        <w:t>Cell based triggering conditions</w:t>
      </w:r>
    </w:p>
    <w:p w14:paraId="3FDBC3E6" w14:textId="43A4C9DC" w:rsidR="00014F75" w:rsidRPr="00091CFF" w:rsidRDefault="00D71D0F" w:rsidP="00C65CC1">
      <w:pPr>
        <w:rPr>
          <w:b/>
          <w:lang w:val="en-US"/>
        </w:rPr>
      </w:pPr>
      <w:bookmarkStart w:id="3" w:name="_Toc12372233"/>
      <w:r w:rsidRPr="00091CFF">
        <w:rPr>
          <w:lang w:val="en-US"/>
        </w:rPr>
        <w:t xml:space="preserve">In LTE, the network </w:t>
      </w:r>
      <w:r w:rsidR="00CE72A4" w:rsidRPr="00091CFF">
        <w:rPr>
          <w:lang w:val="en-US"/>
        </w:rPr>
        <w:t xml:space="preserve">is limited to </w:t>
      </w:r>
      <w:r w:rsidRPr="00091CFF">
        <w:rPr>
          <w:lang w:val="en-US"/>
        </w:rPr>
        <w:t xml:space="preserve">select </w:t>
      </w:r>
      <w:r w:rsidR="00014F75" w:rsidRPr="00091CFF">
        <w:rPr>
          <w:lang w:val="en-US"/>
        </w:rPr>
        <w:t xml:space="preserve">one trigger quantity (e.g. </w:t>
      </w:r>
      <w:r w:rsidRPr="00091CFF">
        <w:rPr>
          <w:lang w:val="en-US"/>
        </w:rPr>
        <w:t xml:space="preserve">RSRP </w:t>
      </w:r>
      <w:r w:rsidR="00014F75" w:rsidRPr="00091CFF">
        <w:rPr>
          <w:lang w:val="en-US"/>
        </w:rPr>
        <w:t xml:space="preserve">or </w:t>
      </w:r>
      <w:r w:rsidRPr="00091CFF">
        <w:rPr>
          <w:lang w:val="en-US"/>
        </w:rPr>
        <w:t>RSRQ</w:t>
      </w:r>
      <w:r w:rsidR="00014F75" w:rsidRPr="00091CFF">
        <w:rPr>
          <w:lang w:val="en-US"/>
        </w:rPr>
        <w:t>)</w:t>
      </w:r>
      <w:r w:rsidRPr="00091CFF">
        <w:rPr>
          <w:lang w:val="en-US"/>
        </w:rPr>
        <w:t xml:space="preserve"> </w:t>
      </w:r>
      <w:r w:rsidR="00014F75" w:rsidRPr="00091CFF">
        <w:rPr>
          <w:lang w:val="en-US"/>
        </w:rPr>
        <w:t xml:space="preserve">per event in the </w:t>
      </w:r>
      <w:proofErr w:type="spellStart"/>
      <w:r w:rsidR="006C3DF4" w:rsidRPr="00091CFF">
        <w:rPr>
          <w:lang w:val="en-US"/>
        </w:rPr>
        <w:t>reportConfigNR</w:t>
      </w:r>
      <w:proofErr w:type="spellEnd"/>
      <w:r w:rsidRPr="00091CFF">
        <w:rPr>
          <w:lang w:val="en-US"/>
        </w:rPr>
        <w:t xml:space="preserve">. For example, </w:t>
      </w:r>
      <w:r w:rsidR="00014F75" w:rsidRPr="00091CFF">
        <w:rPr>
          <w:lang w:val="en-US"/>
        </w:rPr>
        <w:t xml:space="preserve">an event </w:t>
      </w:r>
      <w:r w:rsidR="00765D24" w:rsidRPr="00091CFF">
        <w:rPr>
          <w:lang w:val="en-US"/>
        </w:rPr>
        <w:t xml:space="preserve">A1 </w:t>
      </w:r>
      <w:r w:rsidR="00014F75" w:rsidRPr="00091CFF">
        <w:rPr>
          <w:lang w:val="en-US"/>
        </w:rPr>
        <w:t xml:space="preserve">can be </w:t>
      </w:r>
      <w:r w:rsidR="00765D24" w:rsidRPr="00091CFF">
        <w:rPr>
          <w:lang w:val="en-US"/>
        </w:rPr>
        <w:t xml:space="preserve">configured to detect the ‘goodness’ of </w:t>
      </w:r>
      <w:r w:rsidR="00014F75" w:rsidRPr="00091CFF">
        <w:rPr>
          <w:lang w:val="en-US"/>
        </w:rPr>
        <w:t xml:space="preserve">a </w:t>
      </w:r>
      <w:r w:rsidR="00765D24" w:rsidRPr="00091CFF">
        <w:rPr>
          <w:lang w:val="en-US"/>
        </w:rPr>
        <w:t>serving cell. The UE triggers the measurement report based on the A1 when the serving cell quality becomes better than the threshold</w:t>
      </w:r>
      <w:r w:rsidR="00014F75" w:rsidRPr="00091CFF">
        <w:rPr>
          <w:lang w:val="en-US"/>
        </w:rPr>
        <w:t xml:space="preserve"> where</w:t>
      </w:r>
      <w:r w:rsidR="00765D24" w:rsidRPr="00091CFF">
        <w:rPr>
          <w:lang w:val="en-US"/>
        </w:rPr>
        <w:t xml:space="preserve"> </w:t>
      </w:r>
      <w:r w:rsidR="00014F75" w:rsidRPr="00091CFF">
        <w:rPr>
          <w:lang w:val="en-US"/>
        </w:rPr>
        <w:t xml:space="preserve">the </w:t>
      </w:r>
      <w:r w:rsidR="00765D24" w:rsidRPr="00091CFF">
        <w:rPr>
          <w:lang w:val="en-US"/>
        </w:rPr>
        <w:t xml:space="preserve">serving cell quality can be either based on RSRP or RSRQ. </w:t>
      </w:r>
      <w:r w:rsidR="00014F75" w:rsidRPr="00091CFF">
        <w:rPr>
          <w:lang w:val="en-US"/>
        </w:rPr>
        <w:t xml:space="preserve">If </w:t>
      </w:r>
      <w:r w:rsidR="00765D24" w:rsidRPr="00091CFF">
        <w:rPr>
          <w:lang w:val="en-US"/>
        </w:rPr>
        <w:t xml:space="preserve">the </w:t>
      </w:r>
      <w:r w:rsidR="00014F75" w:rsidRPr="00091CFF">
        <w:rPr>
          <w:lang w:val="en-US"/>
        </w:rPr>
        <w:t xml:space="preserve">network </w:t>
      </w:r>
      <w:r w:rsidR="00765D24" w:rsidRPr="00091CFF">
        <w:rPr>
          <w:lang w:val="en-US"/>
        </w:rPr>
        <w:t xml:space="preserve">would like to know the good coverage aspects of the serving cell both in terms of RSRP and RSRQ, </w:t>
      </w:r>
      <w:r w:rsidR="003B13B1" w:rsidRPr="00091CFF">
        <w:rPr>
          <w:lang w:val="en-US"/>
        </w:rPr>
        <w:t>i</w:t>
      </w:r>
      <w:r w:rsidR="00014F75" w:rsidRPr="00091CFF">
        <w:rPr>
          <w:lang w:val="en-US"/>
        </w:rPr>
        <w:t>t</w:t>
      </w:r>
      <w:r w:rsidR="00760B4A" w:rsidRPr="00091CFF">
        <w:rPr>
          <w:lang w:val="en-US"/>
        </w:rPr>
        <w:t xml:space="preserve"> </w:t>
      </w:r>
      <w:r w:rsidR="00014F75" w:rsidRPr="00091CFF">
        <w:rPr>
          <w:lang w:val="en-US"/>
        </w:rPr>
        <w:t xml:space="preserve">is required to </w:t>
      </w:r>
      <w:r w:rsidR="00765D24" w:rsidRPr="00091CFF">
        <w:rPr>
          <w:lang w:val="en-US"/>
        </w:rPr>
        <w:t>configure two separate A1 events, one based on the RSRP and the other based on the RSRQ</w:t>
      </w:r>
      <w:r w:rsidR="00014F75" w:rsidRPr="00091CFF">
        <w:rPr>
          <w:lang w:val="en-US"/>
        </w:rPr>
        <w:t>, associated to the same measurement object</w:t>
      </w:r>
      <w:r w:rsidR="00765D24" w:rsidRPr="00091CFF">
        <w:rPr>
          <w:lang w:val="en-US"/>
        </w:rPr>
        <w:t xml:space="preserve">. </w:t>
      </w:r>
      <w:r w:rsidR="009F2D8E" w:rsidRPr="00091CFF">
        <w:rPr>
          <w:lang w:val="en-US"/>
        </w:rPr>
        <w:t>This will lead to more measurement report being triggered from the UE.</w:t>
      </w:r>
      <w:r w:rsidR="0041252E" w:rsidRPr="00091CFF">
        <w:rPr>
          <w:lang w:val="en-US"/>
        </w:rPr>
        <w:t xml:space="preserve"> This is further explained in the figure below which shows the measurement report configuration based on the current agreements. The serving cell configures the UE with two </w:t>
      </w:r>
      <w:r w:rsidR="0047679C" w:rsidRPr="00091CFF">
        <w:rPr>
          <w:lang w:val="en-US"/>
        </w:rPr>
        <w:t xml:space="preserve">A2 </w:t>
      </w:r>
      <w:r w:rsidR="0041252E" w:rsidRPr="00091CFF">
        <w:rPr>
          <w:lang w:val="en-US"/>
        </w:rPr>
        <w:t>reporting configurations, one corres</w:t>
      </w:r>
      <w:r w:rsidR="0047679C" w:rsidRPr="00091CFF">
        <w:rPr>
          <w:lang w:val="en-US"/>
        </w:rPr>
        <w:t xml:space="preserve">ponding to the RSRP of the serving cell and the other corresponding to the RSRQ of the serving cell. The UE sends measurement report at time = T1 and sends the periodic transmission of the updated report until time=T2 as the UE is still in the event entered condition. Only after T2 when the UE triggers new measurement report corresponding to the </w:t>
      </w:r>
      <w:proofErr w:type="spellStart"/>
      <w:r w:rsidR="00792B04">
        <w:rPr>
          <w:lang w:val="en-US"/>
        </w:rPr>
        <w:t>m</w:t>
      </w:r>
      <w:r w:rsidR="0047679C" w:rsidRPr="00091CFF">
        <w:rPr>
          <w:lang w:val="en-US"/>
        </w:rPr>
        <w:t>easID</w:t>
      </w:r>
      <w:proofErr w:type="spellEnd"/>
      <w:r w:rsidR="0047679C" w:rsidRPr="00091CFF">
        <w:rPr>
          <w:lang w:val="en-US"/>
        </w:rPr>
        <w:t xml:space="preserve"> of the RSRQ based reporting configuration is satisfied, the network will take action. The reports as sent by the UE s</w:t>
      </w:r>
      <w:r w:rsidR="00862212" w:rsidRPr="00091CFF">
        <w:rPr>
          <w:lang w:val="en-US"/>
        </w:rPr>
        <w:t>h</w:t>
      </w:r>
      <w:r w:rsidR="0047679C" w:rsidRPr="00091CFF">
        <w:rPr>
          <w:lang w:val="en-US"/>
        </w:rPr>
        <w:t xml:space="preserve">own in red </w:t>
      </w:r>
      <w:proofErr w:type="spellStart"/>
      <w:r w:rsidR="0047679C" w:rsidRPr="00091CFF">
        <w:rPr>
          <w:lang w:val="en-US"/>
        </w:rPr>
        <w:t>colour</w:t>
      </w:r>
      <w:proofErr w:type="spellEnd"/>
      <w:r w:rsidR="0047679C" w:rsidRPr="00091CFF">
        <w:rPr>
          <w:lang w:val="en-US"/>
        </w:rPr>
        <w:t xml:space="preserve"> could have been avoided if the network can configure the UE to send the measurement report only when RSRP and RSRQ values crosses certain thresholds respectively.</w:t>
      </w:r>
      <w:r w:rsidR="00862212" w:rsidRPr="00091CFF">
        <w:rPr>
          <w:lang w:val="en-US"/>
        </w:rPr>
        <w:t xml:space="preserve"> </w:t>
      </w:r>
      <w:r w:rsidR="008027F9" w:rsidRPr="00091CFF">
        <w:rPr>
          <w:lang w:val="en-US"/>
        </w:rPr>
        <w:t xml:space="preserve">This additional triggering option will reduce the RRC </w:t>
      </w:r>
      <w:r w:rsidR="00EB2C12" w:rsidRPr="00091CFF">
        <w:rPr>
          <w:lang w:val="en-US"/>
        </w:rPr>
        <w:t>signaling</w:t>
      </w:r>
      <w:r w:rsidR="008027F9" w:rsidRPr="00091CFF">
        <w:rPr>
          <w:lang w:val="en-US"/>
        </w:rPr>
        <w:t xml:space="preserve"> overhead, improves UE battery consumption via reduced reporting overhead, less memory and processing overhead at the network side.</w:t>
      </w:r>
      <w:bookmarkEnd w:id="3"/>
    </w:p>
    <w:p w14:paraId="25A0A3BA" w14:textId="77777777" w:rsidR="008027F9" w:rsidRPr="00091CFF" w:rsidRDefault="008027F9" w:rsidP="00C65CC1">
      <w:pPr>
        <w:rPr>
          <w:b/>
          <w:lang w:val="en-US"/>
        </w:rPr>
      </w:pPr>
    </w:p>
    <w:p w14:paraId="18296EDC" w14:textId="07D3EC3B" w:rsidR="00EB1C82" w:rsidRDefault="00952145" w:rsidP="00C65CC1">
      <w:pPr>
        <w:rPr>
          <w:b/>
        </w:rPr>
      </w:pPr>
      <w:bookmarkStart w:id="4" w:name="_Toc12372234"/>
      <w:r>
        <w:rPr>
          <w:b/>
          <w:noProof/>
        </w:rPr>
        <w:lastRenderedPageBreak/>
        <w:drawing>
          <wp:inline distT="0" distB="0" distL="0" distR="0" wp14:anchorId="681A44BC" wp14:editId="52CBCE11">
            <wp:extent cx="3809864" cy="2589378"/>
            <wp:effectExtent l="0" t="0" r="635"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605" cy="2591920"/>
                    </a:xfrm>
                    <a:prstGeom prst="rect">
                      <a:avLst/>
                    </a:prstGeom>
                    <a:noFill/>
                  </pic:spPr>
                </pic:pic>
              </a:graphicData>
            </a:graphic>
          </wp:inline>
        </w:drawing>
      </w:r>
      <w:r w:rsidR="00EB1C82">
        <w:rPr>
          <w:b/>
          <w:noProof/>
        </w:rPr>
        <w:drawing>
          <wp:inline distT="0" distB="0" distL="0" distR="0" wp14:anchorId="4394606B" wp14:editId="2E8FF5E9">
            <wp:extent cx="4812620" cy="208738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8373" cy="2089883"/>
                    </a:xfrm>
                    <a:prstGeom prst="rect">
                      <a:avLst/>
                    </a:prstGeom>
                    <a:noFill/>
                  </pic:spPr>
                </pic:pic>
              </a:graphicData>
            </a:graphic>
          </wp:inline>
        </w:drawing>
      </w:r>
      <w:bookmarkEnd w:id="4"/>
    </w:p>
    <w:p w14:paraId="3805FC3F" w14:textId="6BF8BCF0" w:rsidR="0041252E" w:rsidRDefault="0041252E" w:rsidP="00C65CC1">
      <w:pPr>
        <w:rPr>
          <w:b/>
        </w:rPr>
      </w:pPr>
    </w:p>
    <w:p w14:paraId="0F402D88" w14:textId="77777777" w:rsidR="0041252E" w:rsidRDefault="0041252E" w:rsidP="00C65CC1">
      <w:pPr>
        <w:rPr>
          <w:b/>
        </w:rPr>
      </w:pPr>
    </w:p>
    <w:p w14:paraId="124EA9F5" w14:textId="5A8AEB15" w:rsidR="009F2D8E" w:rsidRPr="00CE0B30" w:rsidRDefault="00014F75" w:rsidP="00C65CC1">
      <w:pPr>
        <w:rPr>
          <w:b/>
          <w:lang w:val="en-US"/>
        </w:rPr>
      </w:pPr>
      <w:r w:rsidRPr="00CE0B30">
        <w:rPr>
          <w:lang w:val="en-US"/>
        </w:rPr>
        <w:t>In the case of comparing the relative quality to two cells, the network is also limited to choose a given metric per event. Hence, if the network only wants to trigger a handover if both the RSRP and RSRQ of a neighbor cell becomes better than both the RSRP and RSQ of the serving cell, the network must configure two events which may trigger two measurement reports.</w:t>
      </w:r>
    </w:p>
    <w:p w14:paraId="1E6971E0" w14:textId="77777777" w:rsidR="00F55E65" w:rsidRPr="00573E9E" w:rsidRDefault="00F55E65" w:rsidP="009F2D8E">
      <w:pPr>
        <w:pStyle w:val="TOC1"/>
        <w:ind w:left="0" w:firstLine="0"/>
        <w:jc w:val="both"/>
        <w:rPr>
          <w:rFonts w:cs="Arial"/>
          <w:b w:val="0"/>
          <w:kern w:val="2"/>
          <w:szCs w:val="20"/>
        </w:rPr>
      </w:pPr>
    </w:p>
    <w:p w14:paraId="6EDAE92D" w14:textId="785989C3" w:rsidR="009F2D8E" w:rsidRPr="00091CFF" w:rsidRDefault="009F2D8E" w:rsidP="009F2D8E">
      <w:pPr>
        <w:pStyle w:val="Observation"/>
        <w:rPr>
          <w:rFonts w:ascii="Arial" w:hAnsi="Arial" w:cs="Arial"/>
          <w:sz w:val="20"/>
          <w:szCs w:val="20"/>
          <w:lang w:val="en-US"/>
        </w:rPr>
      </w:pPr>
      <w:bookmarkStart w:id="5" w:name="_Toc12372180"/>
      <w:bookmarkStart w:id="6" w:name="_Toc12372201"/>
      <w:bookmarkStart w:id="7" w:name="_Toc12372207"/>
      <w:bookmarkStart w:id="8" w:name="_Toc16803252"/>
      <w:bookmarkStart w:id="9" w:name="_Hlk490233163"/>
      <w:r w:rsidRPr="00091CFF">
        <w:rPr>
          <w:rFonts w:ascii="Arial" w:hAnsi="Arial" w:cs="Arial"/>
          <w:sz w:val="20"/>
          <w:szCs w:val="20"/>
          <w:lang w:val="en-US"/>
        </w:rPr>
        <w:t>In LTE</w:t>
      </w:r>
      <w:r w:rsidR="005E7F15">
        <w:rPr>
          <w:rFonts w:ascii="Arial" w:hAnsi="Arial" w:cs="Arial"/>
          <w:sz w:val="20"/>
          <w:szCs w:val="20"/>
          <w:lang w:val="en-US"/>
        </w:rPr>
        <w:t xml:space="preserve"> and in rel-15 NR</w:t>
      </w:r>
      <w:r w:rsidRPr="00091CFF">
        <w:rPr>
          <w:rFonts w:ascii="Arial" w:hAnsi="Arial" w:cs="Arial"/>
          <w:sz w:val="20"/>
          <w:szCs w:val="20"/>
          <w:lang w:val="en-US"/>
        </w:rPr>
        <w:t xml:space="preserve">, the </w:t>
      </w:r>
      <w:r w:rsidR="00014F75" w:rsidRPr="00091CFF">
        <w:rPr>
          <w:rFonts w:ascii="Arial" w:hAnsi="Arial" w:cs="Arial"/>
          <w:sz w:val="20"/>
          <w:szCs w:val="20"/>
          <w:lang w:val="en-US"/>
        </w:rPr>
        <w:t xml:space="preserve">network is limited to configure a single </w:t>
      </w:r>
      <w:r w:rsidRPr="00091CFF">
        <w:rPr>
          <w:rFonts w:ascii="Arial" w:hAnsi="Arial" w:cs="Arial"/>
          <w:sz w:val="20"/>
          <w:szCs w:val="20"/>
          <w:lang w:val="en-US"/>
        </w:rPr>
        <w:t xml:space="preserve">trigger quantity (RSRP or RSRQ) per </w:t>
      </w:r>
      <w:proofErr w:type="spellStart"/>
      <w:r w:rsidR="006C3DF4" w:rsidRPr="00091CFF">
        <w:rPr>
          <w:rFonts w:ascii="Arial" w:hAnsi="Arial" w:cs="Arial"/>
          <w:i/>
          <w:sz w:val="20"/>
          <w:szCs w:val="20"/>
          <w:lang w:val="en-US"/>
        </w:rPr>
        <w:t>reportConfigNR</w:t>
      </w:r>
      <w:proofErr w:type="spellEnd"/>
      <w:r w:rsidRPr="00091CFF">
        <w:rPr>
          <w:rFonts w:ascii="Arial" w:hAnsi="Arial" w:cs="Arial"/>
          <w:i/>
          <w:sz w:val="20"/>
          <w:szCs w:val="20"/>
          <w:lang w:val="en-US"/>
        </w:rPr>
        <w:t xml:space="preserve"> </w:t>
      </w:r>
      <w:r w:rsidR="00014F75" w:rsidRPr="00091CFF">
        <w:rPr>
          <w:rFonts w:ascii="Arial" w:hAnsi="Arial" w:cs="Arial"/>
          <w:sz w:val="20"/>
          <w:szCs w:val="20"/>
          <w:lang w:val="en-US"/>
        </w:rPr>
        <w:t xml:space="preserve">which may </w:t>
      </w:r>
      <w:r w:rsidRPr="00091CFF">
        <w:rPr>
          <w:rFonts w:ascii="Arial" w:hAnsi="Arial" w:cs="Arial"/>
          <w:sz w:val="20"/>
          <w:szCs w:val="20"/>
          <w:lang w:val="en-US"/>
        </w:rPr>
        <w:t>lead to more measurement report</w:t>
      </w:r>
      <w:r w:rsidR="00573E9E" w:rsidRPr="00091CFF">
        <w:rPr>
          <w:rFonts w:ascii="Arial" w:hAnsi="Arial" w:cs="Arial"/>
          <w:sz w:val="20"/>
          <w:szCs w:val="20"/>
          <w:lang w:val="en-US"/>
        </w:rPr>
        <w:t>s</w:t>
      </w:r>
      <w:r w:rsidRPr="00091CFF">
        <w:rPr>
          <w:rFonts w:ascii="Arial" w:hAnsi="Arial" w:cs="Arial"/>
          <w:sz w:val="20"/>
          <w:szCs w:val="20"/>
          <w:lang w:val="en-US"/>
        </w:rPr>
        <w:t xml:space="preserve"> being triggered by the UE.</w:t>
      </w:r>
      <w:bookmarkEnd w:id="5"/>
      <w:bookmarkEnd w:id="6"/>
      <w:bookmarkEnd w:id="7"/>
      <w:bookmarkEnd w:id="8"/>
    </w:p>
    <w:p w14:paraId="661372C6" w14:textId="66DE6264" w:rsidR="00F55E65" w:rsidRPr="00091CFF" w:rsidRDefault="00F55E65" w:rsidP="009F2D8E">
      <w:pPr>
        <w:pStyle w:val="Observation"/>
        <w:rPr>
          <w:rFonts w:ascii="Arial" w:hAnsi="Arial" w:cs="Arial"/>
          <w:sz w:val="20"/>
          <w:szCs w:val="20"/>
          <w:lang w:val="en-US"/>
        </w:rPr>
      </w:pPr>
      <w:bookmarkStart w:id="10" w:name="_Toc12372181"/>
      <w:bookmarkStart w:id="11" w:name="_Toc12372202"/>
      <w:bookmarkStart w:id="12" w:name="_Toc12372208"/>
      <w:bookmarkStart w:id="13" w:name="_Toc16803253"/>
      <w:r w:rsidRPr="00091CFF">
        <w:rPr>
          <w:rFonts w:ascii="Arial" w:hAnsi="Arial" w:cs="Arial"/>
          <w:sz w:val="20"/>
          <w:szCs w:val="20"/>
          <w:lang w:val="en-US"/>
        </w:rPr>
        <w:t xml:space="preserve">Having multiple </w:t>
      </w:r>
      <w:proofErr w:type="spellStart"/>
      <w:r w:rsidRPr="00306367">
        <w:rPr>
          <w:rFonts w:ascii="Arial" w:hAnsi="Arial" w:cs="Arial"/>
          <w:i/>
          <w:sz w:val="20"/>
          <w:szCs w:val="20"/>
          <w:lang w:val="en-US"/>
        </w:rPr>
        <w:t>triggerQuantity</w:t>
      </w:r>
      <w:proofErr w:type="spellEnd"/>
      <w:r w:rsidRPr="00091CFF">
        <w:rPr>
          <w:rFonts w:ascii="Arial" w:hAnsi="Arial" w:cs="Arial"/>
          <w:sz w:val="20"/>
          <w:szCs w:val="20"/>
          <w:lang w:val="en-US"/>
        </w:rPr>
        <w:t xml:space="preserve"> based reporting configuration would enable reducing of the RRC signaling overhead, improvement in UE battery consumption via reduced reporting overhead and less memory and processing overhead at the network side.</w:t>
      </w:r>
      <w:bookmarkEnd w:id="10"/>
      <w:bookmarkEnd w:id="11"/>
      <w:bookmarkEnd w:id="12"/>
      <w:bookmarkEnd w:id="13"/>
    </w:p>
    <w:p w14:paraId="10E7CD39" w14:textId="1CD89C5C" w:rsidR="00F40EF8" w:rsidRPr="00091CFF" w:rsidRDefault="00F40EF8" w:rsidP="00C65CC1">
      <w:pPr>
        <w:rPr>
          <w:b/>
          <w:lang w:val="en-US"/>
        </w:rPr>
      </w:pPr>
      <w:bookmarkStart w:id="14" w:name="_Toc12372235"/>
      <w:bookmarkStart w:id="15" w:name="_Toc12372251"/>
      <w:bookmarkEnd w:id="9"/>
      <w:r w:rsidRPr="00091CFF">
        <w:rPr>
          <w:lang w:val="en-US"/>
        </w:rPr>
        <w:t>A simple way to enable the network to take mobility decisions in an efficient manner is to possibly enable the configuration of multiple trigger quantities per event. For example, the network could configure an event A1 to only be trigger if both RSRP and RSRQ becomes better than a threshold.</w:t>
      </w:r>
      <w:bookmarkEnd w:id="14"/>
      <w:bookmarkEnd w:id="15"/>
    </w:p>
    <w:p w14:paraId="59A7666A" w14:textId="7F0319BA" w:rsidR="001E7A45" w:rsidRPr="00091CFF" w:rsidRDefault="00F40EF8" w:rsidP="00C65CC1">
      <w:pPr>
        <w:rPr>
          <w:b/>
          <w:lang w:val="en-US"/>
        </w:rPr>
      </w:pPr>
      <w:bookmarkStart w:id="16" w:name="_Toc12372236"/>
      <w:bookmarkStart w:id="17" w:name="_Toc12372252"/>
      <w:r w:rsidRPr="00091CFF">
        <w:rPr>
          <w:lang w:val="en-US"/>
        </w:rPr>
        <w:t xml:space="preserve">Notice that this does not introduce any additional burden to the UE since the network </w:t>
      </w:r>
      <w:r w:rsidR="00B4220C">
        <w:rPr>
          <w:lang w:val="en-US"/>
        </w:rPr>
        <w:t>would</w:t>
      </w:r>
      <w:r w:rsidR="00B4220C" w:rsidRPr="00091CFF">
        <w:rPr>
          <w:lang w:val="en-US"/>
        </w:rPr>
        <w:t xml:space="preserve"> </w:t>
      </w:r>
      <w:r w:rsidR="00B4220C">
        <w:rPr>
          <w:lang w:val="en-US"/>
        </w:rPr>
        <w:t xml:space="preserve">in this scenario </w:t>
      </w:r>
      <w:r w:rsidRPr="00091CFF">
        <w:rPr>
          <w:lang w:val="en-US"/>
        </w:rPr>
        <w:t xml:space="preserve">anyway configure two events to obtain the same information, although that would </w:t>
      </w:r>
      <w:r w:rsidR="00B4220C">
        <w:rPr>
          <w:lang w:val="en-US"/>
        </w:rPr>
        <w:t xml:space="preserve">cause </w:t>
      </w:r>
      <w:r w:rsidRPr="00091CFF">
        <w:rPr>
          <w:lang w:val="en-US"/>
        </w:rPr>
        <w:t>more UE battery consumption and signaling, as more measurement reports would have to be transmitted before a handover is triggered.</w:t>
      </w:r>
      <w:bookmarkEnd w:id="16"/>
      <w:bookmarkEnd w:id="17"/>
    </w:p>
    <w:p w14:paraId="121CADC5" w14:textId="6B98EDAE" w:rsidR="00625E13" w:rsidRDefault="005542BF" w:rsidP="00625E13">
      <w:pPr>
        <w:pStyle w:val="Proposal"/>
        <w:tabs>
          <w:tab w:val="num" w:pos="1701"/>
        </w:tabs>
        <w:rPr>
          <w:rFonts w:ascii="Arial" w:hAnsi="Arial" w:cs="Arial"/>
          <w:sz w:val="20"/>
          <w:szCs w:val="20"/>
          <w:lang w:val="en-US"/>
        </w:rPr>
      </w:pPr>
      <w:bookmarkStart w:id="18" w:name="_Hlk490232774"/>
      <w:bookmarkStart w:id="19" w:name="_Toc12372237"/>
      <w:bookmarkStart w:id="20" w:name="_Toc12372253"/>
      <w:bookmarkStart w:id="21" w:name="_Toc12372264"/>
      <w:bookmarkStart w:id="22" w:name="_Toc12372273"/>
      <w:bookmarkStart w:id="23" w:name="_Toc16671152"/>
      <w:bookmarkStart w:id="24" w:name="_Toc16803248"/>
      <w:bookmarkStart w:id="25" w:name="_Toc16804122"/>
      <w:r>
        <w:rPr>
          <w:rFonts w:ascii="Arial" w:hAnsi="Arial" w:cs="Arial"/>
          <w:sz w:val="20"/>
          <w:szCs w:val="20"/>
          <w:lang w:val="en-US"/>
        </w:rPr>
        <w:lastRenderedPageBreak/>
        <w:t>A single r</w:t>
      </w:r>
      <w:r w:rsidR="00E9204B">
        <w:rPr>
          <w:rFonts w:ascii="Arial" w:hAnsi="Arial" w:cs="Arial"/>
          <w:sz w:val="20"/>
          <w:szCs w:val="20"/>
          <w:lang w:val="en-US"/>
        </w:rPr>
        <w:t>eporting</w:t>
      </w:r>
      <w:r w:rsidR="00CD7CBA">
        <w:rPr>
          <w:rFonts w:ascii="Arial" w:hAnsi="Arial" w:cs="Arial"/>
          <w:sz w:val="20"/>
          <w:szCs w:val="20"/>
          <w:lang w:val="en-US"/>
        </w:rPr>
        <w:t xml:space="preserve"> configuration can involve multiple trigger quantities </w:t>
      </w:r>
      <w:r w:rsidR="00573E9E" w:rsidRPr="00091CFF">
        <w:rPr>
          <w:rFonts w:ascii="Arial" w:hAnsi="Arial" w:cs="Arial"/>
          <w:sz w:val="20"/>
          <w:szCs w:val="20"/>
          <w:lang w:val="en-US"/>
        </w:rPr>
        <w:t xml:space="preserve">(e.g., RSRP </w:t>
      </w:r>
      <w:r w:rsidR="00CD7CBA" w:rsidRPr="00CD7CBA">
        <w:rPr>
          <w:rFonts w:ascii="Arial" w:hAnsi="Arial" w:cs="Arial"/>
          <w:sz w:val="20"/>
          <w:szCs w:val="20"/>
          <w:u w:val="single"/>
          <w:lang w:val="en-US"/>
        </w:rPr>
        <w:t>and</w:t>
      </w:r>
      <w:r w:rsidR="00451CED" w:rsidRPr="00091CFF">
        <w:rPr>
          <w:rFonts w:ascii="Arial" w:hAnsi="Arial" w:cs="Arial"/>
          <w:sz w:val="20"/>
          <w:szCs w:val="20"/>
          <w:lang w:val="en-US"/>
        </w:rPr>
        <w:t xml:space="preserve"> </w:t>
      </w:r>
      <w:r w:rsidR="00573E9E" w:rsidRPr="00091CFF">
        <w:rPr>
          <w:rFonts w:ascii="Arial" w:hAnsi="Arial" w:cs="Arial"/>
          <w:sz w:val="20"/>
          <w:szCs w:val="20"/>
          <w:lang w:val="en-US"/>
        </w:rPr>
        <w:t>RSRQ</w:t>
      </w:r>
      <w:r w:rsidR="00451CED" w:rsidRPr="00091CFF">
        <w:rPr>
          <w:rFonts w:ascii="Arial" w:hAnsi="Arial" w:cs="Arial"/>
          <w:sz w:val="20"/>
          <w:szCs w:val="20"/>
          <w:lang w:val="en-US"/>
        </w:rPr>
        <w:t>)</w:t>
      </w:r>
      <w:bookmarkEnd w:id="18"/>
      <w:r w:rsidR="00E9204B">
        <w:rPr>
          <w:rFonts w:ascii="Arial" w:hAnsi="Arial" w:cs="Arial"/>
          <w:sz w:val="20"/>
          <w:szCs w:val="20"/>
          <w:lang w:val="en-US"/>
        </w:rPr>
        <w:t xml:space="preserve"> for event triggered measurement reports</w:t>
      </w:r>
      <w:r w:rsidR="005259A3" w:rsidRPr="00091CFF">
        <w:rPr>
          <w:rFonts w:ascii="Arial" w:hAnsi="Arial" w:cs="Arial"/>
          <w:sz w:val="20"/>
          <w:szCs w:val="20"/>
          <w:lang w:val="en-US"/>
        </w:rPr>
        <w:t>.</w:t>
      </w:r>
      <w:bookmarkEnd w:id="19"/>
      <w:bookmarkEnd w:id="20"/>
      <w:bookmarkEnd w:id="21"/>
      <w:bookmarkEnd w:id="22"/>
      <w:bookmarkEnd w:id="23"/>
      <w:bookmarkEnd w:id="24"/>
      <w:bookmarkEnd w:id="25"/>
      <w:r w:rsidR="005259A3" w:rsidRPr="00091CFF">
        <w:rPr>
          <w:rFonts w:ascii="Arial" w:hAnsi="Arial" w:cs="Arial"/>
          <w:sz w:val="20"/>
          <w:szCs w:val="20"/>
          <w:lang w:val="en-US"/>
        </w:rPr>
        <w:t xml:space="preserve"> </w:t>
      </w:r>
    </w:p>
    <w:p w14:paraId="64E3297D" w14:textId="27E7A245" w:rsidR="00FF038F" w:rsidRPr="00091CFF" w:rsidRDefault="00FF038F" w:rsidP="00625E13">
      <w:pPr>
        <w:pStyle w:val="Proposal"/>
        <w:tabs>
          <w:tab w:val="num" w:pos="1701"/>
        </w:tabs>
        <w:rPr>
          <w:rFonts w:ascii="Arial" w:hAnsi="Arial" w:cs="Arial"/>
          <w:sz w:val="20"/>
          <w:szCs w:val="20"/>
          <w:lang w:val="en-US"/>
        </w:rPr>
      </w:pPr>
      <w:bookmarkStart w:id="26" w:name="_Toc16804123"/>
      <w:r>
        <w:rPr>
          <w:rFonts w:ascii="Arial" w:hAnsi="Arial" w:cs="Arial"/>
          <w:sz w:val="20"/>
          <w:szCs w:val="20"/>
          <w:lang w:val="en-US"/>
        </w:rPr>
        <w:t xml:space="preserve">RAN2 is requested to approve the </w:t>
      </w:r>
      <w:r w:rsidR="00DC1488">
        <w:rPr>
          <w:rFonts w:ascii="Arial" w:hAnsi="Arial" w:cs="Arial"/>
          <w:sz w:val="20"/>
          <w:szCs w:val="20"/>
          <w:lang w:val="en-US"/>
        </w:rPr>
        <w:t xml:space="preserve">corresponding </w:t>
      </w:r>
      <w:r>
        <w:rPr>
          <w:rFonts w:ascii="Arial" w:hAnsi="Arial" w:cs="Arial"/>
          <w:sz w:val="20"/>
          <w:szCs w:val="20"/>
          <w:lang w:val="en-US"/>
        </w:rPr>
        <w:t>CR</w:t>
      </w:r>
      <w:r w:rsidR="00DC1488">
        <w:rPr>
          <w:rFonts w:ascii="Arial" w:hAnsi="Arial" w:cs="Arial"/>
          <w:sz w:val="20"/>
          <w:szCs w:val="20"/>
          <w:lang w:val="en-US"/>
        </w:rPr>
        <w:t>s</w:t>
      </w:r>
      <w:bookmarkStart w:id="27" w:name="_GoBack"/>
      <w:bookmarkEnd w:id="27"/>
      <w:r>
        <w:rPr>
          <w:rFonts w:ascii="Arial" w:hAnsi="Arial" w:cs="Arial"/>
          <w:sz w:val="20"/>
          <w:szCs w:val="20"/>
          <w:lang w:val="en-US"/>
        </w:rPr>
        <w:t xml:space="preserve"> provided in </w:t>
      </w:r>
      <w:r>
        <w:rPr>
          <w:rFonts w:ascii="Arial" w:hAnsi="Arial" w:cs="Arial"/>
          <w:sz w:val="20"/>
          <w:szCs w:val="20"/>
          <w:lang w:val="en-US"/>
        </w:rPr>
        <w:fldChar w:fldCharType="begin"/>
      </w:r>
      <w:r>
        <w:rPr>
          <w:rFonts w:ascii="Arial" w:hAnsi="Arial" w:cs="Arial"/>
          <w:sz w:val="20"/>
          <w:szCs w:val="20"/>
          <w:lang w:val="en-US"/>
        </w:rPr>
        <w:instrText xml:space="preserve"> REF _Ref16804109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[1]</w:t>
      </w:r>
      <w:r>
        <w:rPr>
          <w:rFonts w:ascii="Arial" w:hAnsi="Arial" w:cs="Arial"/>
          <w:sz w:val="20"/>
          <w:szCs w:val="20"/>
          <w:lang w:val="en-US"/>
        </w:rPr>
        <w:fldChar w:fldCharType="end"/>
      </w:r>
      <w:r>
        <w:rPr>
          <w:rFonts w:ascii="Arial" w:hAnsi="Arial" w:cs="Arial"/>
          <w:sz w:val="20"/>
          <w:szCs w:val="20"/>
          <w:lang w:val="en-US"/>
        </w:rPr>
        <w:t xml:space="preserve"> and </w:t>
      </w:r>
      <w:r>
        <w:rPr>
          <w:rFonts w:ascii="Arial" w:hAnsi="Arial" w:cs="Arial"/>
          <w:sz w:val="20"/>
          <w:szCs w:val="20"/>
          <w:lang w:val="en-US"/>
        </w:rPr>
        <w:fldChar w:fldCharType="begin"/>
      </w:r>
      <w:r>
        <w:rPr>
          <w:rFonts w:ascii="Arial" w:hAnsi="Arial" w:cs="Arial"/>
          <w:sz w:val="20"/>
          <w:szCs w:val="20"/>
          <w:lang w:val="en-US"/>
        </w:rPr>
        <w:instrText xml:space="preserve"> REF _Ref16804111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[2]</w:t>
      </w:r>
      <w:r>
        <w:rPr>
          <w:rFonts w:ascii="Arial" w:hAnsi="Arial" w:cs="Arial"/>
          <w:sz w:val="20"/>
          <w:szCs w:val="20"/>
          <w:lang w:val="en-US"/>
        </w:rPr>
        <w:fldChar w:fldCharType="end"/>
      </w:r>
      <w:r>
        <w:rPr>
          <w:rFonts w:ascii="Arial" w:hAnsi="Arial" w:cs="Arial"/>
          <w:sz w:val="20"/>
          <w:szCs w:val="20"/>
          <w:lang w:val="en-US"/>
        </w:rPr>
        <w:t>.</w:t>
      </w:r>
      <w:bookmarkEnd w:id="26"/>
    </w:p>
    <w:p w14:paraId="0EA3E36A" w14:textId="77777777" w:rsidR="00D8203B" w:rsidRPr="00573E9E" w:rsidRDefault="00D8203B" w:rsidP="00D8203B">
      <w:pPr>
        <w:pStyle w:val="Heading1"/>
        <w:rPr>
          <w:lang w:val="en-US"/>
        </w:rPr>
      </w:pPr>
      <w:bookmarkStart w:id="28" w:name="_Toc461106288"/>
      <w:bookmarkEnd w:id="2"/>
      <w:bookmarkEnd w:id="28"/>
      <w:r w:rsidRPr="00573E9E">
        <w:rPr>
          <w:lang w:val="en-US"/>
        </w:rPr>
        <w:t>Conclusion</w:t>
      </w:r>
    </w:p>
    <w:p w14:paraId="7D7B443F" w14:textId="5249D2D6" w:rsidR="00022FF7" w:rsidRPr="00091CFF" w:rsidRDefault="00022FF7" w:rsidP="00C65CC1">
      <w:pPr>
        <w:rPr>
          <w:b/>
          <w:lang w:val="en-US"/>
        </w:rPr>
      </w:pPr>
      <w:bookmarkStart w:id="29" w:name="_Toc485398802"/>
      <w:bookmarkStart w:id="30" w:name="_Toc485417365"/>
      <w:bookmarkStart w:id="31" w:name="_Toc12372239"/>
      <w:bookmarkStart w:id="32" w:name="_Toc12372255"/>
      <w:bookmarkStart w:id="33" w:name="_Toc12372266"/>
      <w:r w:rsidRPr="00091CFF">
        <w:rPr>
          <w:lang w:val="en-US"/>
        </w:rPr>
        <w:t>In this contribution, the following observations were captured:</w:t>
      </w:r>
      <w:bookmarkEnd w:id="29"/>
      <w:bookmarkEnd w:id="30"/>
      <w:bookmarkEnd w:id="31"/>
      <w:bookmarkEnd w:id="32"/>
      <w:bookmarkEnd w:id="33"/>
    </w:p>
    <w:p w14:paraId="1BA92623" w14:textId="77777777" w:rsidR="000962A3" w:rsidRPr="000962A3" w:rsidRDefault="00C65CC1">
      <w:pPr>
        <w:pStyle w:val="TOC1"/>
        <w:rPr>
          <w:rFonts w:asciiTheme="minorHAnsi" w:eastAsiaTheme="minorEastAsia" w:hAnsiTheme="minorHAnsi" w:cstheme="minorBidi"/>
          <w:b w:val="0"/>
          <w:sz w:val="22"/>
          <w:lang w:eastAsia="sv-SE"/>
        </w:rPr>
      </w:pPr>
      <w:r>
        <w:rPr>
          <w:rFonts w:cs="Arial"/>
          <w:b w:val="0"/>
          <w:kern w:val="2"/>
          <w:szCs w:val="20"/>
        </w:rPr>
        <w:fldChar w:fldCharType="begin"/>
      </w:r>
      <w:r>
        <w:rPr>
          <w:rFonts w:cs="Arial"/>
          <w:b w:val="0"/>
          <w:kern w:val="2"/>
          <w:szCs w:val="20"/>
        </w:rPr>
        <w:instrText xml:space="preserve"> TOC \n \t "Observation;1" </w:instrText>
      </w:r>
      <w:r>
        <w:rPr>
          <w:rFonts w:cs="Arial"/>
          <w:b w:val="0"/>
          <w:kern w:val="2"/>
          <w:szCs w:val="20"/>
        </w:rPr>
        <w:fldChar w:fldCharType="separate"/>
      </w:r>
      <w:r w:rsidR="000962A3" w:rsidRPr="005B0AAC">
        <w:rPr>
          <w:rFonts w:cs="Arial"/>
        </w:rPr>
        <w:t>Observation 1</w:t>
      </w:r>
      <w:r w:rsidR="000962A3" w:rsidRPr="000962A3">
        <w:rPr>
          <w:rFonts w:asciiTheme="minorHAnsi" w:eastAsiaTheme="minorEastAsia" w:hAnsiTheme="minorHAnsi" w:cstheme="minorBidi"/>
          <w:b w:val="0"/>
          <w:sz w:val="22"/>
          <w:lang w:eastAsia="sv-SE"/>
        </w:rPr>
        <w:tab/>
      </w:r>
      <w:r w:rsidR="000962A3" w:rsidRPr="005B0AAC">
        <w:rPr>
          <w:rFonts w:cs="Arial"/>
        </w:rPr>
        <w:t xml:space="preserve">In LTE and in rel-15 NR, the network is limited to configure a single trigger quantity (RSRP or RSRQ) per </w:t>
      </w:r>
      <w:r w:rsidR="000962A3" w:rsidRPr="005B0AAC">
        <w:rPr>
          <w:rFonts w:cs="Arial"/>
          <w:i/>
        </w:rPr>
        <w:t xml:space="preserve">reportConfigNR </w:t>
      </w:r>
      <w:r w:rsidR="000962A3" w:rsidRPr="005B0AAC">
        <w:rPr>
          <w:rFonts w:cs="Arial"/>
        </w:rPr>
        <w:t>which may lead to more measurement reports being triggered by the UE.</w:t>
      </w:r>
    </w:p>
    <w:p w14:paraId="4328DADD" w14:textId="77777777" w:rsidR="000962A3" w:rsidRPr="000962A3" w:rsidRDefault="000962A3">
      <w:pPr>
        <w:pStyle w:val="TOC1"/>
        <w:rPr>
          <w:rFonts w:asciiTheme="minorHAnsi" w:eastAsiaTheme="minorEastAsia" w:hAnsiTheme="minorHAnsi" w:cstheme="minorBidi"/>
          <w:b w:val="0"/>
          <w:sz w:val="22"/>
          <w:lang w:eastAsia="sv-SE"/>
        </w:rPr>
      </w:pPr>
      <w:r w:rsidRPr="005B0AAC">
        <w:rPr>
          <w:rFonts w:cs="Arial"/>
        </w:rPr>
        <w:t>Observation 2</w:t>
      </w:r>
      <w:r w:rsidRPr="000962A3">
        <w:rPr>
          <w:rFonts w:asciiTheme="minorHAnsi" w:eastAsiaTheme="minorEastAsia" w:hAnsiTheme="minorHAnsi" w:cstheme="minorBidi"/>
          <w:b w:val="0"/>
          <w:sz w:val="22"/>
          <w:lang w:eastAsia="sv-SE"/>
        </w:rPr>
        <w:tab/>
      </w:r>
      <w:r w:rsidRPr="005B0AAC">
        <w:rPr>
          <w:rFonts w:cs="Arial"/>
        </w:rPr>
        <w:t xml:space="preserve">Having multiple </w:t>
      </w:r>
      <w:r w:rsidRPr="005B0AAC">
        <w:rPr>
          <w:rFonts w:cs="Arial"/>
          <w:i/>
        </w:rPr>
        <w:t>triggerQuantity</w:t>
      </w:r>
      <w:r w:rsidRPr="005B0AAC">
        <w:rPr>
          <w:rFonts w:cs="Arial"/>
        </w:rPr>
        <w:t xml:space="preserve"> based reporting configuration would enable reducing of the RRC signaling overhead, improvement in UE battery consumption via reduced reporting overhead and less memory and processing overhead at the network side.</w:t>
      </w:r>
    </w:p>
    <w:p w14:paraId="517857B6" w14:textId="7B3782FD"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2876DD52" w14:textId="77777777" w:rsidR="00FF038F" w:rsidRPr="00FF038F"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FF038F" w:rsidRPr="0094414C">
        <w:rPr>
          <w:rFonts w:cs="Arial"/>
        </w:rPr>
        <w:t>Proposal 1</w:t>
      </w:r>
      <w:r w:rsidR="00FF038F" w:rsidRPr="00FF038F">
        <w:rPr>
          <w:rFonts w:asciiTheme="minorHAnsi" w:eastAsiaTheme="minorEastAsia" w:hAnsiTheme="minorHAnsi" w:cstheme="minorBidi"/>
          <w:b w:val="0"/>
          <w:sz w:val="22"/>
          <w:lang w:eastAsia="sv-SE"/>
        </w:rPr>
        <w:tab/>
      </w:r>
      <w:r w:rsidR="00FF038F" w:rsidRPr="0094414C">
        <w:rPr>
          <w:rFonts w:cs="Arial"/>
        </w:rPr>
        <w:t xml:space="preserve">A single reporting configuration can involve multiple trigger quantities (e.g., RSRP </w:t>
      </w:r>
      <w:r w:rsidR="00FF038F" w:rsidRPr="0094414C">
        <w:rPr>
          <w:rFonts w:cs="Arial"/>
          <w:u w:val="single"/>
        </w:rPr>
        <w:t>and</w:t>
      </w:r>
      <w:r w:rsidR="00FF038F" w:rsidRPr="0094414C">
        <w:rPr>
          <w:rFonts w:cs="Arial"/>
        </w:rPr>
        <w:t xml:space="preserve"> RSRQ) for event triggered measurement reports.</w:t>
      </w:r>
    </w:p>
    <w:p w14:paraId="73155027" w14:textId="77777777" w:rsidR="00FF038F" w:rsidRPr="00FF038F" w:rsidRDefault="00FF038F">
      <w:pPr>
        <w:pStyle w:val="TOC1"/>
        <w:rPr>
          <w:rFonts w:asciiTheme="minorHAnsi" w:eastAsiaTheme="minorEastAsia" w:hAnsiTheme="minorHAnsi" w:cstheme="minorBidi"/>
          <w:b w:val="0"/>
          <w:sz w:val="22"/>
          <w:lang w:eastAsia="sv-SE"/>
        </w:rPr>
      </w:pPr>
      <w:r w:rsidRPr="0094414C">
        <w:rPr>
          <w:rFonts w:cs="Arial"/>
        </w:rPr>
        <w:t>Proposal 2</w:t>
      </w:r>
      <w:r w:rsidRPr="00FF038F">
        <w:rPr>
          <w:rFonts w:asciiTheme="minorHAnsi" w:eastAsiaTheme="minorEastAsia" w:hAnsiTheme="minorHAnsi" w:cstheme="minorBidi"/>
          <w:b w:val="0"/>
          <w:sz w:val="22"/>
          <w:lang w:eastAsia="sv-SE"/>
        </w:rPr>
        <w:tab/>
      </w:r>
      <w:r w:rsidRPr="0094414C">
        <w:rPr>
          <w:rFonts w:cs="Arial"/>
        </w:rPr>
        <w:t>RAN2 is requested to approve the CR provided in [1] and [2].</w:t>
      </w:r>
    </w:p>
    <w:p w14:paraId="72CCAC51" w14:textId="6F0185CC" w:rsidR="00C65CC1" w:rsidRDefault="00C65CC1" w:rsidP="00C65CC1">
      <w:pPr>
        <w:pStyle w:val="TOC1"/>
        <w:ind w:left="0" w:firstLine="0"/>
        <w:jc w:val="both"/>
        <w:rPr>
          <w:rFonts w:cs="Arial"/>
          <w:b w:val="0"/>
        </w:rPr>
      </w:pPr>
      <w:r>
        <w:rPr>
          <w:rFonts w:cs="Arial"/>
          <w:b w:val="0"/>
        </w:rPr>
        <w:fldChar w:fldCharType="end"/>
      </w:r>
    </w:p>
    <w:p w14:paraId="08195ED2" w14:textId="4D0AC905" w:rsidR="00FF038F" w:rsidRPr="00573E9E" w:rsidRDefault="00FF038F" w:rsidP="00FF038F">
      <w:pPr>
        <w:pStyle w:val="Heading1"/>
        <w:rPr>
          <w:lang w:val="en-US"/>
        </w:rPr>
      </w:pPr>
      <w:r>
        <w:rPr>
          <w:lang w:val="en-US"/>
        </w:rPr>
        <w:t>Reference</w:t>
      </w:r>
    </w:p>
    <w:p w14:paraId="1610256F" w14:textId="26ED54E6" w:rsidR="00C47A40" w:rsidRDefault="00FF038F" w:rsidP="00FF038F">
      <w:pPr>
        <w:pStyle w:val="Reference"/>
        <w:numPr>
          <w:ilvl w:val="0"/>
          <w:numId w:val="27"/>
        </w:numPr>
        <w:rPr>
          <w:rFonts w:ascii="Arial" w:hAnsi="Arial" w:cs="Arial"/>
          <w:sz w:val="20"/>
          <w:szCs w:val="20"/>
          <w:lang w:val="en-US"/>
        </w:rPr>
      </w:pPr>
      <w:bookmarkStart w:id="34" w:name="_Ref16804109"/>
      <w:r>
        <w:rPr>
          <w:rFonts w:ascii="Arial" w:hAnsi="Arial" w:cs="Arial"/>
          <w:sz w:val="20"/>
          <w:szCs w:val="20"/>
          <w:lang w:val="en-US"/>
        </w:rPr>
        <w:t xml:space="preserve">R2-1910833, </w:t>
      </w:r>
      <w:r w:rsidRPr="00FF038F">
        <w:rPr>
          <w:rFonts w:ascii="Arial" w:hAnsi="Arial" w:cs="Arial"/>
          <w:sz w:val="20"/>
          <w:szCs w:val="20"/>
          <w:lang w:val="en-US"/>
        </w:rPr>
        <w:t>CR to 38.331 on Triggering condition for A1-A6 events in NR</w:t>
      </w:r>
      <w:r>
        <w:rPr>
          <w:rFonts w:ascii="Arial" w:hAnsi="Arial" w:cs="Arial"/>
          <w:sz w:val="20"/>
          <w:szCs w:val="20"/>
          <w:lang w:val="en-US"/>
        </w:rPr>
        <w:t>, Ericsson, RAN2#107 meeting, Prague, Aug 2019</w:t>
      </w:r>
      <w:bookmarkEnd w:id="34"/>
    </w:p>
    <w:p w14:paraId="79DEB58C" w14:textId="539AB3ED" w:rsidR="00FF038F" w:rsidRDefault="00FF038F" w:rsidP="00FF038F">
      <w:pPr>
        <w:pStyle w:val="Reference"/>
        <w:numPr>
          <w:ilvl w:val="0"/>
          <w:numId w:val="27"/>
        </w:numPr>
        <w:rPr>
          <w:rFonts w:ascii="Arial" w:hAnsi="Arial" w:cs="Arial"/>
          <w:sz w:val="20"/>
          <w:szCs w:val="20"/>
          <w:lang w:val="en-US"/>
        </w:rPr>
      </w:pPr>
      <w:bookmarkStart w:id="35" w:name="_Ref16804111"/>
      <w:r>
        <w:rPr>
          <w:rFonts w:ascii="Arial" w:hAnsi="Arial" w:cs="Arial"/>
          <w:sz w:val="20"/>
          <w:szCs w:val="20"/>
          <w:lang w:val="en-US"/>
        </w:rPr>
        <w:t>R2-191083</w:t>
      </w:r>
      <w:r>
        <w:rPr>
          <w:rFonts w:ascii="Arial" w:hAnsi="Arial" w:cs="Arial"/>
          <w:sz w:val="20"/>
          <w:szCs w:val="20"/>
          <w:lang w:val="en-US"/>
        </w:rPr>
        <w:t>4</w:t>
      </w:r>
      <w:r>
        <w:rPr>
          <w:rFonts w:ascii="Arial" w:hAnsi="Arial" w:cs="Arial"/>
          <w:sz w:val="20"/>
          <w:szCs w:val="20"/>
          <w:lang w:val="en-US"/>
        </w:rPr>
        <w:t xml:space="preserve">, </w:t>
      </w:r>
      <w:r w:rsidRPr="00FF038F">
        <w:rPr>
          <w:rFonts w:ascii="Arial" w:hAnsi="Arial" w:cs="Arial"/>
          <w:sz w:val="20"/>
          <w:szCs w:val="20"/>
          <w:lang w:val="en-US"/>
        </w:rPr>
        <w:t>CR to 38.3</w:t>
      </w:r>
      <w:r>
        <w:rPr>
          <w:rFonts w:ascii="Arial" w:hAnsi="Arial" w:cs="Arial"/>
          <w:sz w:val="20"/>
          <w:szCs w:val="20"/>
          <w:lang w:val="en-US"/>
        </w:rPr>
        <w:t>06</w:t>
      </w:r>
      <w:r w:rsidRPr="00FF038F">
        <w:rPr>
          <w:rFonts w:ascii="Arial" w:hAnsi="Arial" w:cs="Arial"/>
          <w:sz w:val="20"/>
          <w:szCs w:val="20"/>
          <w:lang w:val="en-US"/>
        </w:rPr>
        <w:t xml:space="preserve"> on Triggering condition for A1-A6 events in NR</w:t>
      </w:r>
      <w:r>
        <w:rPr>
          <w:rFonts w:ascii="Arial" w:hAnsi="Arial" w:cs="Arial"/>
          <w:sz w:val="20"/>
          <w:szCs w:val="20"/>
          <w:lang w:val="en-US"/>
        </w:rPr>
        <w:t>, Ericsson, RAN2#107 meeting, Prague, Aug 2019</w:t>
      </w:r>
      <w:bookmarkEnd w:id="35"/>
    </w:p>
    <w:p w14:paraId="7E3347C5" w14:textId="77777777" w:rsidR="00FF038F" w:rsidRPr="00091CFF" w:rsidRDefault="00FF038F" w:rsidP="003942E7">
      <w:pPr>
        <w:pStyle w:val="Reference"/>
        <w:numPr>
          <w:ilvl w:val="0"/>
          <w:numId w:val="0"/>
        </w:numPr>
        <w:ind w:left="567" w:hanging="567"/>
        <w:rPr>
          <w:rFonts w:ascii="Arial" w:hAnsi="Arial" w:cs="Arial"/>
          <w:sz w:val="20"/>
          <w:szCs w:val="20"/>
          <w:lang w:val="en-US"/>
        </w:rPr>
      </w:pPr>
    </w:p>
    <w:sectPr w:rsidR="00FF038F"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AC54B" w14:textId="77777777" w:rsidR="00822F4B" w:rsidRDefault="00822F4B">
      <w:r>
        <w:separator/>
      </w:r>
    </w:p>
  </w:endnote>
  <w:endnote w:type="continuationSeparator" w:id="0">
    <w:p w14:paraId="47F90597" w14:textId="77777777" w:rsidR="00822F4B" w:rsidRDefault="00822F4B">
      <w:r>
        <w:continuationSeparator/>
      </w:r>
    </w:p>
  </w:endnote>
  <w:endnote w:type="continuationNotice" w:id="1">
    <w:p w14:paraId="5362260E" w14:textId="77777777" w:rsidR="00822F4B" w:rsidRDefault="00822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EFC40" w14:textId="77777777" w:rsidR="00822F4B" w:rsidRDefault="00822F4B">
      <w:r>
        <w:separator/>
      </w:r>
    </w:p>
  </w:footnote>
  <w:footnote w:type="continuationSeparator" w:id="0">
    <w:p w14:paraId="59261941" w14:textId="77777777" w:rsidR="00822F4B" w:rsidRDefault="00822F4B">
      <w:r>
        <w:continuationSeparator/>
      </w:r>
    </w:p>
  </w:footnote>
  <w:footnote w:type="continuationNotice" w:id="1">
    <w:p w14:paraId="1748FFB5" w14:textId="77777777" w:rsidR="00822F4B" w:rsidRDefault="00822F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5F6409"/>
    <w:multiLevelType w:val="hybridMultilevel"/>
    <w:tmpl w:val="DD708AF4"/>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5"/>
  </w:num>
  <w:num w:numId="3">
    <w:abstractNumId w:val="9"/>
  </w:num>
  <w:num w:numId="4">
    <w:abstractNumId w:val="11"/>
  </w:num>
  <w:num w:numId="5">
    <w:abstractNumId w:val="7"/>
  </w:num>
  <w:num w:numId="6">
    <w:abstractNumId w:val="13"/>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12"/>
  </w:num>
  <w:num w:numId="15">
    <w:abstractNumId w:val="18"/>
  </w:num>
  <w:num w:numId="16">
    <w:abstractNumId w:val="16"/>
    <w:lvlOverride w:ilvl="0">
      <w:startOverride w:val="1"/>
    </w:lvlOverride>
  </w:num>
  <w:num w:numId="17">
    <w:abstractNumId w:val="9"/>
    <w:lvlOverride w:ilvl="0">
      <w:startOverride w:val="1"/>
    </w:lvlOverride>
  </w:num>
  <w:num w:numId="18">
    <w:abstractNumId w:val="5"/>
  </w:num>
  <w:num w:numId="19">
    <w:abstractNumId w:val="14"/>
  </w:num>
  <w:num w:numId="20">
    <w:abstractNumId w:val="19"/>
  </w:num>
  <w:num w:numId="21">
    <w:abstractNumId w:val="16"/>
    <w:lvlOverride w:ilvl="0">
      <w:startOverride w:val="1"/>
    </w:lvlOverride>
  </w:num>
  <w:num w:numId="22">
    <w:abstractNumId w:val="9"/>
    <w:lvlOverride w:ilvl="0">
      <w:startOverride w:val="1"/>
    </w:lvlOverride>
  </w:num>
  <w:num w:numId="23">
    <w:abstractNumId w:val="20"/>
  </w:num>
  <w:num w:numId="24">
    <w:abstractNumId w:val="9"/>
    <w:lvlOverride w:ilvl="0">
      <w:startOverride w:val="1"/>
    </w:lvlOverride>
  </w:num>
  <w:num w:numId="25">
    <w:abstractNumId w:val="16"/>
    <w:lvlOverride w:ilvl="0">
      <w:startOverride w:val="1"/>
    </w:lvlOverride>
  </w:num>
  <w:num w:numId="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1CFF"/>
    <w:rsid w:val="000924C1"/>
    <w:rsid w:val="000924F0"/>
    <w:rsid w:val="00093474"/>
    <w:rsid w:val="0009510F"/>
    <w:rsid w:val="000962A3"/>
    <w:rsid w:val="000A1B7B"/>
    <w:rsid w:val="000A56F2"/>
    <w:rsid w:val="000B10F3"/>
    <w:rsid w:val="000B2719"/>
    <w:rsid w:val="000B3A8F"/>
    <w:rsid w:val="000B4AB9"/>
    <w:rsid w:val="000B58C3"/>
    <w:rsid w:val="000B61E9"/>
    <w:rsid w:val="000C165A"/>
    <w:rsid w:val="000C2E19"/>
    <w:rsid w:val="000C32CE"/>
    <w:rsid w:val="000C4D74"/>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43A8"/>
    <w:rsid w:val="001644CE"/>
    <w:rsid w:val="001659C1"/>
    <w:rsid w:val="00171E18"/>
    <w:rsid w:val="00173A8E"/>
    <w:rsid w:val="00177795"/>
    <w:rsid w:val="0018143F"/>
    <w:rsid w:val="00190AC1"/>
    <w:rsid w:val="00191C49"/>
    <w:rsid w:val="0019341A"/>
    <w:rsid w:val="00195557"/>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49F"/>
    <w:rsid w:val="00230765"/>
    <w:rsid w:val="002319E4"/>
    <w:rsid w:val="00233E22"/>
    <w:rsid w:val="00235632"/>
    <w:rsid w:val="00235872"/>
    <w:rsid w:val="002406BF"/>
    <w:rsid w:val="00241559"/>
    <w:rsid w:val="002435B3"/>
    <w:rsid w:val="002458EB"/>
    <w:rsid w:val="002500C8"/>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637"/>
    <w:rsid w:val="002A1D4E"/>
    <w:rsid w:val="002A2869"/>
    <w:rsid w:val="002B24D6"/>
    <w:rsid w:val="002B67E5"/>
    <w:rsid w:val="002C41E6"/>
    <w:rsid w:val="002D071A"/>
    <w:rsid w:val="002D34B2"/>
    <w:rsid w:val="002D5566"/>
    <w:rsid w:val="002D7637"/>
    <w:rsid w:val="002E17F2"/>
    <w:rsid w:val="002E72BF"/>
    <w:rsid w:val="002E7CAE"/>
    <w:rsid w:val="002F2771"/>
    <w:rsid w:val="002F37A9"/>
    <w:rsid w:val="002F50A4"/>
    <w:rsid w:val="002F51EC"/>
    <w:rsid w:val="00301CE6"/>
    <w:rsid w:val="0030256B"/>
    <w:rsid w:val="0030501F"/>
    <w:rsid w:val="003055C2"/>
    <w:rsid w:val="00306367"/>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375CD"/>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1105"/>
    <w:rsid w:val="00423F9F"/>
    <w:rsid w:val="004242F4"/>
    <w:rsid w:val="00427248"/>
    <w:rsid w:val="00431080"/>
    <w:rsid w:val="0043249D"/>
    <w:rsid w:val="004351A3"/>
    <w:rsid w:val="00437447"/>
    <w:rsid w:val="00440B16"/>
    <w:rsid w:val="00441A92"/>
    <w:rsid w:val="00444F56"/>
    <w:rsid w:val="004453A1"/>
    <w:rsid w:val="00446488"/>
    <w:rsid w:val="004509BA"/>
    <w:rsid w:val="004517AA"/>
    <w:rsid w:val="00451811"/>
    <w:rsid w:val="00451CED"/>
    <w:rsid w:val="00452CAC"/>
    <w:rsid w:val="00453785"/>
    <w:rsid w:val="00457565"/>
    <w:rsid w:val="00457B71"/>
    <w:rsid w:val="00465F3A"/>
    <w:rsid w:val="0046698C"/>
    <w:rsid w:val="004669E2"/>
    <w:rsid w:val="00470C31"/>
    <w:rsid w:val="004734D0"/>
    <w:rsid w:val="0047556B"/>
    <w:rsid w:val="0047679C"/>
    <w:rsid w:val="00477768"/>
    <w:rsid w:val="004809B5"/>
    <w:rsid w:val="0048432E"/>
    <w:rsid w:val="00486FD1"/>
    <w:rsid w:val="00490F3E"/>
    <w:rsid w:val="00492BC5"/>
    <w:rsid w:val="004964F1"/>
    <w:rsid w:val="004A16BC"/>
    <w:rsid w:val="004A2B94"/>
    <w:rsid w:val="004A6A9D"/>
    <w:rsid w:val="004B2652"/>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219CF"/>
    <w:rsid w:val="005259A3"/>
    <w:rsid w:val="00531534"/>
    <w:rsid w:val="005338D0"/>
    <w:rsid w:val="00534B59"/>
    <w:rsid w:val="00536759"/>
    <w:rsid w:val="00537C62"/>
    <w:rsid w:val="00540030"/>
    <w:rsid w:val="0054521B"/>
    <w:rsid w:val="00546970"/>
    <w:rsid w:val="00553426"/>
    <w:rsid w:val="005542BF"/>
    <w:rsid w:val="00554E19"/>
    <w:rsid w:val="0056121F"/>
    <w:rsid w:val="00566174"/>
    <w:rsid w:val="00572505"/>
    <w:rsid w:val="00573931"/>
    <w:rsid w:val="00573E9E"/>
    <w:rsid w:val="00580202"/>
    <w:rsid w:val="00582220"/>
    <w:rsid w:val="00582809"/>
    <w:rsid w:val="005859D8"/>
    <w:rsid w:val="0058798C"/>
    <w:rsid w:val="005900FA"/>
    <w:rsid w:val="005935A4"/>
    <w:rsid w:val="005948C2"/>
    <w:rsid w:val="00595DCA"/>
    <w:rsid w:val="0059779B"/>
    <w:rsid w:val="005A209A"/>
    <w:rsid w:val="005A5FE4"/>
    <w:rsid w:val="005A662D"/>
    <w:rsid w:val="005B20BB"/>
    <w:rsid w:val="005B35D7"/>
    <w:rsid w:val="005B392A"/>
    <w:rsid w:val="005B3AA3"/>
    <w:rsid w:val="005B6F83"/>
    <w:rsid w:val="005C4F5C"/>
    <w:rsid w:val="005C74FB"/>
    <w:rsid w:val="005D1602"/>
    <w:rsid w:val="005D3CDD"/>
    <w:rsid w:val="005E2503"/>
    <w:rsid w:val="005E2624"/>
    <w:rsid w:val="005E385F"/>
    <w:rsid w:val="005E5B81"/>
    <w:rsid w:val="005E7F15"/>
    <w:rsid w:val="005F08BE"/>
    <w:rsid w:val="005F1873"/>
    <w:rsid w:val="005F1AE1"/>
    <w:rsid w:val="005F2CB1"/>
    <w:rsid w:val="005F3025"/>
    <w:rsid w:val="005F4D03"/>
    <w:rsid w:val="005F618C"/>
    <w:rsid w:val="005F70BD"/>
    <w:rsid w:val="0060283C"/>
    <w:rsid w:val="00604F14"/>
    <w:rsid w:val="00605F62"/>
    <w:rsid w:val="00611B83"/>
    <w:rsid w:val="00613257"/>
    <w:rsid w:val="00613AF4"/>
    <w:rsid w:val="00620A71"/>
    <w:rsid w:val="00620D80"/>
    <w:rsid w:val="006234A6"/>
    <w:rsid w:val="00624D23"/>
    <w:rsid w:val="00625E13"/>
    <w:rsid w:val="00630001"/>
    <w:rsid w:val="006300C0"/>
    <w:rsid w:val="006311B3"/>
    <w:rsid w:val="006321B7"/>
    <w:rsid w:val="0063284C"/>
    <w:rsid w:val="0063547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A87"/>
    <w:rsid w:val="00747D8B"/>
    <w:rsid w:val="00751228"/>
    <w:rsid w:val="007571E1"/>
    <w:rsid w:val="007604B2"/>
    <w:rsid w:val="00760B4A"/>
    <w:rsid w:val="00762A31"/>
    <w:rsid w:val="00765281"/>
    <w:rsid w:val="00765D24"/>
    <w:rsid w:val="00766BAD"/>
    <w:rsid w:val="007730BD"/>
    <w:rsid w:val="007755F2"/>
    <w:rsid w:val="00775D19"/>
    <w:rsid w:val="00776971"/>
    <w:rsid w:val="00776E78"/>
    <w:rsid w:val="0078177E"/>
    <w:rsid w:val="0078304C"/>
    <w:rsid w:val="00783673"/>
    <w:rsid w:val="00785490"/>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2F4B"/>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77FD"/>
    <w:rsid w:val="008706D4"/>
    <w:rsid w:val="00870F8A"/>
    <w:rsid w:val="0087117A"/>
    <w:rsid w:val="008719A4"/>
    <w:rsid w:val="00871D23"/>
    <w:rsid w:val="0087337B"/>
    <w:rsid w:val="00874312"/>
    <w:rsid w:val="0087437C"/>
    <w:rsid w:val="00875CD7"/>
    <w:rsid w:val="00876A54"/>
    <w:rsid w:val="00876B4D"/>
    <w:rsid w:val="00877F18"/>
    <w:rsid w:val="008919BD"/>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7057"/>
    <w:rsid w:val="008E766C"/>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36D88"/>
    <w:rsid w:val="00941636"/>
    <w:rsid w:val="00943742"/>
    <w:rsid w:val="00945C05"/>
    <w:rsid w:val="00946945"/>
    <w:rsid w:val="00947713"/>
    <w:rsid w:val="00950DE7"/>
    <w:rsid w:val="00952145"/>
    <w:rsid w:val="009533ED"/>
    <w:rsid w:val="00953920"/>
    <w:rsid w:val="00953D47"/>
    <w:rsid w:val="00955BA6"/>
    <w:rsid w:val="0095681E"/>
    <w:rsid w:val="009572D4"/>
    <w:rsid w:val="00957E31"/>
    <w:rsid w:val="00961921"/>
    <w:rsid w:val="00963032"/>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13BD"/>
    <w:rsid w:val="009D2DB6"/>
    <w:rsid w:val="009D4FF0"/>
    <w:rsid w:val="009D703C"/>
    <w:rsid w:val="009D718F"/>
    <w:rsid w:val="009E068F"/>
    <w:rsid w:val="009E1357"/>
    <w:rsid w:val="009E14E0"/>
    <w:rsid w:val="009E35DB"/>
    <w:rsid w:val="009E47A3"/>
    <w:rsid w:val="009F08F3"/>
    <w:rsid w:val="009F1ECE"/>
    <w:rsid w:val="009F2D8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317A"/>
    <w:rsid w:val="00A459B9"/>
    <w:rsid w:val="00A45B74"/>
    <w:rsid w:val="00A47581"/>
    <w:rsid w:val="00A526D9"/>
    <w:rsid w:val="00A52E1D"/>
    <w:rsid w:val="00A60A6B"/>
    <w:rsid w:val="00A61499"/>
    <w:rsid w:val="00A624F0"/>
    <w:rsid w:val="00A62A77"/>
    <w:rsid w:val="00A63483"/>
    <w:rsid w:val="00A657D7"/>
    <w:rsid w:val="00A660AC"/>
    <w:rsid w:val="00A667F9"/>
    <w:rsid w:val="00A67E6C"/>
    <w:rsid w:val="00A71B99"/>
    <w:rsid w:val="00A739D0"/>
    <w:rsid w:val="00A73BAB"/>
    <w:rsid w:val="00A761D4"/>
    <w:rsid w:val="00A77EC4"/>
    <w:rsid w:val="00A8799B"/>
    <w:rsid w:val="00A92879"/>
    <w:rsid w:val="00A9442A"/>
    <w:rsid w:val="00A95F32"/>
    <w:rsid w:val="00AA016F"/>
    <w:rsid w:val="00AA1ED6"/>
    <w:rsid w:val="00AA2677"/>
    <w:rsid w:val="00AA51D6"/>
    <w:rsid w:val="00AB0BC8"/>
    <w:rsid w:val="00AB11CA"/>
    <w:rsid w:val="00AB14D9"/>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F1C5D"/>
    <w:rsid w:val="00AF42D7"/>
    <w:rsid w:val="00AF7CEB"/>
    <w:rsid w:val="00B006FE"/>
    <w:rsid w:val="00B007CB"/>
    <w:rsid w:val="00B02AA9"/>
    <w:rsid w:val="00B02FA3"/>
    <w:rsid w:val="00B05084"/>
    <w:rsid w:val="00B0756D"/>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20C"/>
    <w:rsid w:val="00B42BDB"/>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3E8"/>
    <w:rsid w:val="00C17AFC"/>
    <w:rsid w:val="00C26FAA"/>
    <w:rsid w:val="00C279B5"/>
    <w:rsid w:val="00C27C45"/>
    <w:rsid w:val="00C31373"/>
    <w:rsid w:val="00C36688"/>
    <w:rsid w:val="00C36DB8"/>
    <w:rsid w:val="00C3719D"/>
    <w:rsid w:val="00C37CB1"/>
    <w:rsid w:val="00C47A40"/>
    <w:rsid w:val="00C54995"/>
    <w:rsid w:val="00C54D41"/>
    <w:rsid w:val="00C60783"/>
    <w:rsid w:val="00C64672"/>
    <w:rsid w:val="00C65CC1"/>
    <w:rsid w:val="00C70697"/>
    <w:rsid w:val="00C72EF4"/>
    <w:rsid w:val="00C75D2F"/>
    <w:rsid w:val="00C767BE"/>
    <w:rsid w:val="00C768D5"/>
    <w:rsid w:val="00C76963"/>
    <w:rsid w:val="00C76E3C"/>
    <w:rsid w:val="00C77F26"/>
    <w:rsid w:val="00C81568"/>
    <w:rsid w:val="00C81F28"/>
    <w:rsid w:val="00C9027A"/>
    <w:rsid w:val="00C9068E"/>
    <w:rsid w:val="00C93C4B"/>
    <w:rsid w:val="00C944AB"/>
    <w:rsid w:val="00C954B7"/>
    <w:rsid w:val="00C95B40"/>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CF76F8"/>
    <w:rsid w:val="00D0349B"/>
    <w:rsid w:val="00D04434"/>
    <w:rsid w:val="00D10249"/>
    <w:rsid w:val="00D1029B"/>
    <w:rsid w:val="00D115C3"/>
    <w:rsid w:val="00D11897"/>
    <w:rsid w:val="00D13135"/>
    <w:rsid w:val="00D13423"/>
    <w:rsid w:val="00D13E4E"/>
    <w:rsid w:val="00D15089"/>
    <w:rsid w:val="00D239A7"/>
    <w:rsid w:val="00D23F47"/>
    <w:rsid w:val="00D3005B"/>
    <w:rsid w:val="00D36E71"/>
    <w:rsid w:val="00D37D87"/>
    <w:rsid w:val="00D40B33"/>
    <w:rsid w:val="00D4318F"/>
    <w:rsid w:val="00D438BF"/>
    <w:rsid w:val="00D440F8"/>
    <w:rsid w:val="00D5264E"/>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7B1D"/>
    <w:rsid w:val="00D8021F"/>
    <w:rsid w:val="00D80383"/>
    <w:rsid w:val="00D81685"/>
    <w:rsid w:val="00D8203B"/>
    <w:rsid w:val="00D823C6"/>
    <w:rsid w:val="00D850DE"/>
    <w:rsid w:val="00D85EF7"/>
    <w:rsid w:val="00D86CA3"/>
    <w:rsid w:val="00D871CE"/>
    <w:rsid w:val="00D90BED"/>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C1488"/>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6F2D"/>
    <w:rsid w:val="00E57565"/>
    <w:rsid w:val="00E63838"/>
    <w:rsid w:val="00E64434"/>
    <w:rsid w:val="00E64679"/>
    <w:rsid w:val="00E67C51"/>
    <w:rsid w:val="00E70D86"/>
    <w:rsid w:val="00E72EFC"/>
    <w:rsid w:val="00E758EC"/>
    <w:rsid w:val="00E8234C"/>
    <w:rsid w:val="00E83AA9"/>
    <w:rsid w:val="00E85928"/>
    <w:rsid w:val="00E87822"/>
    <w:rsid w:val="00E90395"/>
    <w:rsid w:val="00E90E49"/>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4890"/>
    <w:rsid w:val="00EF136F"/>
    <w:rsid w:val="00EF18FE"/>
    <w:rsid w:val="00EF4F20"/>
    <w:rsid w:val="00EF5787"/>
    <w:rsid w:val="00EF60D0"/>
    <w:rsid w:val="00F03DBB"/>
    <w:rsid w:val="00F0528D"/>
    <w:rsid w:val="00F06C67"/>
    <w:rsid w:val="00F06DFD"/>
    <w:rsid w:val="00F071D1"/>
    <w:rsid w:val="00F07533"/>
    <w:rsid w:val="00F10629"/>
    <w:rsid w:val="00F127B3"/>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28F3"/>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07A"/>
    <w:rsid w:val="00F96985"/>
    <w:rsid w:val="00F97838"/>
    <w:rsid w:val="00FA2BB3"/>
    <w:rsid w:val="00FA3546"/>
    <w:rsid w:val="00FA3626"/>
    <w:rsid w:val="00FB3CB0"/>
    <w:rsid w:val="00FB4B14"/>
    <w:rsid w:val="00FB4C80"/>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7336"/>
    <w:rsid w:val="00FE787C"/>
    <w:rsid w:val="00FF038F"/>
    <w:rsid w:val="00FF07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38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FF03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38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670C81D6-5645-447E-863A-85113D1B2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0A5D95D-7B9B-4F12-8236-4ED279C8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4261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2019-08-15T21:28:00Z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