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C8C2B" w14:textId="7047FB17" w:rsidR="00C5740D" w:rsidRPr="00943E97" w:rsidRDefault="00C5740D" w:rsidP="00C5740D">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62336" behindDoc="0" locked="1" layoutInCell="1" allowOverlap="1" wp14:anchorId="22210E77" wp14:editId="6934A659">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CA113"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color w:val="auto"/>
          <w:sz w:val="24"/>
          <w:lang w:eastAsia="en-GB"/>
        </w:rPr>
        <w:t>3GPP TSG-RAN WG2 meeting #107</w:t>
      </w:r>
      <w:r>
        <w:rPr>
          <w:rFonts w:hint="eastAsia"/>
          <w:color w:val="auto"/>
          <w:sz w:val="24"/>
          <w:lang w:eastAsia="zh-CN"/>
        </w:rPr>
        <w:tab/>
      </w:r>
      <w:r>
        <w:rPr>
          <w:color w:val="auto"/>
          <w:sz w:val="24"/>
          <w:lang w:eastAsia="zh-CN"/>
        </w:rPr>
        <w:tab/>
      </w:r>
      <w:r w:rsidR="008F67C6">
        <w:rPr>
          <w:color w:val="auto"/>
          <w:sz w:val="24"/>
          <w:lang w:eastAsia="zh-CN"/>
        </w:rPr>
        <w:t xml:space="preserve">   </w:t>
      </w:r>
      <w:r w:rsidRPr="00BF708D">
        <w:rPr>
          <w:i/>
          <w:color w:val="auto"/>
          <w:sz w:val="24"/>
        </w:rPr>
        <w:t>R2-</w:t>
      </w:r>
      <w:r w:rsidR="008F67C6">
        <w:rPr>
          <w:i/>
          <w:color w:val="auto"/>
          <w:sz w:val="24"/>
        </w:rPr>
        <w:t>1910458</w:t>
      </w:r>
    </w:p>
    <w:p w14:paraId="607A19AC" w14:textId="2D75234D" w:rsidR="00C5740D" w:rsidRDefault="00C5740D" w:rsidP="00C5740D">
      <w:r w:rsidRPr="005F4BE8">
        <w:rPr>
          <w:b/>
          <w:sz w:val="24"/>
        </w:rPr>
        <w:t>Prague, Czech, 26 – 30 August</w:t>
      </w:r>
      <w:r w:rsidRPr="005F4BE8">
        <w:rPr>
          <w:rFonts w:hint="eastAsia"/>
          <w:b/>
          <w:sz w:val="24"/>
        </w:rPr>
        <w:t>, 2019</w:t>
      </w:r>
      <w:r>
        <w:rPr>
          <w:b/>
          <w:sz w:val="24"/>
        </w:rPr>
        <w:tab/>
      </w:r>
      <w:r>
        <w:rPr>
          <w:sz w:val="24"/>
          <w:lang w:eastAsia="zh-CN"/>
        </w:rPr>
        <w:tab/>
      </w:r>
      <w:r>
        <w:rPr>
          <w:sz w:val="24"/>
          <w:lang w:eastAsia="zh-CN"/>
        </w:rPr>
        <w:tab/>
      </w:r>
      <w:r>
        <w:rPr>
          <w:sz w:val="24"/>
          <w:lang w:eastAsia="zh-CN"/>
        </w:rPr>
        <w:tab/>
      </w:r>
      <w:r>
        <w:rPr>
          <w:sz w:val="24"/>
          <w:lang w:eastAsia="zh-CN"/>
        </w:rPr>
        <w:tab/>
      </w:r>
      <w:r w:rsidRPr="00C262CA">
        <w:rPr>
          <w:b/>
          <w:i/>
          <w:szCs w:val="18"/>
          <w:lang w:eastAsia="zh-CN"/>
        </w:rPr>
        <w:t>(</w:t>
      </w:r>
      <w:r>
        <w:rPr>
          <w:b/>
          <w:i/>
          <w:szCs w:val="18"/>
          <w:lang w:eastAsia="zh-CN"/>
        </w:rPr>
        <w:t>revision</w:t>
      </w:r>
      <w:r w:rsidRPr="00C262CA">
        <w:rPr>
          <w:b/>
          <w:i/>
          <w:szCs w:val="18"/>
          <w:lang w:eastAsia="zh-CN"/>
        </w:rPr>
        <w:t xml:space="preserve"> of R2-190</w:t>
      </w:r>
      <w:r>
        <w:rPr>
          <w:b/>
          <w:i/>
          <w:szCs w:val="18"/>
          <w:lang w:eastAsia="zh-CN"/>
        </w:rPr>
        <w:t>6345</w:t>
      </w:r>
      <w:r w:rsidRPr="00C262CA">
        <w:rPr>
          <w:b/>
          <w:i/>
          <w:szCs w:val="18"/>
          <w:lang w:eastAsia="zh-CN"/>
        </w:rPr>
        <w:t>)</w:t>
      </w:r>
    </w:p>
    <w:p w14:paraId="4737C356" w14:textId="05BBC15C" w:rsidR="00C5740D" w:rsidRPr="00E57929" w:rsidRDefault="00C5740D" w:rsidP="00C5740D">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r>
        <w:rPr>
          <w:rFonts w:ascii="Arial" w:hAnsi="Arial"/>
          <w:b/>
          <w:sz w:val="24"/>
          <w:lang w:val="en-US"/>
        </w:rPr>
        <w:tab/>
      </w:r>
      <w:r>
        <w:rPr>
          <w:rFonts w:ascii="Arial" w:hAnsi="Arial"/>
          <w:b/>
          <w:sz w:val="24"/>
          <w:lang w:val="en-US" w:eastAsia="zh-CN"/>
        </w:rPr>
        <w:t>11.5.</w:t>
      </w:r>
      <w:r w:rsidR="000B2E66">
        <w:rPr>
          <w:rFonts w:ascii="Arial" w:hAnsi="Arial"/>
          <w:b/>
          <w:sz w:val="24"/>
          <w:lang w:val="en-US" w:eastAsia="zh-CN"/>
        </w:rPr>
        <w:t>4</w:t>
      </w:r>
      <w:bookmarkStart w:id="0" w:name="_GoBack"/>
      <w:bookmarkEnd w:id="0"/>
    </w:p>
    <w:p w14:paraId="414D8AA4" w14:textId="77777777" w:rsidR="00C5740D" w:rsidRPr="004E24A8" w:rsidRDefault="00C5740D" w:rsidP="00C5740D">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56CC8B98" w14:textId="7B7E6EEC" w:rsidR="00C5740D" w:rsidRPr="004E24A8" w:rsidRDefault="00C5740D" w:rsidP="00C5740D">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163117">
        <w:rPr>
          <w:rFonts w:ascii="Arial" w:hAnsi="Arial"/>
          <w:b/>
          <w:sz w:val="24"/>
          <w:lang w:val="en-US"/>
        </w:rPr>
        <w:t xml:space="preserve">Open items in RACS </w:t>
      </w:r>
    </w:p>
    <w:p w14:paraId="00143425" w14:textId="77777777" w:rsidR="00C5740D" w:rsidRPr="00160C73" w:rsidRDefault="00C5740D" w:rsidP="00C5740D">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65A9AFE9" w:rsidR="001235DA" w:rsidRDefault="001235DA" w:rsidP="001235DA">
      <w:r>
        <w:t xml:space="preserve">In this contribution, we discuss </w:t>
      </w:r>
      <w:r w:rsidR="00163117">
        <w:t xml:space="preserve">remaining open items present since the conclusion of RACS study item. We also propose an </w:t>
      </w:r>
      <w:r w:rsidR="00163117" w:rsidRPr="00163117">
        <w:t>enhancement to handle the case of RAN nodes using different filters in a PLMN</w:t>
      </w:r>
      <w:r w:rsidR="00163117">
        <w:rPr>
          <w:rFonts w:ascii="Arial" w:hAnsi="Arial"/>
          <w:b/>
          <w:sz w:val="24"/>
          <w:lang w:val="en-US"/>
        </w:rPr>
        <w:t xml:space="preserve">. </w:t>
      </w:r>
    </w:p>
    <w:p w14:paraId="2AE6D98D" w14:textId="77777777" w:rsidR="003E1A61" w:rsidRDefault="003E1A61" w:rsidP="00F13226">
      <w:pPr>
        <w:pStyle w:val="Heading1"/>
      </w:pPr>
      <w:r>
        <w:t>Discussion</w:t>
      </w:r>
    </w:p>
    <w:p w14:paraId="24E961D6" w14:textId="77777777" w:rsidR="005454E4" w:rsidRPr="005454E4" w:rsidRDefault="005454E4" w:rsidP="005454E4"/>
    <w:p w14:paraId="360C27FA" w14:textId="464D775F" w:rsidR="005454E4" w:rsidRDefault="005454E4" w:rsidP="005454E4">
      <w:pPr>
        <w:pStyle w:val="Heading2"/>
      </w:pPr>
      <w:r>
        <w:t>Basic NAS signalling inputs from RAN2 to CT1</w:t>
      </w:r>
    </w:p>
    <w:p w14:paraId="0AC3AE47" w14:textId="20A69BB6" w:rsidR="005454E4" w:rsidRDefault="005454E4" w:rsidP="005454E4">
      <w:pPr>
        <w:rPr>
          <w:b/>
        </w:rPr>
      </w:pPr>
      <w:r>
        <w:rPr>
          <w:b/>
        </w:rPr>
        <w:t>Observation</w:t>
      </w:r>
      <w:r w:rsidR="00D42DD4">
        <w:rPr>
          <w:b/>
        </w:rPr>
        <w:t xml:space="preserve"> 1</w:t>
      </w:r>
      <w:r>
        <w:rPr>
          <w:b/>
        </w:rPr>
        <w:t xml:space="preserve">: From RAN2 and CT1 perspective, the NAS TLV field that carries the UE manufacturer capability ID can be viewed as a </w:t>
      </w:r>
      <w:proofErr w:type="spellStart"/>
      <w:r>
        <w:rPr>
          <w:b/>
        </w:rPr>
        <w:t>bitstring</w:t>
      </w:r>
      <w:proofErr w:type="spellEnd"/>
      <w:r>
        <w:rPr>
          <w:b/>
        </w:rPr>
        <w:t xml:space="preserve"> and there is no need to separate the internal fields like the manufacturer ID (TAC value) etc. </w:t>
      </w:r>
    </w:p>
    <w:p w14:paraId="7A515454" w14:textId="6A4EF46E" w:rsidR="005454E4" w:rsidRDefault="005454E4" w:rsidP="005454E4">
      <w:pPr>
        <w:rPr>
          <w:b/>
        </w:rPr>
      </w:pPr>
      <w:r>
        <w:rPr>
          <w:b/>
        </w:rPr>
        <w:t>Observation</w:t>
      </w:r>
      <w:r w:rsidR="00D42DD4">
        <w:rPr>
          <w:b/>
        </w:rPr>
        <w:t xml:space="preserve"> 2</w:t>
      </w:r>
      <w:r>
        <w:rPr>
          <w:b/>
        </w:rPr>
        <w:t>: TAC can be re-used, as there is no need to create another manufacturer ID.</w:t>
      </w:r>
    </w:p>
    <w:p w14:paraId="7E2FE902" w14:textId="2A466028" w:rsidR="005454E4" w:rsidRDefault="005454E4" w:rsidP="005454E4">
      <w:pPr>
        <w:rPr>
          <w:b/>
        </w:rPr>
      </w:pPr>
      <w:r>
        <w:rPr>
          <w:b/>
        </w:rPr>
        <w:t>Observation</w:t>
      </w:r>
      <w:r w:rsidR="00D42DD4">
        <w:rPr>
          <w:b/>
        </w:rPr>
        <w:t xml:space="preserve"> 3</w:t>
      </w:r>
      <w:r>
        <w:rPr>
          <w:b/>
        </w:rPr>
        <w:t xml:space="preserve">: TAC field is 8 binary-coded digits (BCD) resulting in 32-bits. </w:t>
      </w:r>
    </w:p>
    <w:p w14:paraId="6071F0BC" w14:textId="5FC29D1A" w:rsidR="006512B2" w:rsidRPr="004B2698" w:rsidRDefault="006512B2" w:rsidP="005454E4">
      <w:r w:rsidRPr="004B2698">
        <w:t>In [1] we also provided reasoning on why the UE may have more than one manufacturer based ID (based on the different internal UE configuration that can be modified by upper layers).</w:t>
      </w:r>
      <w:r>
        <w:t xml:space="preserve"> Based on this we see that the manufacturer based ID would need additional bits that reflect these variants for a single TAC.</w:t>
      </w:r>
    </w:p>
    <w:p w14:paraId="5AB3BC54" w14:textId="622FFC9B" w:rsidR="005454E4" w:rsidRDefault="005454E4" w:rsidP="005454E4">
      <w:pPr>
        <w:rPr>
          <w:b/>
        </w:rPr>
      </w:pPr>
      <w:r>
        <w:rPr>
          <w:b/>
        </w:rPr>
        <w:t>Proposal</w:t>
      </w:r>
      <w:r w:rsidR="00D42DD4">
        <w:rPr>
          <w:b/>
        </w:rPr>
        <w:t xml:space="preserve"> 1</w:t>
      </w:r>
      <w:r>
        <w:rPr>
          <w:b/>
        </w:rPr>
        <w:t xml:space="preserve">: </w:t>
      </w:r>
      <w:r w:rsidR="006512B2">
        <w:rPr>
          <w:b/>
        </w:rPr>
        <w:t>Recommend to SA2/CT1 that t</w:t>
      </w:r>
      <w:r>
        <w:rPr>
          <w:b/>
        </w:rPr>
        <w:t>he UE manufacturer based ID is of 64-bit in length, where the 32 MSB bits provide the TAC.</w:t>
      </w:r>
    </w:p>
    <w:p w14:paraId="6E4DB456" w14:textId="380FA611" w:rsidR="005454E4" w:rsidRPr="005454E4" w:rsidRDefault="005454E4" w:rsidP="005454E4">
      <w:pPr>
        <w:rPr>
          <w:b/>
        </w:rPr>
      </w:pPr>
      <w:r>
        <w:rPr>
          <w:b/>
        </w:rPr>
        <w:t>Proposal</w:t>
      </w:r>
      <w:r w:rsidR="00D42DD4">
        <w:rPr>
          <w:b/>
        </w:rPr>
        <w:t xml:space="preserve"> 2</w:t>
      </w:r>
      <w:r>
        <w:rPr>
          <w:b/>
        </w:rPr>
        <w:t xml:space="preserve">: RAN2 to discuss on the NW assigned capability ID size of 40 bits  </w:t>
      </w:r>
    </w:p>
    <w:p w14:paraId="68C19C33" w14:textId="3E91441A" w:rsidR="007C605C" w:rsidRDefault="007C605C" w:rsidP="00582E32">
      <w:pPr>
        <w:rPr>
          <w:b/>
        </w:rPr>
      </w:pPr>
    </w:p>
    <w:p w14:paraId="545817A2" w14:textId="22151746" w:rsidR="00721210" w:rsidRDefault="00163117" w:rsidP="00721210">
      <w:pPr>
        <w:pStyle w:val="Heading2"/>
      </w:pPr>
      <w:r>
        <w:t>Enhancements to address the case of RAN nodes using different capability filters in the same PLMN</w:t>
      </w:r>
      <w:r w:rsidR="00721210">
        <w:t xml:space="preserve"> </w:t>
      </w:r>
    </w:p>
    <w:p w14:paraId="68C386CE" w14:textId="327601D3" w:rsidR="00057D0B" w:rsidRDefault="00721210" w:rsidP="00582E32">
      <w:r>
        <w:t xml:space="preserve">It was agreed in RAN2-105 that the filtering used in a PLMN does not have to be the same across the </w:t>
      </w:r>
      <w:r w:rsidR="00CA49F0">
        <w:t xml:space="preserve">entire </w:t>
      </w:r>
      <w:r>
        <w:t xml:space="preserve">PLMN, and SA2 also noted that this is possible. From a UE perspective, </w:t>
      </w:r>
      <w:r w:rsidR="00163117">
        <w:t>in [</w:t>
      </w:r>
      <w:r w:rsidR="00DD1742">
        <w:t>2</w:t>
      </w:r>
      <w:r w:rsidR="00163117">
        <w:t>] we propose that</w:t>
      </w:r>
      <w:r>
        <w:t xml:space="preserve"> the UE </w:t>
      </w:r>
      <w:r w:rsidR="00CA49F0">
        <w:t xml:space="preserve"> </w:t>
      </w:r>
      <w:r>
        <w:t>associate</w:t>
      </w:r>
      <w:r w:rsidR="005627AC">
        <w:t>s</w:t>
      </w:r>
      <w:r>
        <w:t xml:space="preserve"> a NW assigned ID to the PLMN in which it </w:t>
      </w:r>
      <w:r w:rsidR="00CA49F0">
        <w:t xml:space="preserve">receives </w:t>
      </w:r>
      <w:r>
        <w:t>the ID</w:t>
      </w:r>
      <w:r w:rsidR="00163117">
        <w:t xml:space="preserve"> but </w:t>
      </w:r>
      <w:r w:rsidR="005627AC">
        <w:t xml:space="preserve">is not required to associate it </w:t>
      </w:r>
      <w:r w:rsidR="00163117">
        <w:t xml:space="preserve">to the </w:t>
      </w:r>
      <w:r w:rsidR="00CA49F0">
        <w:t xml:space="preserve">requested filter </w:t>
      </w:r>
      <w:r w:rsidR="00163117">
        <w:t xml:space="preserve"> or </w:t>
      </w:r>
      <w:r w:rsidR="00CA49F0">
        <w:t xml:space="preserve">to the capability </w:t>
      </w:r>
      <w:r w:rsidR="00163117">
        <w:t xml:space="preserve">containers sent. </w:t>
      </w:r>
      <w:r w:rsidR="005627AC">
        <w:t xml:space="preserve">However, </w:t>
      </w:r>
      <w:r w:rsidR="00163117">
        <w:t xml:space="preserve">this does not preclude </w:t>
      </w:r>
      <w:r w:rsidR="005627AC">
        <w:t xml:space="preserve">a UE implementation </w:t>
      </w:r>
      <w:r>
        <w:t xml:space="preserve"> </w:t>
      </w:r>
      <w:r w:rsidR="00163117">
        <w:t>to</w:t>
      </w:r>
      <w:r>
        <w:t xml:space="preserve"> potentially store more than one NW assigned ID in the same PLMN, but for capabilit</w:t>
      </w:r>
      <w:r w:rsidR="005627AC">
        <w:t>ies</w:t>
      </w:r>
      <w:r>
        <w:t xml:space="preserve"> with different filtering applied. </w:t>
      </w:r>
    </w:p>
    <w:p w14:paraId="0F9F2BEF" w14:textId="7430CC92" w:rsidR="00057D0B" w:rsidRDefault="00057D0B" w:rsidP="00582E32">
      <w:r>
        <w:t xml:space="preserve">As the figure </w:t>
      </w:r>
      <w:r w:rsidR="005627AC">
        <w:t xml:space="preserve">below </w:t>
      </w:r>
      <w:r>
        <w:t xml:space="preserve">shows, having this optimization at the UE can prevent unnecessary signalling overhead specially in the cases where the UE frequents RAN nodes which use differing capability filters. </w:t>
      </w:r>
    </w:p>
    <w:p w14:paraId="1866B7D2" w14:textId="77777777" w:rsidR="00352735" w:rsidRDefault="00352735" w:rsidP="00352735">
      <w:r>
        <w:lastRenderedPageBreak/>
        <w:t>Consider the below scenario where the PLMN combines the capability containers before assigning an ID.</w:t>
      </w:r>
    </w:p>
    <w:tbl>
      <w:tblPr>
        <w:tblStyle w:val="TableGrid"/>
        <w:tblW w:w="0" w:type="auto"/>
        <w:tblLook w:val="04A0" w:firstRow="1" w:lastRow="0" w:firstColumn="1" w:lastColumn="0" w:noHBand="0" w:noVBand="1"/>
      </w:tblPr>
      <w:tblGrid>
        <w:gridCol w:w="9016"/>
      </w:tblGrid>
      <w:tr w:rsidR="00352735" w14:paraId="12EA95C1" w14:textId="77777777" w:rsidTr="00C65AA6">
        <w:tc>
          <w:tcPr>
            <w:tcW w:w="9016" w:type="dxa"/>
          </w:tcPr>
          <w:p w14:paraId="37A6BE98" w14:textId="34077A42" w:rsidR="00352735" w:rsidRDefault="00352735" w:rsidP="00C65AA6">
            <w:r>
              <w:object w:dxaOrig="9706" w:dyaOrig="9736" w14:anchorId="32724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452.25pt" o:ole="">
                  <v:imagedata r:id="rId11" o:title=""/>
                </v:shape>
                <o:OLEObject Type="Embed" ProgID="Visio.Drawing.15" ShapeID="_x0000_i1025" DrawAspect="Content" ObjectID="_1627429822" r:id="rId12"/>
              </w:object>
            </w:r>
          </w:p>
        </w:tc>
      </w:tr>
    </w:tbl>
    <w:p w14:paraId="4C7FB9FF" w14:textId="0F2503D7" w:rsidR="00352735" w:rsidRPr="00044FAB" w:rsidRDefault="00352735" w:rsidP="00352735">
      <w:pPr>
        <w:jc w:val="center"/>
        <w:rPr>
          <w:b/>
        </w:rPr>
      </w:pPr>
      <w:r>
        <w:t xml:space="preserve"> </w:t>
      </w:r>
      <w:r>
        <w:rPr>
          <w:b/>
        </w:rPr>
        <w:t xml:space="preserve">Figure 1: Additional signalling overhead needed (in RED) in case the UE provides a capability ID for the PLMN where the filters used </w:t>
      </w:r>
      <w:r w:rsidR="005627AC">
        <w:rPr>
          <w:b/>
        </w:rPr>
        <w:t xml:space="preserve">by the </w:t>
      </w:r>
      <w:r>
        <w:rPr>
          <w:b/>
        </w:rPr>
        <w:t>RAN node do not match the ones obtained from the ID.</w:t>
      </w:r>
    </w:p>
    <w:p w14:paraId="03FF026D" w14:textId="6D08DD71" w:rsidR="00721210" w:rsidRDefault="00721210" w:rsidP="00582E32">
      <w:r>
        <w:t>In such a case, it would be better if the UE know</w:t>
      </w:r>
      <w:r w:rsidR="00352735">
        <w:t>s</w:t>
      </w:r>
      <w:r>
        <w:t xml:space="preserve"> at the time of capability ID transfer, what filters are used in the RAN, so that the appropriate ID is provided (if available). </w:t>
      </w:r>
    </w:p>
    <w:p w14:paraId="0371DE4A" w14:textId="1A10F9E4" w:rsidR="00721210" w:rsidRPr="00A32E6A" w:rsidRDefault="00721210" w:rsidP="00582E32">
      <w:pPr>
        <w:rPr>
          <w:b/>
        </w:rPr>
      </w:pPr>
      <w:r w:rsidRPr="00F2630A">
        <w:rPr>
          <w:b/>
        </w:rPr>
        <w:t xml:space="preserve">Observation </w:t>
      </w:r>
      <w:r w:rsidR="006475EF">
        <w:rPr>
          <w:b/>
        </w:rPr>
        <w:t>4</w:t>
      </w:r>
      <w:r w:rsidRPr="00F2630A">
        <w:rPr>
          <w:b/>
        </w:rPr>
        <w:t xml:space="preserve">: It is beneficial if the UE knows the RAN applied filters at the time capability ID is sent from the UE, as this </w:t>
      </w:r>
      <w:r w:rsidR="00A32E6A">
        <w:rPr>
          <w:b/>
        </w:rPr>
        <w:t xml:space="preserve">can </w:t>
      </w:r>
      <w:r w:rsidRPr="00F2630A">
        <w:rPr>
          <w:b/>
        </w:rPr>
        <w:t>avoid additional signalling</w:t>
      </w:r>
      <w:r w:rsidR="00A32E6A">
        <w:rPr>
          <w:b/>
        </w:rPr>
        <w:t xml:space="preserve"> this may not be necessary</w:t>
      </w:r>
      <w:r w:rsidRPr="00F2630A">
        <w:rPr>
          <w:b/>
        </w:rPr>
        <w:t>.</w:t>
      </w:r>
    </w:p>
    <w:p w14:paraId="03ACADBA" w14:textId="184F6ECE" w:rsidR="003531DB" w:rsidRDefault="006D219E" w:rsidP="003531DB">
      <w:r>
        <w:t>It would be possible for the UE implementation to build its own database of the filters applied by a given RAN node and use this to select the UE capability ID to provide at the time of registration. However, this approach would be demanding for the UE and could also take a long time to build before the benefits would be available in via many RAN nodes. Therefore, instead of relying on UE implementation, w</w:t>
      </w:r>
      <w:r w:rsidR="003531DB">
        <w:t xml:space="preserve">e propose that the CN can provide the RAN applied filtering parameters to the UE in NAS signalling when the NW requests the UE to provide the NW assigned capability ID. With this </w:t>
      </w:r>
      <w:r w:rsidR="003531DB">
        <w:lastRenderedPageBreak/>
        <w:t>information, the UE can provide the ID, if it already has a prior NW assigned ID that matche</w:t>
      </w:r>
      <w:r w:rsidR="00470CB7">
        <w:t>s the provided filters. Figure 2</w:t>
      </w:r>
      <w:r w:rsidR="003531DB">
        <w:t xml:space="preserve"> captures the additional optimizations proposed (in RED), where the RAN provided filters are relayed by CN to the UE, as a transparent container.</w:t>
      </w:r>
    </w:p>
    <w:p w14:paraId="6BEDA6A8" w14:textId="77777777" w:rsidR="003563F8" w:rsidRDefault="003563F8" w:rsidP="002F0CA0"/>
    <w:tbl>
      <w:tblPr>
        <w:tblStyle w:val="TableGrid"/>
        <w:tblW w:w="0" w:type="auto"/>
        <w:tblLook w:val="04A0" w:firstRow="1" w:lastRow="0" w:firstColumn="1" w:lastColumn="0" w:noHBand="0" w:noVBand="1"/>
      </w:tblPr>
      <w:tblGrid>
        <w:gridCol w:w="9016"/>
      </w:tblGrid>
      <w:tr w:rsidR="00E171E9" w14:paraId="6EB5115A" w14:textId="77777777" w:rsidTr="00721210">
        <w:tc>
          <w:tcPr>
            <w:tcW w:w="9016" w:type="dxa"/>
          </w:tcPr>
          <w:p w14:paraId="3A97DAE3" w14:textId="3A5A998C" w:rsidR="00E171E9" w:rsidRDefault="00E76B91" w:rsidP="00721210">
            <w:pPr>
              <w:rPr>
                <w:b/>
              </w:rPr>
            </w:pPr>
            <w:r>
              <w:object w:dxaOrig="9135" w:dyaOrig="5521" w14:anchorId="22A6F2E5">
                <v:shape id="_x0000_i1026" type="#_x0000_t75" style="width:451.5pt;height:273pt" o:ole="">
                  <v:imagedata r:id="rId13" o:title=""/>
                </v:shape>
                <o:OLEObject Type="Embed" ProgID="Visio.Drawing.15" ShapeID="_x0000_i1026" DrawAspect="Content" ObjectID="_1627429823" r:id="rId14"/>
              </w:object>
            </w:r>
          </w:p>
        </w:tc>
      </w:tr>
    </w:tbl>
    <w:p w14:paraId="33679033" w14:textId="193053B4" w:rsidR="00E171E9" w:rsidRPr="00044FAB" w:rsidRDefault="00E171E9" w:rsidP="00E171E9">
      <w:pPr>
        <w:jc w:val="center"/>
        <w:rPr>
          <w:b/>
        </w:rPr>
      </w:pPr>
      <w:r>
        <w:rPr>
          <w:b/>
        </w:rPr>
        <w:t xml:space="preserve">Figure </w:t>
      </w:r>
      <w:r w:rsidR="00470CB7">
        <w:rPr>
          <w:b/>
        </w:rPr>
        <w:t>2</w:t>
      </w:r>
      <w:r>
        <w:rPr>
          <w:b/>
        </w:rPr>
        <w:t xml:space="preserve">: NW can relay the RAN provided filters as transparent container to the UE </w:t>
      </w:r>
    </w:p>
    <w:p w14:paraId="46AF237F" w14:textId="77777777" w:rsidR="00E171E9" w:rsidRDefault="00E171E9" w:rsidP="002F0CA0"/>
    <w:p w14:paraId="17E1FFE6" w14:textId="40C158FD" w:rsidR="007C605C" w:rsidRDefault="007C605C" w:rsidP="002F0CA0">
      <w:pPr>
        <w:rPr>
          <w:b/>
        </w:rPr>
      </w:pPr>
      <w:r w:rsidRPr="008E79CF">
        <w:rPr>
          <w:b/>
        </w:rPr>
        <w:t>Proposal</w:t>
      </w:r>
      <w:r w:rsidR="00412224">
        <w:rPr>
          <w:b/>
        </w:rPr>
        <w:t xml:space="preserve"> </w:t>
      </w:r>
      <w:r w:rsidR="006475EF">
        <w:rPr>
          <w:b/>
        </w:rPr>
        <w:t>3</w:t>
      </w:r>
      <w:r w:rsidRPr="008E79CF">
        <w:rPr>
          <w:b/>
        </w:rPr>
        <w:t xml:space="preserve">: </w:t>
      </w:r>
      <w:r w:rsidR="008E79CF" w:rsidRPr="008E79CF">
        <w:rPr>
          <w:b/>
        </w:rPr>
        <w:t xml:space="preserve">During registration </w:t>
      </w:r>
      <w:r w:rsidR="00470CB7" w:rsidRPr="008E79CF">
        <w:rPr>
          <w:b/>
        </w:rPr>
        <w:t xml:space="preserve">the RAN applied filters </w:t>
      </w:r>
      <w:r w:rsidR="00470CB7">
        <w:rPr>
          <w:b/>
        </w:rPr>
        <w:t xml:space="preserve">can be provided by </w:t>
      </w:r>
      <w:r w:rsidR="008E79CF" w:rsidRPr="008E79CF">
        <w:rPr>
          <w:b/>
        </w:rPr>
        <w:t xml:space="preserve">the NW </w:t>
      </w:r>
      <w:r w:rsidR="00470CB7">
        <w:rPr>
          <w:b/>
        </w:rPr>
        <w:t xml:space="preserve">to the UE via NAS signalling. </w:t>
      </w:r>
      <w:r w:rsidR="008E79CF" w:rsidRPr="008E79CF">
        <w:rPr>
          <w:b/>
        </w:rPr>
        <w:t>If the UE has one, the UE can provide this capability ID based on the provided filters in that PLMN.</w:t>
      </w:r>
    </w:p>
    <w:p w14:paraId="2AE6D99F" w14:textId="77777777" w:rsidR="00FB082B" w:rsidRPr="003A28F3" w:rsidRDefault="00FB082B" w:rsidP="006D66EA">
      <w:pPr>
        <w:pStyle w:val="Heading1"/>
      </w:pPr>
      <w:r w:rsidRPr="003A28F3">
        <w:t xml:space="preserve">Conclusion and </w:t>
      </w:r>
      <w:r w:rsidRPr="006D66EA">
        <w:t>proposals</w:t>
      </w:r>
    </w:p>
    <w:p w14:paraId="1B873CAE" w14:textId="77777777" w:rsidR="006475EF" w:rsidRDefault="006475EF" w:rsidP="006475EF">
      <w:pPr>
        <w:rPr>
          <w:b/>
        </w:rPr>
      </w:pPr>
      <w:r>
        <w:rPr>
          <w:b/>
        </w:rPr>
        <w:t xml:space="preserve">Observation 1: From RAN2 and CT1 perspective, the NAS TLV field that carries the UE manufacturer capability ID can be viewed as a bitstring and there is no need to separate the internal fields like the manufacturer ID (TAC value) etc. </w:t>
      </w:r>
    </w:p>
    <w:p w14:paraId="2E2F910A" w14:textId="77777777" w:rsidR="006475EF" w:rsidRDefault="006475EF" w:rsidP="006475EF">
      <w:pPr>
        <w:rPr>
          <w:b/>
        </w:rPr>
      </w:pPr>
      <w:r>
        <w:rPr>
          <w:b/>
        </w:rPr>
        <w:t>Observation 2: TAC can be re-used, as there is no need to create another manufacturer ID.</w:t>
      </w:r>
    </w:p>
    <w:p w14:paraId="71DBFE74" w14:textId="77777777" w:rsidR="006475EF" w:rsidRDefault="006475EF" w:rsidP="006475EF">
      <w:pPr>
        <w:rPr>
          <w:b/>
        </w:rPr>
      </w:pPr>
      <w:r>
        <w:rPr>
          <w:b/>
        </w:rPr>
        <w:t xml:space="preserve">Observation 3: TAC field is 8 binary-coded digits (BCD) resulting in 32-bits. </w:t>
      </w:r>
    </w:p>
    <w:p w14:paraId="4635B4A7" w14:textId="77777777" w:rsidR="006475EF" w:rsidRDefault="006475EF" w:rsidP="006475EF">
      <w:pPr>
        <w:rPr>
          <w:b/>
        </w:rPr>
      </w:pPr>
      <w:r>
        <w:rPr>
          <w:b/>
        </w:rPr>
        <w:t>Proposal 1: Recommend to SA2/CT1 that the UE manufacturer based ID is of 64-bit in length, where the 32 MSB bits provide the TAC.</w:t>
      </w:r>
    </w:p>
    <w:p w14:paraId="15603E24" w14:textId="77777777" w:rsidR="006475EF" w:rsidRPr="005454E4" w:rsidRDefault="006475EF" w:rsidP="006475EF">
      <w:pPr>
        <w:rPr>
          <w:b/>
        </w:rPr>
      </w:pPr>
      <w:r>
        <w:rPr>
          <w:b/>
        </w:rPr>
        <w:t xml:space="preserve">Proposal 2: RAN2 to discuss on the NW assigned capability ID size of 40 bits  </w:t>
      </w:r>
    </w:p>
    <w:p w14:paraId="245B635D" w14:textId="499C769D" w:rsidR="006475EF" w:rsidRPr="00A32E6A" w:rsidRDefault="006475EF" w:rsidP="006475EF">
      <w:pPr>
        <w:rPr>
          <w:b/>
        </w:rPr>
      </w:pPr>
      <w:r w:rsidRPr="00F2630A">
        <w:rPr>
          <w:b/>
        </w:rPr>
        <w:t xml:space="preserve">Observation </w:t>
      </w:r>
      <w:r>
        <w:rPr>
          <w:b/>
        </w:rPr>
        <w:t>4</w:t>
      </w:r>
      <w:r w:rsidRPr="00F2630A">
        <w:rPr>
          <w:b/>
        </w:rPr>
        <w:t xml:space="preserve">: It is beneficial if the UE knows the RAN applied filters at the time capability ID is sent from the UE, as this </w:t>
      </w:r>
      <w:r>
        <w:rPr>
          <w:b/>
        </w:rPr>
        <w:t xml:space="preserve">can </w:t>
      </w:r>
      <w:r w:rsidRPr="00F2630A">
        <w:rPr>
          <w:b/>
        </w:rPr>
        <w:t>avoid additional signalling</w:t>
      </w:r>
      <w:r>
        <w:rPr>
          <w:b/>
        </w:rPr>
        <w:t xml:space="preserve"> this may not be necessary</w:t>
      </w:r>
      <w:r w:rsidRPr="00F2630A">
        <w:rPr>
          <w:b/>
        </w:rPr>
        <w:t>.</w:t>
      </w:r>
    </w:p>
    <w:p w14:paraId="24774DE7" w14:textId="77777777" w:rsidR="006475EF" w:rsidRDefault="006475EF" w:rsidP="006475EF">
      <w:pPr>
        <w:rPr>
          <w:b/>
        </w:rPr>
      </w:pPr>
      <w:r w:rsidRPr="008E79CF">
        <w:rPr>
          <w:b/>
        </w:rPr>
        <w:lastRenderedPageBreak/>
        <w:t>Proposal</w:t>
      </w:r>
      <w:r>
        <w:rPr>
          <w:b/>
        </w:rPr>
        <w:t xml:space="preserve"> 3</w:t>
      </w:r>
      <w:r w:rsidRPr="008E79CF">
        <w:rPr>
          <w:b/>
        </w:rPr>
        <w:t xml:space="preserve">: During registration the RAN applied filters </w:t>
      </w:r>
      <w:r>
        <w:rPr>
          <w:b/>
        </w:rPr>
        <w:t xml:space="preserve">can be provided by </w:t>
      </w:r>
      <w:r w:rsidRPr="008E79CF">
        <w:rPr>
          <w:b/>
        </w:rPr>
        <w:t xml:space="preserve">the NW </w:t>
      </w:r>
      <w:r>
        <w:rPr>
          <w:b/>
        </w:rPr>
        <w:t xml:space="preserve">to the UE via NAS signalling. </w:t>
      </w:r>
      <w:r w:rsidRPr="008E79CF">
        <w:rPr>
          <w:b/>
        </w:rPr>
        <w:t>If the UE has one, the UE can provide this capability ID based on the provided filters in that PLMN.</w:t>
      </w:r>
    </w:p>
    <w:p w14:paraId="3AEFEB48" w14:textId="77777777" w:rsidR="00B83D17" w:rsidRDefault="00B83D17" w:rsidP="00B83D17">
      <w:pPr>
        <w:rPr>
          <w:b/>
        </w:rPr>
      </w:pPr>
    </w:p>
    <w:p w14:paraId="0848998B" w14:textId="77777777" w:rsidR="0054610B" w:rsidRDefault="0054610B" w:rsidP="00B83D17">
      <w:pPr>
        <w:rPr>
          <w:b/>
        </w:rPr>
      </w:pPr>
    </w:p>
    <w:p w14:paraId="3361D6FB" w14:textId="77777777" w:rsidR="0054610B" w:rsidRPr="003A28F3" w:rsidRDefault="0054610B" w:rsidP="0054610B">
      <w:pPr>
        <w:pStyle w:val="Heading1"/>
      </w:pPr>
      <w:r>
        <w:t>References</w:t>
      </w:r>
    </w:p>
    <w:p w14:paraId="357A68C2" w14:textId="6E8A2F82" w:rsidR="0054610B" w:rsidRDefault="0054610B" w:rsidP="0054610B">
      <w:r>
        <w:t>[1] R2-</w:t>
      </w:r>
      <w:r w:rsidR="00173198">
        <w:t>1910459</w:t>
      </w:r>
      <w:r>
        <w:t xml:space="preserve"> </w:t>
      </w:r>
      <w:r w:rsidR="00FA1697">
        <w:t>Clarification on the manufacturer based</w:t>
      </w:r>
      <w:r w:rsidRPr="0054610B">
        <w:t xml:space="preserve"> ID  </w:t>
      </w:r>
    </w:p>
    <w:p w14:paraId="6EB428A4" w14:textId="7B794799" w:rsidR="00135BA7" w:rsidRDefault="00135BA7" w:rsidP="0054610B">
      <w:r>
        <w:t>[2] R2-191045</w:t>
      </w:r>
      <w:r w:rsidR="00DD1742">
        <w:t>5 Discussion on the interpretation of the NW assigned capability ID</w:t>
      </w:r>
    </w:p>
    <w:p w14:paraId="64372A62" w14:textId="77777777" w:rsidR="0054610B" w:rsidRDefault="0054610B" w:rsidP="00B83D17">
      <w:pPr>
        <w:rPr>
          <w:b/>
        </w:rPr>
      </w:pPr>
    </w:p>
    <w:p w14:paraId="1F171D02" w14:textId="77777777" w:rsidR="00B83D17" w:rsidRPr="00044FAB" w:rsidRDefault="00B83D17" w:rsidP="00B83D17">
      <w:pPr>
        <w:rPr>
          <w:b/>
        </w:rPr>
      </w:pPr>
    </w:p>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B2C3" w14:textId="77777777" w:rsidR="00BF7BB2" w:rsidRDefault="00BF7BB2" w:rsidP="00DF7110">
      <w:pPr>
        <w:spacing w:after="0" w:line="240" w:lineRule="auto"/>
      </w:pPr>
      <w:r>
        <w:separator/>
      </w:r>
    </w:p>
  </w:endnote>
  <w:endnote w:type="continuationSeparator" w:id="0">
    <w:p w14:paraId="0334A31C" w14:textId="77777777" w:rsidR="00BF7BB2" w:rsidRDefault="00BF7BB2" w:rsidP="00DF7110">
      <w:pPr>
        <w:spacing w:after="0" w:line="240" w:lineRule="auto"/>
      </w:pPr>
      <w:r>
        <w:continuationSeparator/>
      </w:r>
    </w:p>
  </w:endnote>
  <w:endnote w:type="continuationNotice" w:id="1">
    <w:p w14:paraId="6D14DEF4" w14:textId="77777777" w:rsidR="00BF7BB2" w:rsidRDefault="00BF7B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52960" w14:textId="77777777" w:rsidR="00BF7BB2" w:rsidRDefault="00BF7BB2" w:rsidP="00DF7110">
      <w:pPr>
        <w:spacing w:after="0" w:line="240" w:lineRule="auto"/>
      </w:pPr>
      <w:r>
        <w:separator/>
      </w:r>
    </w:p>
  </w:footnote>
  <w:footnote w:type="continuationSeparator" w:id="0">
    <w:p w14:paraId="046FD05E" w14:textId="77777777" w:rsidR="00BF7BB2" w:rsidRDefault="00BF7BB2" w:rsidP="00DF7110">
      <w:pPr>
        <w:spacing w:after="0" w:line="240" w:lineRule="auto"/>
      </w:pPr>
      <w:r>
        <w:continuationSeparator/>
      </w:r>
    </w:p>
  </w:footnote>
  <w:footnote w:type="continuationNotice" w:id="1">
    <w:p w14:paraId="23CB7AEC" w14:textId="77777777" w:rsidR="00BF7BB2" w:rsidRDefault="00BF7B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0A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57D0B"/>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2E66"/>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5BA7"/>
    <w:rsid w:val="00136199"/>
    <w:rsid w:val="001366EF"/>
    <w:rsid w:val="001368E9"/>
    <w:rsid w:val="00141B91"/>
    <w:rsid w:val="00142378"/>
    <w:rsid w:val="00142AD4"/>
    <w:rsid w:val="00143023"/>
    <w:rsid w:val="00143410"/>
    <w:rsid w:val="00143EDE"/>
    <w:rsid w:val="001440DA"/>
    <w:rsid w:val="00144E70"/>
    <w:rsid w:val="0014534A"/>
    <w:rsid w:val="001455BF"/>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117"/>
    <w:rsid w:val="0016368A"/>
    <w:rsid w:val="00163C51"/>
    <w:rsid w:val="00164CF9"/>
    <w:rsid w:val="00165AAC"/>
    <w:rsid w:val="00171235"/>
    <w:rsid w:val="0017295A"/>
    <w:rsid w:val="00172FC5"/>
    <w:rsid w:val="00173198"/>
    <w:rsid w:val="00175A92"/>
    <w:rsid w:val="0017756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0AB"/>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1693F"/>
    <w:rsid w:val="0022098F"/>
    <w:rsid w:val="00221B31"/>
    <w:rsid w:val="00222601"/>
    <w:rsid w:val="00222689"/>
    <w:rsid w:val="00223696"/>
    <w:rsid w:val="00225201"/>
    <w:rsid w:val="00225A44"/>
    <w:rsid w:val="002260F2"/>
    <w:rsid w:val="0022643E"/>
    <w:rsid w:val="00226BAF"/>
    <w:rsid w:val="002270E6"/>
    <w:rsid w:val="0023005B"/>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5920"/>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436A"/>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735"/>
    <w:rsid w:val="0035297C"/>
    <w:rsid w:val="003531DB"/>
    <w:rsid w:val="0035422F"/>
    <w:rsid w:val="003563F8"/>
    <w:rsid w:val="00356420"/>
    <w:rsid w:val="0035643F"/>
    <w:rsid w:val="00356941"/>
    <w:rsid w:val="003601E5"/>
    <w:rsid w:val="003618AB"/>
    <w:rsid w:val="003629C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177"/>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1406"/>
    <w:rsid w:val="00411C95"/>
    <w:rsid w:val="00412224"/>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50A"/>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0CB7"/>
    <w:rsid w:val="00471658"/>
    <w:rsid w:val="004726A0"/>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09E"/>
    <w:rsid w:val="004A4311"/>
    <w:rsid w:val="004A52F4"/>
    <w:rsid w:val="004A5A97"/>
    <w:rsid w:val="004A6457"/>
    <w:rsid w:val="004A6822"/>
    <w:rsid w:val="004A7411"/>
    <w:rsid w:val="004B0AE6"/>
    <w:rsid w:val="004B19B2"/>
    <w:rsid w:val="004B2698"/>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186"/>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391"/>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4E4"/>
    <w:rsid w:val="00545BA2"/>
    <w:rsid w:val="0054610B"/>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7AC"/>
    <w:rsid w:val="005629F2"/>
    <w:rsid w:val="00563C4C"/>
    <w:rsid w:val="00564FE6"/>
    <w:rsid w:val="005667EB"/>
    <w:rsid w:val="005675E1"/>
    <w:rsid w:val="00567AA9"/>
    <w:rsid w:val="005702F8"/>
    <w:rsid w:val="005704D2"/>
    <w:rsid w:val="00570610"/>
    <w:rsid w:val="0057079C"/>
    <w:rsid w:val="00570C2F"/>
    <w:rsid w:val="0057509B"/>
    <w:rsid w:val="00575635"/>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93E32"/>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3956"/>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27ACF"/>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475EF"/>
    <w:rsid w:val="006504A5"/>
    <w:rsid w:val="006512B2"/>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2A61"/>
    <w:rsid w:val="006A345F"/>
    <w:rsid w:val="006A3D67"/>
    <w:rsid w:val="006A50E6"/>
    <w:rsid w:val="006A52FF"/>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4FA6"/>
    <w:rsid w:val="006C5201"/>
    <w:rsid w:val="006C5832"/>
    <w:rsid w:val="006C584F"/>
    <w:rsid w:val="006C64B5"/>
    <w:rsid w:val="006D067B"/>
    <w:rsid w:val="006D0703"/>
    <w:rsid w:val="006D0CB4"/>
    <w:rsid w:val="006D20E8"/>
    <w:rsid w:val="006D219E"/>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210"/>
    <w:rsid w:val="0072146B"/>
    <w:rsid w:val="007219EE"/>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185F"/>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E79CF"/>
    <w:rsid w:val="008F0FD3"/>
    <w:rsid w:val="008F1923"/>
    <w:rsid w:val="008F1BF2"/>
    <w:rsid w:val="008F235D"/>
    <w:rsid w:val="008F2B4B"/>
    <w:rsid w:val="008F3876"/>
    <w:rsid w:val="008F3B2E"/>
    <w:rsid w:val="008F4925"/>
    <w:rsid w:val="008F5091"/>
    <w:rsid w:val="008F5351"/>
    <w:rsid w:val="008F6481"/>
    <w:rsid w:val="008F67C6"/>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17A7A"/>
    <w:rsid w:val="0092010F"/>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1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11C"/>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B82"/>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2E6A"/>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0A0"/>
    <w:rsid w:val="00A534F4"/>
    <w:rsid w:val="00A54D2C"/>
    <w:rsid w:val="00A56034"/>
    <w:rsid w:val="00A564F9"/>
    <w:rsid w:val="00A578E2"/>
    <w:rsid w:val="00A600D8"/>
    <w:rsid w:val="00A60692"/>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5C53"/>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68F"/>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8ED"/>
    <w:rsid w:val="00B80A3D"/>
    <w:rsid w:val="00B80AB0"/>
    <w:rsid w:val="00B80E60"/>
    <w:rsid w:val="00B814F7"/>
    <w:rsid w:val="00B818C2"/>
    <w:rsid w:val="00B8268B"/>
    <w:rsid w:val="00B830DA"/>
    <w:rsid w:val="00B83957"/>
    <w:rsid w:val="00B83D1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BF7BB2"/>
    <w:rsid w:val="00C005CB"/>
    <w:rsid w:val="00C01562"/>
    <w:rsid w:val="00C026A8"/>
    <w:rsid w:val="00C0312F"/>
    <w:rsid w:val="00C03E9A"/>
    <w:rsid w:val="00C048C5"/>
    <w:rsid w:val="00C049A0"/>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40D"/>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778C1"/>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9F0"/>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2DD4"/>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74D"/>
    <w:rsid w:val="00D60837"/>
    <w:rsid w:val="00D61E9F"/>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64D"/>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742"/>
    <w:rsid w:val="00DD1CA1"/>
    <w:rsid w:val="00DD2E65"/>
    <w:rsid w:val="00DD2FD5"/>
    <w:rsid w:val="00DD448F"/>
    <w:rsid w:val="00DD4B60"/>
    <w:rsid w:val="00DD4F46"/>
    <w:rsid w:val="00DD55F2"/>
    <w:rsid w:val="00DD6AEE"/>
    <w:rsid w:val="00DE05DE"/>
    <w:rsid w:val="00DE187A"/>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171E9"/>
    <w:rsid w:val="00E21E40"/>
    <w:rsid w:val="00E24D86"/>
    <w:rsid w:val="00E2584D"/>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7AF"/>
    <w:rsid w:val="00E74B43"/>
    <w:rsid w:val="00E75AAE"/>
    <w:rsid w:val="00E7615D"/>
    <w:rsid w:val="00E76B91"/>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630A"/>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46B5"/>
    <w:rsid w:val="00F95726"/>
    <w:rsid w:val="00F96D16"/>
    <w:rsid w:val="00FA050A"/>
    <w:rsid w:val="00FA0D9F"/>
    <w:rsid w:val="00FA1697"/>
    <w:rsid w:val="00FA1AAD"/>
    <w:rsid w:val="00FA34D0"/>
    <w:rsid w:val="00FA3819"/>
    <w:rsid w:val="00FA436A"/>
    <w:rsid w:val="00FA45B8"/>
    <w:rsid w:val="00FA5E05"/>
    <w:rsid w:val="00FA6478"/>
    <w:rsid w:val="00FB03C8"/>
    <w:rsid w:val="00FB082B"/>
    <w:rsid w:val="00FB11CD"/>
    <w:rsid w:val="00FB22EF"/>
    <w:rsid w:val="00FB253C"/>
    <w:rsid w:val="00FB33DA"/>
    <w:rsid w:val="00FB449A"/>
    <w:rsid w:val="00FB4E8B"/>
    <w:rsid w:val="00FB5195"/>
    <w:rsid w:val="00FB5865"/>
    <w:rsid w:val="00FB7DAC"/>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174A"/>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table" w:styleId="TableGrid">
    <w:name w:val="Table Grid"/>
    <w:basedOn w:val="TableNormal"/>
    <w:uiPriority w:val="39"/>
    <w:rsid w:val="004D1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4610B"/>
    <w:rPr>
      <w:rFonts w:ascii="Times New Roman" w:hAnsi="Times New Roman" w:cs="Times New Roman" w:hint="default"/>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(Sudeep)-1</cp:lastModifiedBy>
  <cp:revision>4</cp:revision>
  <dcterms:created xsi:type="dcterms:W3CDTF">2019-08-15T21:18:00Z</dcterms:created>
  <dcterms:modified xsi:type="dcterms:W3CDTF">2019-08-16T02:01:00Z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5e43fa9f-28d2-4e65-b512-ca41127dce48</vt:lpwstr>
  </property>
  <property fmtid="{D5CDD505-2E9C-101B-9397-08002B2CF9AE}" pid="3" name="CTP_BU">
    <vt:lpwstr>NEXT GEN &amp; STANDARDS GROUP</vt:lpwstr>
  </property>
  <property fmtid="{D5CDD505-2E9C-101B-9397-08002B2CF9AE}" pid="4" name="CTP_TimeStamp">
    <vt:lpwstr>2019-08-15 21:18:28Z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