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1BC9FC" w14:textId="43757944" w:rsidR="00A507B8" w:rsidRPr="00EE6198" w:rsidRDefault="00A507B8" w:rsidP="00A507B8">
      <w:pPr>
        <w:pStyle w:val="Header"/>
        <w:tabs>
          <w:tab w:val="right" w:pos="9639"/>
        </w:tabs>
        <w:rPr>
          <w:sz w:val="24"/>
          <w:lang w:val="en-GB" w:eastAsia="zh-CN"/>
        </w:rPr>
      </w:pPr>
      <w:r w:rsidRPr="00EE6198">
        <w:rPr>
          <w:sz w:val="24"/>
          <w:lang w:val="en-GB" w:eastAsia="zh-CN"/>
        </w:rPr>
        <w:t xml:space="preserve">3GPP TSG-RAN WG2 </w:t>
      </w:r>
      <w:r w:rsidR="00BD67D0">
        <w:rPr>
          <w:sz w:val="24"/>
          <w:lang w:val="en-GB" w:eastAsia="zh-CN"/>
        </w:rPr>
        <w:t>Meeting 10</w:t>
      </w:r>
      <w:r w:rsidR="00B4755F">
        <w:rPr>
          <w:sz w:val="24"/>
          <w:lang w:val="en-GB" w:eastAsia="zh-CN"/>
        </w:rPr>
        <w:t>6</w:t>
      </w:r>
      <w:r w:rsidRPr="00EE6198">
        <w:rPr>
          <w:sz w:val="24"/>
          <w:lang w:val="en-GB" w:eastAsia="zh-CN"/>
        </w:rPr>
        <w:tab/>
      </w:r>
      <w:r w:rsidR="00C07A8D" w:rsidRPr="00C07A8D">
        <w:rPr>
          <w:sz w:val="24"/>
          <w:lang w:val="en-GB" w:eastAsia="zh-CN"/>
        </w:rPr>
        <w:t>R2-1906430</w:t>
      </w:r>
    </w:p>
    <w:p w14:paraId="7AD59BF8" w14:textId="2D9D7DD4" w:rsidR="00F50E77" w:rsidRPr="00B24821" w:rsidRDefault="00F50E77" w:rsidP="00F50E77">
      <w:pPr>
        <w:pStyle w:val="Header"/>
        <w:tabs>
          <w:tab w:val="right" w:pos="9639"/>
        </w:tabs>
        <w:rPr>
          <w:sz w:val="24"/>
          <w:lang w:val="en-GB" w:eastAsia="ko-KR"/>
        </w:rPr>
      </w:pPr>
      <w:r>
        <w:rPr>
          <w:sz w:val="24"/>
          <w:lang w:val="en-GB" w:eastAsia="ko-KR"/>
        </w:rPr>
        <w:t>Reno</w:t>
      </w:r>
      <w:r w:rsidRPr="00B24821">
        <w:rPr>
          <w:sz w:val="24"/>
          <w:lang w:val="en-GB" w:eastAsia="ko-KR"/>
        </w:rPr>
        <w:t xml:space="preserve">, </w:t>
      </w:r>
      <w:r>
        <w:rPr>
          <w:sz w:val="24"/>
          <w:lang w:val="en-GB" w:eastAsia="ko-KR"/>
        </w:rPr>
        <w:t>USA</w:t>
      </w:r>
      <w:r w:rsidR="00A86F24">
        <w:rPr>
          <w:sz w:val="24"/>
          <w:lang w:val="en-GB" w:eastAsia="ko-KR"/>
        </w:rPr>
        <w:t>, 13</w:t>
      </w:r>
      <w:r w:rsidRPr="00B24821">
        <w:rPr>
          <w:sz w:val="24"/>
          <w:vertAlign w:val="superscript"/>
          <w:lang w:val="en-GB" w:eastAsia="ko-KR"/>
        </w:rPr>
        <w:t>th</w:t>
      </w:r>
      <w:r w:rsidR="00A86F24">
        <w:rPr>
          <w:sz w:val="24"/>
          <w:lang w:val="en-GB" w:eastAsia="ko-KR"/>
        </w:rPr>
        <w:t xml:space="preserve"> – 17</w:t>
      </w:r>
      <w:bookmarkStart w:id="0" w:name="_GoBack"/>
      <w:bookmarkEnd w:id="0"/>
      <w:r w:rsidRPr="00B24821">
        <w:rPr>
          <w:sz w:val="24"/>
          <w:vertAlign w:val="superscript"/>
          <w:lang w:val="en-GB" w:eastAsia="ko-KR"/>
        </w:rPr>
        <w:t>th</w:t>
      </w:r>
      <w:r w:rsidRPr="00B24821">
        <w:rPr>
          <w:sz w:val="24"/>
          <w:lang w:val="en-GB" w:eastAsia="ko-KR"/>
        </w:rPr>
        <w:t xml:space="preserve"> </w:t>
      </w:r>
      <w:r>
        <w:rPr>
          <w:sz w:val="24"/>
          <w:lang w:val="en-GB" w:eastAsia="ko-KR"/>
        </w:rPr>
        <w:t>May</w:t>
      </w:r>
      <w:r w:rsidRPr="00B24821">
        <w:rPr>
          <w:sz w:val="24"/>
          <w:lang w:val="en-GB" w:eastAsia="ko-KR"/>
        </w:rPr>
        <w:t xml:space="preserve"> 2019</w:t>
      </w:r>
      <w:r>
        <w:rPr>
          <w:sz w:val="24"/>
          <w:lang w:val="en-GB" w:eastAsia="ko-KR"/>
        </w:rPr>
        <w:tab/>
      </w:r>
      <w:r>
        <w:rPr>
          <w:sz w:val="24"/>
          <w:lang w:val="en-GB" w:eastAsia="zh-CN"/>
        </w:rPr>
        <w:t xml:space="preserve">(Revision of </w:t>
      </w:r>
      <w:r w:rsidRPr="00FC37CC">
        <w:rPr>
          <w:sz w:val="24"/>
          <w:lang w:val="en-GB" w:eastAsia="zh-CN"/>
        </w:rPr>
        <w:t>R2-1903660</w:t>
      </w:r>
      <w:r>
        <w:rPr>
          <w:sz w:val="24"/>
          <w:lang w:val="en-GB" w:eastAsia="zh-CN"/>
        </w:rPr>
        <w:t>)</w:t>
      </w:r>
    </w:p>
    <w:p w14:paraId="4C209772" w14:textId="6FCD6882" w:rsidR="00A507B8" w:rsidRPr="00550983" w:rsidRDefault="00A507B8" w:rsidP="00F50E77">
      <w:pPr>
        <w:pStyle w:val="Header"/>
        <w:tabs>
          <w:tab w:val="left" w:pos="9562"/>
          <w:tab w:val="left" w:pos="9639"/>
        </w:tabs>
        <w:rPr>
          <w:sz w:val="24"/>
          <w:lang w:val="en-GB" w:eastAsia="zh-CN"/>
        </w:rPr>
      </w:pPr>
    </w:p>
    <w:p w14:paraId="50A28E94" w14:textId="362F4753" w:rsidR="007D05E3" w:rsidRPr="00F50E77" w:rsidRDefault="009D5BAB" w:rsidP="00F50E77">
      <w:pPr>
        <w:pStyle w:val="Header"/>
        <w:tabs>
          <w:tab w:val="right" w:pos="9639"/>
        </w:tabs>
        <w:rPr>
          <w:bCs/>
          <w:i/>
          <w:noProof w:val="0"/>
          <w:sz w:val="24"/>
        </w:rPr>
      </w:pPr>
      <w:r w:rsidRPr="009D56B1">
        <w:rPr>
          <w:noProof w:val="0"/>
          <w:sz w:val="24"/>
          <w:lang w:eastAsia="zh-CN"/>
        </w:rPr>
        <w:tab/>
      </w:r>
    </w:p>
    <w:p w14:paraId="3A030AB1" w14:textId="13113D7C" w:rsidR="008B1A95" w:rsidRDefault="007D05E3" w:rsidP="00290024">
      <w:pPr>
        <w:pStyle w:val="CRCoverPage"/>
        <w:contextualSpacing/>
        <w:rPr>
          <w:rFonts w:cs="Arial"/>
          <w:b/>
          <w:bCs/>
          <w:sz w:val="24"/>
          <w:lang w:val="en-US"/>
        </w:rPr>
      </w:pPr>
      <w:r w:rsidRPr="009D56B1">
        <w:rPr>
          <w:rFonts w:cs="Arial"/>
          <w:b/>
          <w:bCs/>
          <w:sz w:val="24"/>
          <w:lang w:val="en-US"/>
        </w:rPr>
        <w:t>Agenda item:</w:t>
      </w:r>
      <w:r w:rsidRPr="009D56B1">
        <w:rPr>
          <w:rFonts w:cs="Arial"/>
          <w:b/>
          <w:bCs/>
          <w:sz w:val="24"/>
          <w:lang w:val="en-US"/>
        </w:rPr>
        <w:tab/>
      </w:r>
      <w:r w:rsidR="008B1A95">
        <w:rPr>
          <w:rFonts w:cs="Arial"/>
          <w:b/>
          <w:bCs/>
          <w:sz w:val="24"/>
          <w:lang w:val="en-US"/>
        </w:rPr>
        <w:t>11.4.4</w:t>
      </w:r>
    </w:p>
    <w:p w14:paraId="7DE10288" w14:textId="77777777" w:rsidR="00290024" w:rsidRDefault="007D05E3" w:rsidP="00290024">
      <w:pPr>
        <w:pStyle w:val="CRCoverPage"/>
        <w:contextualSpacing/>
        <w:rPr>
          <w:rFonts w:cs="Arial"/>
          <w:b/>
          <w:bCs/>
          <w:sz w:val="24"/>
          <w:lang w:eastAsia="zh-CN"/>
        </w:rPr>
      </w:pPr>
      <w:r w:rsidRPr="009D56B1">
        <w:rPr>
          <w:rFonts w:cs="Arial"/>
          <w:b/>
          <w:bCs/>
          <w:sz w:val="24"/>
        </w:rPr>
        <w:t>Source:</w:t>
      </w:r>
      <w:r w:rsidRPr="009D56B1">
        <w:rPr>
          <w:rFonts w:cs="Arial"/>
          <w:b/>
          <w:bCs/>
          <w:sz w:val="24"/>
        </w:rPr>
        <w:tab/>
      </w:r>
      <w:r w:rsidRPr="009D56B1">
        <w:rPr>
          <w:rFonts w:cs="Arial"/>
          <w:b/>
          <w:bCs/>
          <w:sz w:val="24"/>
        </w:rPr>
        <w:tab/>
        <w:t>Intel</w:t>
      </w:r>
      <w:r w:rsidRPr="009D56B1">
        <w:rPr>
          <w:rFonts w:cs="Arial"/>
          <w:b/>
          <w:bCs/>
          <w:sz w:val="24"/>
          <w:lang w:eastAsia="zh-CN"/>
        </w:rPr>
        <w:t xml:space="preserve"> Corporation</w:t>
      </w:r>
    </w:p>
    <w:p w14:paraId="4DC9EF74" w14:textId="2E04DB4C" w:rsidR="00290024" w:rsidRDefault="007D05E3" w:rsidP="00290024">
      <w:pPr>
        <w:pStyle w:val="CRCoverPage"/>
        <w:contextualSpacing/>
        <w:rPr>
          <w:rFonts w:cs="Arial"/>
          <w:b/>
          <w:bCs/>
          <w:sz w:val="24"/>
        </w:rPr>
      </w:pPr>
      <w:r w:rsidRPr="009D56B1">
        <w:rPr>
          <w:rFonts w:cs="Arial"/>
          <w:b/>
          <w:bCs/>
          <w:sz w:val="24"/>
        </w:rPr>
        <w:t>Title:</w:t>
      </w:r>
      <w:r w:rsidRPr="009D56B1">
        <w:rPr>
          <w:rFonts w:cs="Arial"/>
          <w:b/>
          <w:bCs/>
          <w:sz w:val="24"/>
        </w:rPr>
        <w:tab/>
      </w:r>
      <w:r w:rsidRPr="009D56B1">
        <w:rPr>
          <w:rFonts w:cs="Arial"/>
          <w:b/>
          <w:bCs/>
          <w:sz w:val="24"/>
        </w:rPr>
        <w:tab/>
      </w:r>
      <w:r w:rsidR="00290024">
        <w:rPr>
          <w:rFonts w:cs="Arial"/>
          <w:b/>
          <w:bCs/>
          <w:sz w:val="24"/>
        </w:rPr>
        <w:tab/>
      </w:r>
      <w:r w:rsidR="00D9670E" w:rsidRPr="00D9670E">
        <w:rPr>
          <w:rFonts w:cs="Arial"/>
          <w:b/>
          <w:bCs/>
          <w:sz w:val="24"/>
        </w:rPr>
        <w:t>Need for admission control</w:t>
      </w:r>
    </w:p>
    <w:p w14:paraId="50A28E98" w14:textId="045482B5" w:rsidR="007D05E3" w:rsidRPr="009D56B1" w:rsidRDefault="007D05E3" w:rsidP="00290024">
      <w:pPr>
        <w:pStyle w:val="CRCoverPage"/>
        <w:contextualSpacing/>
        <w:rPr>
          <w:rFonts w:cs="Arial"/>
          <w:b/>
          <w:bCs/>
          <w:sz w:val="24"/>
        </w:rPr>
      </w:pPr>
      <w:r w:rsidRPr="009D56B1">
        <w:rPr>
          <w:rFonts w:cs="Arial"/>
          <w:b/>
          <w:bCs/>
          <w:sz w:val="24"/>
        </w:rPr>
        <w:t>Document for:</w:t>
      </w:r>
      <w:r w:rsidRPr="009D56B1">
        <w:rPr>
          <w:rFonts w:cs="Arial"/>
          <w:b/>
          <w:bCs/>
          <w:sz w:val="24"/>
        </w:rPr>
        <w:tab/>
        <w:t>Discussion</w:t>
      </w:r>
      <w:r w:rsidR="00F53BB2">
        <w:rPr>
          <w:rFonts w:cs="Arial"/>
          <w:b/>
          <w:bCs/>
          <w:sz w:val="24"/>
        </w:rPr>
        <w:t>, Decision</w:t>
      </w:r>
    </w:p>
    <w:p w14:paraId="50A28E99" w14:textId="77777777" w:rsidR="008669B1" w:rsidRPr="00E0063E" w:rsidRDefault="008669B1" w:rsidP="000760CC">
      <w:pPr>
        <w:pStyle w:val="Tdoc"/>
      </w:pPr>
      <w:r w:rsidRPr="00E0063E">
        <w:t>Introduction</w:t>
      </w:r>
      <w:r w:rsidRPr="00E0063E">
        <w:rPr>
          <w:lang w:val="en-GB"/>
        </w:rPr>
        <w:t xml:space="preserve">  </w:t>
      </w:r>
    </w:p>
    <w:p w14:paraId="63915519" w14:textId="51445DD2" w:rsidR="007356BA" w:rsidRDefault="00D9670E"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zh-CN"/>
        </w:rPr>
        <w:t>The overall QoS design for NR V2X has come a long way and after lengthy discussion</w:t>
      </w:r>
      <w:r w:rsidR="00814C35">
        <w:rPr>
          <w:rFonts w:ascii="Times New Roman" w:hAnsi="Times New Roman"/>
          <w:sz w:val="20"/>
          <w:szCs w:val="20"/>
          <w:lang w:eastAsia="zh-CN"/>
        </w:rPr>
        <w:t>s</w:t>
      </w:r>
      <w:r>
        <w:rPr>
          <w:rFonts w:ascii="Times New Roman" w:hAnsi="Times New Roman"/>
          <w:sz w:val="20"/>
          <w:szCs w:val="20"/>
          <w:lang w:eastAsia="zh-CN"/>
        </w:rPr>
        <w:t>, the following set</w:t>
      </w:r>
      <w:r w:rsidR="00874841">
        <w:rPr>
          <w:rFonts w:ascii="Times New Roman" w:hAnsi="Times New Roman"/>
          <w:sz w:val="20"/>
          <w:szCs w:val="20"/>
          <w:lang w:eastAsia="zh-CN"/>
        </w:rPr>
        <w:t xml:space="preserve"> of agreements were made in </w:t>
      </w:r>
      <w:r>
        <w:rPr>
          <w:rFonts w:ascii="Times New Roman" w:hAnsi="Times New Roman"/>
          <w:sz w:val="20"/>
          <w:szCs w:val="20"/>
          <w:lang w:eastAsia="zh-CN"/>
        </w:rPr>
        <w:t xml:space="preserve">RAN2 </w:t>
      </w:r>
      <w:r w:rsidR="00874841">
        <w:rPr>
          <w:rFonts w:ascii="Times New Roman" w:hAnsi="Times New Roman"/>
          <w:sz w:val="20"/>
          <w:szCs w:val="20"/>
          <w:lang w:eastAsia="zh-CN"/>
        </w:rPr>
        <w:t xml:space="preserve">105 </w:t>
      </w:r>
      <w:r w:rsidR="00F53BB2">
        <w:rPr>
          <w:rFonts w:ascii="Times New Roman" w:hAnsi="Times New Roman"/>
          <w:sz w:val="20"/>
          <w:szCs w:val="20"/>
          <w:lang w:eastAsia="zh-CN"/>
        </w:rPr>
        <w:t xml:space="preserve">meeting </w:t>
      </w:r>
      <w:sdt>
        <w:sdtPr>
          <w:rPr>
            <w:rFonts w:ascii="Times New Roman" w:hAnsi="Times New Roman"/>
            <w:sz w:val="20"/>
            <w:szCs w:val="20"/>
            <w:lang w:eastAsia="zh-CN"/>
          </w:rPr>
          <w:id w:val="2029522348"/>
          <w:citation/>
        </w:sdtPr>
        <w:sdtEndPr/>
        <w:sdtContent>
          <w:r w:rsidR="00F53BB2">
            <w:rPr>
              <w:rFonts w:ascii="Times New Roman" w:hAnsi="Times New Roman"/>
              <w:sz w:val="20"/>
              <w:szCs w:val="20"/>
              <w:lang w:eastAsia="zh-CN"/>
            </w:rPr>
            <w:fldChar w:fldCharType="begin"/>
          </w:r>
          <w:r w:rsidR="00F53BB2">
            <w:rPr>
              <w:rFonts w:ascii="Times New Roman" w:hAnsi="Times New Roman"/>
              <w:sz w:val="20"/>
              <w:szCs w:val="20"/>
              <w:lang w:eastAsia="zh-CN"/>
            </w:rPr>
            <w:instrText xml:space="preserve"> CITATION 105V2XNotes \l 1033 </w:instrText>
          </w:r>
          <w:r w:rsidR="00F53BB2">
            <w:rPr>
              <w:rFonts w:ascii="Times New Roman" w:hAnsi="Times New Roman"/>
              <w:sz w:val="20"/>
              <w:szCs w:val="20"/>
              <w:lang w:eastAsia="zh-CN"/>
            </w:rPr>
            <w:fldChar w:fldCharType="separate"/>
          </w:r>
          <w:r w:rsidR="0091177A" w:rsidRPr="0091177A">
            <w:rPr>
              <w:rFonts w:ascii="Times New Roman" w:hAnsi="Times New Roman"/>
              <w:noProof/>
              <w:sz w:val="20"/>
              <w:szCs w:val="20"/>
              <w:lang w:eastAsia="zh-CN"/>
            </w:rPr>
            <w:t>[1]</w:t>
          </w:r>
          <w:r w:rsidR="00F53BB2">
            <w:rPr>
              <w:rFonts w:ascii="Times New Roman" w:hAnsi="Times New Roman"/>
              <w:sz w:val="20"/>
              <w:szCs w:val="20"/>
              <w:lang w:eastAsia="zh-CN"/>
            </w:rPr>
            <w:fldChar w:fldCharType="end"/>
          </w:r>
        </w:sdtContent>
      </w:sdt>
      <w:r w:rsidR="00E67A80">
        <w:rPr>
          <w:rFonts w:ascii="Times New Roman" w:hAnsi="Times New Roman"/>
          <w:sz w:val="20"/>
          <w:szCs w:val="20"/>
          <w:lang w:eastAsia="ja-JP"/>
        </w:rPr>
        <w:t>:</w:t>
      </w:r>
    </w:p>
    <w:p w14:paraId="3927024A" w14:textId="77777777" w:rsidR="00F53BB2" w:rsidRDefault="00F53BB2"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p>
    <w:p w14:paraId="0BA36A88" w14:textId="77777777" w:rsidR="00D9670E" w:rsidRPr="00D9670E" w:rsidRDefault="00D9670E" w:rsidP="00D9670E">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sz w:val="20"/>
          <w:szCs w:val="24"/>
          <w:lang w:val="en-GB" w:eastAsia="en-GB"/>
        </w:rPr>
      </w:pPr>
      <w:r w:rsidRPr="00D9670E">
        <w:rPr>
          <w:rFonts w:ascii="Arial" w:eastAsia="MS Mincho" w:hAnsi="Arial"/>
          <w:sz w:val="20"/>
          <w:szCs w:val="24"/>
          <w:lang w:val="en-GB" w:eastAsia="en-GB"/>
        </w:rPr>
        <w:t xml:space="preserve">Agreements on </w:t>
      </w:r>
      <w:r w:rsidRPr="00D9670E">
        <w:rPr>
          <w:rFonts w:ascii="Arial" w:eastAsia="MS Mincho" w:hAnsi="Arial"/>
          <w:noProof/>
          <w:sz w:val="20"/>
          <w:szCs w:val="24"/>
          <w:lang w:val="en-GB" w:eastAsia="en-GB"/>
        </w:rPr>
        <w:t>QoS</w:t>
      </w:r>
      <w:r w:rsidRPr="00D9670E">
        <w:rPr>
          <w:rFonts w:ascii="Arial" w:eastAsia="MS Mincho" w:hAnsi="Arial"/>
          <w:sz w:val="20"/>
          <w:szCs w:val="24"/>
          <w:lang w:val="en-GB" w:eastAsia="en-GB"/>
        </w:rPr>
        <w:t>:</w:t>
      </w:r>
    </w:p>
    <w:p w14:paraId="173A8D85" w14:textId="77777777" w:rsidR="00D9670E" w:rsidRPr="00D9670E" w:rsidRDefault="00D9670E" w:rsidP="00D9670E">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D9670E">
        <w:rPr>
          <w:rFonts w:ascii="Arial" w:eastAsia="MS Mincho" w:hAnsi="Arial"/>
          <w:sz w:val="20"/>
          <w:szCs w:val="24"/>
          <w:lang w:val="en-GB" w:eastAsia="en-GB"/>
        </w:rPr>
        <w:t xml:space="preserve">1: </w:t>
      </w:r>
      <w:r w:rsidRPr="00D9670E">
        <w:rPr>
          <w:rFonts w:ascii="Arial" w:eastAsia="MS Mincho" w:hAnsi="Arial"/>
          <w:noProof/>
          <w:sz w:val="20"/>
          <w:szCs w:val="24"/>
          <w:lang w:val="en-GB" w:eastAsia="en-GB"/>
        </w:rPr>
        <w:t>From the AS perspective, data rate requirements need to be further supported for NR SL, besides QoS metrics (i.e. priority, latency and reliability) as well as minimum required communication range concluded by RAN1.</w:t>
      </w:r>
    </w:p>
    <w:p w14:paraId="3C53DDF1" w14:textId="77777777" w:rsidR="00D9670E" w:rsidRPr="00D9670E" w:rsidRDefault="00D9670E" w:rsidP="00D9670E">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D9670E">
        <w:rPr>
          <w:rFonts w:ascii="Arial" w:eastAsia="MS Mincho" w:hAnsi="Arial"/>
          <w:noProof/>
          <w:sz w:val="20"/>
          <w:szCs w:val="24"/>
          <w:lang w:val="en-GB" w:eastAsia="en-GB"/>
        </w:rPr>
        <w:t>2: From RAN2 perspective, PQI defined by SA2 for NR SL is feasible. Final decision on whether/how other QoS parameters are defined in addition to PQI is up to SA2.</w:t>
      </w:r>
    </w:p>
    <w:p w14:paraId="787629FC" w14:textId="77777777" w:rsidR="00D9670E" w:rsidRPr="00D9670E" w:rsidRDefault="00D9670E" w:rsidP="00D9670E">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D9670E">
        <w:rPr>
          <w:rFonts w:ascii="Arial" w:eastAsia="MS Mincho" w:hAnsi="Arial"/>
          <w:noProof/>
          <w:sz w:val="20"/>
          <w:szCs w:val="24"/>
          <w:lang w:val="en-GB" w:eastAsia="en-GB"/>
        </w:rPr>
        <w:t>3: For NR SL unicast, groupcast and broadcast, specific PC5 QoS parameters (e.g. PQI, etc) of V2X packets need to be instructed by the upper layers to the AS.</w:t>
      </w:r>
    </w:p>
    <w:p w14:paraId="683594AB" w14:textId="77777777" w:rsidR="00D9670E" w:rsidRPr="00D9670E" w:rsidRDefault="00D9670E" w:rsidP="00D9670E">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D9670E">
        <w:rPr>
          <w:rFonts w:ascii="Arial" w:eastAsia="MS Mincho" w:hAnsi="Arial"/>
          <w:noProof/>
          <w:sz w:val="20"/>
          <w:szCs w:val="24"/>
          <w:lang w:val="en-GB" w:eastAsia="en-GB"/>
        </w:rPr>
        <w:t>4a: For V2X transmission in SL unicast, SLRB configurations are NW configured or pre-configured. The configuration of each SLRB may include transmission related parameters which do not need to be known by the peer UE, plus some parameters that are configured also need to be known by the peer UE.</w:t>
      </w:r>
    </w:p>
    <w:p w14:paraId="6A954227" w14:textId="77777777" w:rsidR="00D9670E" w:rsidRPr="00D9670E" w:rsidRDefault="00D9670E" w:rsidP="00D9670E">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D9670E">
        <w:rPr>
          <w:rFonts w:ascii="Arial" w:eastAsia="MS Mincho" w:hAnsi="Arial"/>
          <w:sz w:val="20"/>
          <w:szCs w:val="24"/>
          <w:lang w:val="en-GB" w:eastAsia="en-GB"/>
        </w:rPr>
        <w:t xml:space="preserve">4b: </w:t>
      </w:r>
      <w:r w:rsidRPr="00D9670E">
        <w:rPr>
          <w:rFonts w:ascii="Arial" w:eastAsia="MS Mincho" w:hAnsi="Arial"/>
          <w:noProof/>
          <w:sz w:val="20"/>
          <w:szCs w:val="24"/>
          <w:lang w:val="en-GB" w:eastAsia="en-GB"/>
        </w:rPr>
        <w:t>From RAN2 perspective, per-flow QoS model is preferred for NR SL unicast.</w:t>
      </w:r>
    </w:p>
    <w:p w14:paraId="7B17D0CB" w14:textId="77777777" w:rsidR="00D9670E" w:rsidRPr="00D9670E" w:rsidRDefault="00D9670E" w:rsidP="00D9670E">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D9670E">
        <w:rPr>
          <w:rFonts w:ascii="Arial" w:eastAsia="MS Mincho" w:hAnsi="Arial"/>
          <w:noProof/>
          <w:sz w:val="20"/>
          <w:szCs w:val="24"/>
          <w:lang w:val="en-GB" w:eastAsia="en-GB"/>
        </w:rPr>
        <w:t>4c: The mapping between PC5 QoS flows and SLRBs is at least gNB/ng-eNB configured or pre-configured. RAN2 to further decide in which case(s) gNB/ng-eNB configuration and pre-configuration are applied respectively in WI.</w:t>
      </w:r>
    </w:p>
    <w:p w14:paraId="5BB1FAE6" w14:textId="77777777" w:rsidR="00D9670E" w:rsidRPr="00D9670E" w:rsidRDefault="00D9670E" w:rsidP="00D9670E">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D9670E">
        <w:rPr>
          <w:rFonts w:ascii="Arial" w:eastAsia="MS Mincho" w:hAnsi="Arial"/>
          <w:noProof/>
          <w:sz w:val="20"/>
          <w:szCs w:val="24"/>
          <w:lang w:val="en-GB" w:eastAsia="en-GB"/>
        </w:rPr>
        <w:t>4d: Adopt the procedures in Option b and e (corresponding to Option 2 and 5 in Appendix respectively) for NR SL unicast.</w:t>
      </w:r>
    </w:p>
    <w:p w14:paraId="55F32CD5" w14:textId="77777777" w:rsidR="00D9670E" w:rsidRPr="00D9670E" w:rsidRDefault="00D9670E" w:rsidP="00D9670E">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D9670E">
        <w:rPr>
          <w:rFonts w:ascii="Arial" w:eastAsia="MS Mincho" w:hAnsi="Arial"/>
          <w:noProof/>
          <w:sz w:val="20"/>
          <w:szCs w:val="24"/>
          <w:lang w:val="en-GB" w:eastAsia="en-GB"/>
        </w:rPr>
        <w:t>4e: For V2X transmission in SL gouprcast or SL broadcast, SLRB configurations are NW configured or pre-configured. The configuration of each SLRB may include only transmission related parameters which do not need to be known by the peer UEs.</w:t>
      </w:r>
    </w:p>
    <w:p w14:paraId="6D0BDB11" w14:textId="77777777" w:rsidR="00D9670E" w:rsidRPr="00D9670E" w:rsidRDefault="00D9670E" w:rsidP="00D9670E">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D9670E">
        <w:rPr>
          <w:rFonts w:ascii="Arial" w:eastAsia="MS Mincho" w:hAnsi="Arial"/>
          <w:noProof/>
          <w:sz w:val="20"/>
          <w:szCs w:val="24"/>
          <w:lang w:val="en-GB" w:eastAsia="en-GB"/>
        </w:rPr>
        <w:t>4f: RAN2 agrees that from RAN2 perspective, per-packet QoS model is preferred for NR SL broadcast. Also RAN2 prefers to apply per-packet QoS based model for SL groupcast.</w:t>
      </w:r>
    </w:p>
    <w:p w14:paraId="7AE00665" w14:textId="77777777" w:rsidR="00D9670E" w:rsidRPr="00D9670E" w:rsidRDefault="00D9670E" w:rsidP="00D9670E">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D9670E">
        <w:rPr>
          <w:rFonts w:ascii="Arial" w:eastAsia="MS Mincho" w:hAnsi="Arial"/>
          <w:noProof/>
          <w:sz w:val="20"/>
          <w:szCs w:val="24"/>
          <w:lang w:val="en-GB" w:eastAsia="en-GB"/>
        </w:rPr>
        <w:t>4g: For per-packet QoS model, the mapping between PC5 QoS profiles (i.e. specific PC5 QoS parameters) and SLRBs is gNB/ng-eNB configured or pre-configured.</w:t>
      </w:r>
    </w:p>
    <w:p w14:paraId="7F624E31" w14:textId="77777777" w:rsidR="00D9670E" w:rsidRPr="00D9670E" w:rsidRDefault="00D9670E" w:rsidP="00D9670E">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D9670E">
        <w:rPr>
          <w:rFonts w:ascii="Arial" w:eastAsia="MS Mincho" w:hAnsi="Arial"/>
          <w:noProof/>
          <w:sz w:val="20"/>
          <w:szCs w:val="24"/>
          <w:lang w:val="en-GB" w:eastAsia="en-GB"/>
        </w:rPr>
        <w:t>4h: Adopt the procedures in Option a, c and d (corresponding to Option 1, 3 and 4 in Appendix respectively) for NR SL broadcast. RAN2 to further decide in which case(s) gNB/ng-eNB configuration and pre-configuration are applied respectively in WI.</w:t>
      </w:r>
    </w:p>
    <w:p w14:paraId="795EB797" w14:textId="77777777" w:rsidR="00D9670E" w:rsidRPr="00D9670E" w:rsidRDefault="00D9670E" w:rsidP="00D9670E">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D9670E">
        <w:rPr>
          <w:rFonts w:ascii="Arial" w:eastAsia="MS Mincho" w:hAnsi="Arial"/>
          <w:noProof/>
          <w:sz w:val="20"/>
          <w:szCs w:val="24"/>
          <w:lang w:val="en-GB" w:eastAsia="en-GB"/>
        </w:rPr>
        <w:t>5: For NR SL unicast, some SLRB configurations need to be informed by the one UE to the peer UE in SL, including at least SN length, RLC mode (related to also Q9) and PC5 QoS profile associated with each SLRB. Other SLRB related parameters are not excluded.</w:t>
      </w:r>
    </w:p>
    <w:p w14:paraId="41B61D8E" w14:textId="77777777" w:rsidR="00D9670E" w:rsidRPr="00D9670E" w:rsidRDefault="00D9670E" w:rsidP="00D9670E">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D9670E">
        <w:rPr>
          <w:rFonts w:ascii="Arial" w:eastAsia="MS Mincho" w:hAnsi="Arial"/>
          <w:noProof/>
          <w:sz w:val="20"/>
          <w:szCs w:val="24"/>
          <w:lang w:val="en-GB" w:eastAsia="en-GB"/>
        </w:rPr>
        <w:t>6: SDAP layer is needed at least for NR SL unicast, performing PC5 QoS flow to SLRB mapping. SDAP layer is not needed for per-packet QoS model, e.g. broadcast.</w:t>
      </w:r>
    </w:p>
    <w:p w14:paraId="0298BA9D" w14:textId="77777777" w:rsidR="00D9670E" w:rsidRPr="00D9670E" w:rsidRDefault="00D9670E" w:rsidP="00D9670E">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D9670E">
        <w:rPr>
          <w:rFonts w:ascii="Arial" w:eastAsia="MS Mincho" w:hAnsi="Arial"/>
          <w:noProof/>
          <w:sz w:val="20"/>
          <w:szCs w:val="24"/>
          <w:lang w:val="en-GB" w:eastAsia="en-GB"/>
        </w:rPr>
        <w:t>7: RLC AM is supported for NR SL unicast.</w:t>
      </w:r>
    </w:p>
    <w:p w14:paraId="383BCD56" w14:textId="77777777" w:rsidR="00D9670E" w:rsidRPr="00D9670E" w:rsidRDefault="00D9670E" w:rsidP="00D9670E">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sz w:val="20"/>
          <w:szCs w:val="24"/>
          <w:lang w:val="en-GB" w:eastAsia="en-GB"/>
        </w:rPr>
      </w:pPr>
      <w:r w:rsidRPr="00D9670E">
        <w:rPr>
          <w:rFonts w:ascii="Arial" w:eastAsia="MS Mincho" w:hAnsi="Arial"/>
          <w:noProof/>
          <w:sz w:val="20"/>
          <w:szCs w:val="24"/>
          <w:lang w:val="en-GB" w:eastAsia="en-GB"/>
        </w:rPr>
        <w:t xml:space="preserve">8: </w:t>
      </w:r>
      <w:r w:rsidRPr="00D9670E">
        <w:rPr>
          <w:rFonts w:ascii="Arial" w:eastAsia="MS Mincho" w:hAnsi="Arial"/>
          <w:noProof/>
          <w:sz w:val="20"/>
          <w:szCs w:val="24"/>
          <w:highlight w:val="yellow"/>
          <w:lang w:val="en-GB" w:eastAsia="en-GB"/>
        </w:rPr>
        <w:t>Need of admission control in NR SL can be discussed in WI.</w:t>
      </w:r>
    </w:p>
    <w:p w14:paraId="6E7C5A20" w14:textId="77777777" w:rsidR="00E67A80" w:rsidRDefault="00E67A80"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p>
    <w:p w14:paraId="559CCA47" w14:textId="14FA2BF1" w:rsidR="00E67A80" w:rsidRPr="00C11F0A" w:rsidRDefault="00D9670E"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 xml:space="preserve">One </w:t>
      </w:r>
      <w:r w:rsidR="000837B7">
        <w:rPr>
          <w:rFonts w:ascii="Times New Roman" w:hAnsi="Times New Roman"/>
          <w:sz w:val="20"/>
          <w:szCs w:val="20"/>
          <w:lang w:eastAsia="ja-JP"/>
        </w:rPr>
        <w:t xml:space="preserve">outstanding </w:t>
      </w:r>
      <w:r>
        <w:rPr>
          <w:rFonts w:ascii="Times New Roman" w:hAnsi="Times New Roman"/>
          <w:sz w:val="20"/>
          <w:szCs w:val="20"/>
          <w:lang w:eastAsia="ja-JP"/>
        </w:rPr>
        <w:t>aspect which was not resolved and relegated to the WI stage was the need for admission control for NR SL</w:t>
      </w:r>
      <w:r w:rsidR="00874841">
        <w:rPr>
          <w:rFonts w:ascii="Times New Roman" w:hAnsi="Times New Roman"/>
          <w:sz w:val="20"/>
          <w:szCs w:val="20"/>
          <w:lang w:eastAsia="ja-JP"/>
        </w:rPr>
        <w:t xml:space="preserve"> and there was no subsequent discussion in RAN2#105bis meeting on this aspect. So, i</w:t>
      </w:r>
      <w:r>
        <w:rPr>
          <w:rFonts w:ascii="Times New Roman" w:hAnsi="Times New Roman"/>
          <w:sz w:val="20"/>
          <w:szCs w:val="20"/>
          <w:lang w:eastAsia="ja-JP"/>
        </w:rPr>
        <w:t>n this contributio</w:t>
      </w:r>
      <w:r w:rsidR="000837B7">
        <w:rPr>
          <w:rFonts w:ascii="Times New Roman" w:hAnsi="Times New Roman"/>
          <w:sz w:val="20"/>
          <w:szCs w:val="20"/>
          <w:lang w:eastAsia="ja-JP"/>
        </w:rPr>
        <w:t xml:space="preserve">n, we analyze the need for such functionality </w:t>
      </w:r>
      <w:r>
        <w:rPr>
          <w:rFonts w:ascii="Times New Roman" w:hAnsi="Times New Roman"/>
          <w:sz w:val="20"/>
          <w:szCs w:val="20"/>
          <w:lang w:eastAsia="ja-JP"/>
        </w:rPr>
        <w:t>and present our view.</w:t>
      </w:r>
    </w:p>
    <w:p w14:paraId="768091D5" w14:textId="2EE7A73F" w:rsidR="00A3213E" w:rsidRPr="009361B6" w:rsidRDefault="000760CC" w:rsidP="009361B6">
      <w:pPr>
        <w:pStyle w:val="Tdoc"/>
      </w:pPr>
      <w:r>
        <w:t>Discussion</w:t>
      </w:r>
    </w:p>
    <w:p w14:paraId="48A91EC9" w14:textId="2D12E1E4" w:rsidR="000837B7" w:rsidRDefault="000837B7" w:rsidP="00305CD5">
      <w:pPr>
        <w:rPr>
          <w:rFonts w:ascii="Times New Roman" w:hAnsi="Times New Roman"/>
          <w:sz w:val="20"/>
          <w:lang w:val="en-GB" w:eastAsia="zh-CN"/>
        </w:rPr>
      </w:pPr>
      <w:r w:rsidRPr="000837B7">
        <w:rPr>
          <w:rFonts w:ascii="Times New Roman" w:hAnsi="Times New Roman"/>
          <w:sz w:val="20"/>
          <w:lang w:val="en-GB" w:eastAsia="zh-CN"/>
        </w:rPr>
        <w:t xml:space="preserve">While operation in mode 1 is strictly in the control of the </w:t>
      </w:r>
      <w:r>
        <w:rPr>
          <w:rFonts w:ascii="Times New Roman" w:hAnsi="Times New Roman"/>
          <w:sz w:val="20"/>
          <w:lang w:val="en-GB" w:eastAsia="zh-CN"/>
        </w:rPr>
        <w:t>gNB</w:t>
      </w:r>
      <w:r w:rsidRPr="000837B7">
        <w:rPr>
          <w:rFonts w:ascii="Times New Roman" w:hAnsi="Times New Roman"/>
          <w:sz w:val="20"/>
          <w:lang w:val="en-GB" w:eastAsia="zh-CN"/>
        </w:rPr>
        <w:t xml:space="preserve">, for mode 2, in order to ensure the above QoS requirement, there is </w:t>
      </w:r>
      <w:r>
        <w:rPr>
          <w:rFonts w:ascii="Times New Roman" w:hAnsi="Times New Roman"/>
          <w:sz w:val="20"/>
          <w:lang w:val="en-GB" w:eastAsia="zh-CN"/>
        </w:rPr>
        <w:t xml:space="preserve">indeed </w:t>
      </w:r>
      <w:r w:rsidRPr="000837B7">
        <w:rPr>
          <w:rFonts w:ascii="Times New Roman" w:hAnsi="Times New Roman"/>
          <w:sz w:val="20"/>
          <w:lang w:val="en-GB" w:eastAsia="zh-CN"/>
        </w:rPr>
        <w:t xml:space="preserve">a need to develop some mechanism for </w:t>
      </w:r>
      <w:r>
        <w:rPr>
          <w:rFonts w:ascii="Times New Roman" w:hAnsi="Times New Roman"/>
          <w:sz w:val="20"/>
          <w:lang w:val="en-GB" w:eastAsia="zh-CN"/>
        </w:rPr>
        <w:t xml:space="preserve">congestion </w:t>
      </w:r>
      <w:r w:rsidRPr="000837B7">
        <w:rPr>
          <w:rFonts w:ascii="Times New Roman" w:hAnsi="Times New Roman"/>
          <w:sz w:val="20"/>
          <w:lang w:val="en-GB" w:eastAsia="zh-CN"/>
        </w:rPr>
        <w:t xml:space="preserve">control whereby all V2X transmission </w:t>
      </w:r>
      <w:r w:rsidRPr="000837B7">
        <w:rPr>
          <w:rFonts w:ascii="Times New Roman" w:hAnsi="Times New Roman"/>
          <w:sz w:val="20"/>
          <w:lang w:val="en-GB" w:eastAsia="zh-CN"/>
        </w:rPr>
        <w:lastRenderedPageBreak/>
        <w:t xml:space="preserve">over shared sidelink resources take into account the channel load status. Note that in LTE, such a congestion control mechanism takes into account the packet priority (PPPP) and the channel busy ration (CBR) to control the TX parameters such as TX power at each UE. This ensures that the NW can still mediate transmission of V2X packets based on their </w:t>
      </w:r>
      <w:r>
        <w:rPr>
          <w:rFonts w:ascii="Times New Roman" w:hAnsi="Times New Roman"/>
          <w:sz w:val="20"/>
          <w:lang w:val="en-GB" w:eastAsia="zh-CN"/>
        </w:rPr>
        <w:t>“</w:t>
      </w:r>
      <w:r w:rsidRPr="000837B7">
        <w:rPr>
          <w:rFonts w:ascii="Times New Roman" w:hAnsi="Times New Roman"/>
          <w:sz w:val="20"/>
          <w:lang w:val="en-GB" w:eastAsia="zh-CN"/>
        </w:rPr>
        <w:t>priority</w:t>
      </w:r>
      <w:r>
        <w:rPr>
          <w:rFonts w:ascii="Times New Roman" w:hAnsi="Times New Roman"/>
          <w:sz w:val="20"/>
          <w:lang w:val="en-GB" w:eastAsia="zh-CN"/>
        </w:rPr>
        <w:t>”</w:t>
      </w:r>
      <w:r w:rsidRPr="000837B7">
        <w:rPr>
          <w:rFonts w:ascii="Times New Roman" w:hAnsi="Times New Roman"/>
          <w:sz w:val="20"/>
          <w:lang w:val="en-GB" w:eastAsia="zh-CN"/>
        </w:rPr>
        <w:t>.</w:t>
      </w:r>
      <w:r>
        <w:rPr>
          <w:rFonts w:ascii="Times New Roman" w:hAnsi="Times New Roman"/>
          <w:sz w:val="20"/>
          <w:lang w:val="en-GB" w:eastAsia="zh-CN"/>
        </w:rPr>
        <w:t xml:space="preserve"> </w:t>
      </w:r>
      <w:r w:rsidR="00F53BB2">
        <w:rPr>
          <w:rFonts w:ascii="Times New Roman" w:hAnsi="Times New Roman"/>
          <w:sz w:val="20"/>
          <w:lang w:val="en-GB" w:eastAsia="zh-CN"/>
        </w:rPr>
        <w:t>For NR V2X, a</w:t>
      </w:r>
      <w:r>
        <w:rPr>
          <w:rFonts w:ascii="Times New Roman" w:hAnsi="Times New Roman"/>
          <w:sz w:val="20"/>
          <w:lang w:val="en-GB" w:eastAsia="zh-CN"/>
        </w:rPr>
        <w:t xml:space="preserve">t this stage, we can identify at least three mechanisms </w:t>
      </w:r>
      <w:r w:rsidR="00F53BB2">
        <w:rPr>
          <w:rFonts w:ascii="Times New Roman" w:hAnsi="Times New Roman"/>
          <w:sz w:val="20"/>
          <w:lang w:val="en-GB" w:eastAsia="zh-CN"/>
        </w:rPr>
        <w:t xml:space="preserve">that can be considered </w:t>
      </w:r>
      <w:r>
        <w:rPr>
          <w:rFonts w:ascii="Times New Roman" w:hAnsi="Times New Roman"/>
          <w:sz w:val="20"/>
          <w:lang w:val="en-GB" w:eastAsia="zh-CN"/>
        </w:rPr>
        <w:t>to perform such admission control:</w:t>
      </w:r>
    </w:p>
    <w:p w14:paraId="512C981A" w14:textId="0E6590E8" w:rsidR="000837B7" w:rsidRDefault="000837B7" w:rsidP="000837B7">
      <w:pPr>
        <w:pStyle w:val="ListParagraph"/>
        <w:numPr>
          <w:ilvl w:val="0"/>
          <w:numId w:val="37"/>
        </w:numPr>
        <w:rPr>
          <w:rFonts w:ascii="Times New Roman" w:hAnsi="Times New Roman"/>
          <w:sz w:val="20"/>
          <w:lang w:val="en-GB" w:eastAsia="zh-CN"/>
        </w:rPr>
      </w:pPr>
      <w:r>
        <w:rPr>
          <w:rFonts w:ascii="Times New Roman" w:hAnsi="Times New Roman"/>
          <w:sz w:val="20"/>
          <w:lang w:val="en-GB" w:eastAsia="zh-CN"/>
        </w:rPr>
        <w:t>Per service admission control, in which t</w:t>
      </w:r>
      <w:r w:rsidRPr="000837B7">
        <w:rPr>
          <w:rFonts w:ascii="Times New Roman" w:hAnsi="Times New Roman"/>
          <w:sz w:val="20"/>
          <w:lang w:val="en-GB" w:eastAsia="zh-CN"/>
        </w:rPr>
        <w:t xml:space="preserve">he NW can configure a mapping between specific V2X services and carrier frequencies such that the UE is barred from performing any V2X transmissions for that service if it is not allowed according to such mapping. This mapping can be </w:t>
      </w:r>
      <w:r>
        <w:rPr>
          <w:rFonts w:ascii="Times New Roman" w:hAnsi="Times New Roman"/>
          <w:sz w:val="20"/>
          <w:lang w:val="en-GB" w:eastAsia="zh-CN"/>
        </w:rPr>
        <w:t>accomplished by</w:t>
      </w:r>
      <w:r w:rsidRPr="000837B7">
        <w:rPr>
          <w:rFonts w:ascii="Times New Roman" w:hAnsi="Times New Roman"/>
          <w:sz w:val="20"/>
          <w:lang w:val="en-GB" w:eastAsia="zh-CN"/>
        </w:rPr>
        <w:t xml:space="preserve"> NW configuration or </w:t>
      </w:r>
      <w:r>
        <w:rPr>
          <w:rFonts w:ascii="Times New Roman" w:hAnsi="Times New Roman"/>
          <w:sz w:val="20"/>
          <w:lang w:val="en-GB" w:eastAsia="zh-CN"/>
        </w:rPr>
        <w:t>pre-configuration</w:t>
      </w:r>
      <w:r w:rsidRPr="000837B7">
        <w:rPr>
          <w:rFonts w:ascii="Times New Roman" w:hAnsi="Times New Roman"/>
          <w:sz w:val="20"/>
          <w:lang w:val="en-GB" w:eastAsia="zh-CN"/>
        </w:rPr>
        <w:t>. Note that this type of admission control per service does not take into account the dynamic c</w:t>
      </w:r>
      <w:r>
        <w:rPr>
          <w:rFonts w:ascii="Times New Roman" w:hAnsi="Times New Roman"/>
          <w:sz w:val="20"/>
          <w:lang w:val="en-GB" w:eastAsia="zh-CN"/>
        </w:rPr>
        <w:t>hannel conditions over sidelink.</w:t>
      </w:r>
    </w:p>
    <w:p w14:paraId="2642C193" w14:textId="292F4770" w:rsidR="000837B7" w:rsidRPr="000837B7" w:rsidRDefault="000837B7" w:rsidP="000837B7">
      <w:pPr>
        <w:pStyle w:val="ListParagraph"/>
        <w:numPr>
          <w:ilvl w:val="0"/>
          <w:numId w:val="37"/>
        </w:numPr>
        <w:rPr>
          <w:rFonts w:ascii="Times New Roman" w:hAnsi="Times New Roman"/>
          <w:sz w:val="20"/>
          <w:lang w:val="en-GB" w:eastAsia="zh-CN"/>
        </w:rPr>
      </w:pPr>
      <w:r>
        <w:rPr>
          <w:rFonts w:ascii="Times New Roman" w:hAnsi="Times New Roman"/>
          <w:sz w:val="20"/>
          <w:lang w:val="en-GB" w:eastAsia="zh-CN"/>
        </w:rPr>
        <w:t xml:space="preserve">Per packet admission control, whereby </w:t>
      </w:r>
      <w:r w:rsidRPr="000837B7">
        <w:rPr>
          <w:rFonts w:ascii="Times New Roman" w:hAnsi="Times New Roman"/>
          <w:sz w:val="20"/>
          <w:lang w:val="en-GB" w:eastAsia="zh-CN"/>
        </w:rPr>
        <w:t xml:space="preserve">the UE is also configured with a </w:t>
      </w:r>
      <w:r>
        <w:rPr>
          <w:rFonts w:ascii="Times New Roman" w:hAnsi="Times New Roman"/>
          <w:sz w:val="20"/>
          <w:lang w:val="en-GB" w:eastAsia="zh-CN"/>
        </w:rPr>
        <w:t>congestion metric</w:t>
      </w:r>
      <w:r w:rsidRPr="000837B7">
        <w:rPr>
          <w:rFonts w:ascii="Times New Roman" w:hAnsi="Times New Roman"/>
          <w:sz w:val="20"/>
          <w:lang w:val="en-GB" w:eastAsia="zh-CN"/>
        </w:rPr>
        <w:t xml:space="preserve">-QoS criteria </w:t>
      </w:r>
      <w:r>
        <w:rPr>
          <w:rFonts w:ascii="Times New Roman" w:hAnsi="Times New Roman"/>
          <w:sz w:val="20"/>
          <w:lang w:val="en-GB" w:eastAsia="zh-CN"/>
        </w:rPr>
        <w:t xml:space="preserve">(e.g. CBR-PQI) </w:t>
      </w:r>
      <w:r w:rsidRPr="000837B7">
        <w:rPr>
          <w:rFonts w:ascii="Times New Roman" w:hAnsi="Times New Roman"/>
          <w:sz w:val="20"/>
          <w:lang w:val="en-GB" w:eastAsia="zh-CN"/>
        </w:rPr>
        <w:t>mapped to TX parameter configuration by the network. I</w:t>
      </w:r>
      <w:r>
        <w:rPr>
          <w:rFonts w:ascii="Times New Roman" w:hAnsi="Times New Roman"/>
          <w:sz w:val="20"/>
          <w:lang w:val="en-GB" w:eastAsia="zh-CN"/>
        </w:rPr>
        <w:t>f V2X transmission is permitted and</w:t>
      </w:r>
      <w:r w:rsidRPr="000837B7">
        <w:rPr>
          <w:rFonts w:ascii="Times New Roman" w:hAnsi="Times New Roman"/>
          <w:sz w:val="20"/>
          <w:lang w:val="en-GB" w:eastAsia="zh-CN"/>
        </w:rPr>
        <w:t xml:space="preserve"> the UE </w:t>
      </w:r>
      <w:r>
        <w:rPr>
          <w:rFonts w:ascii="Times New Roman" w:hAnsi="Times New Roman"/>
          <w:sz w:val="20"/>
          <w:lang w:val="en-GB" w:eastAsia="zh-CN"/>
        </w:rPr>
        <w:t xml:space="preserve">has </w:t>
      </w:r>
      <w:r w:rsidRPr="000837B7">
        <w:rPr>
          <w:rFonts w:ascii="Times New Roman" w:hAnsi="Times New Roman"/>
          <w:sz w:val="20"/>
          <w:lang w:val="en-GB" w:eastAsia="zh-CN"/>
        </w:rPr>
        <w:t xml:space="preserve">sidelink measurements for channel conditions </w:t>
      </w:r>
      <w:r>
        <w:rPr>
          <w:rFonts w:ascii="Times New Roman" w:hAnsi="Times New Roman"/>
          <w:sz w:val="20"/>
          <w:lang w:val="en-GB" w:eastAsia="zh-CN"/>
        </w:rPr>
        <w:t xml:space="preserve">to </w:t>
      </w:r>
      <w:r w:rsidRPr="000837B7">
        <w:rPr>
          <w:rFonts w:ascii="Times New Roman" w:hAnsi="Times New Roman"/>
          <w:sz w:val="20"/>
          <w:lang w:val="en-GB" w:eastAsia="zh-CN"/>
        </w:rPr>
        <w:t>determine the</w:t>
      </w:r>
      <w:r>
        <w:rPr>
          <w:rFonts w:ascii="Times New Roman" w:hAnsi="Times New Roman"/>
          <w:sz w:val="20"/>
          <w:lang w:val="en-GB" w:eastAsia="zh-CN"/>
        </w:rPr>
        <w:t xml:space="preserve"> channel load status (e.g. CBR),</w:t>
      </w:r>
      <w:r w:rsidRPr="000837B7">
        <w:rPr>
          <w:rFonts w:ascii="Times New Roman" w:hAnsi="Times New Roman"/>
          <w:sz w:val="20"/>
          <w:lang w:val="en-GB" w:eastAsia="zh-CN"/>
        </w:rPr>
        <w:t xml:space="preserve"> this information </w:t>
      </w:r>
      <w:r>
        <w:rPr>
          <w:rFonts w:ascii="Times New Roman" w:hAnsi="Times New Roman"/>
          <w:sz w:val="20"/>
          <w:lang w:val="en-GB" w:eastAsia="zh-CN"/>
        </w:rPr>
        <w:t>is</w:t>
      </w:r>
      <w:r w:rsidRPr="000837B7">
        <w:rPr>
          <w:rFonts w:ascii="Times New Roman" w:hAnsi="Times New Roman"/>
          <w:sz w:val="20"/>
          <w:lang w:val="en-GB" w:eastAsia="zh-CN"/>
        </w:rPr>
        <w:t xml:space="preserve"> (optionally)</w:t>
      </w:r>
      <w:r>
        <w:rPr>
          <w:rFonts w:ascii="Times New Roman" w:hAnsi="Times New Roman"/>
          <w:sz w:val="20"/>
          <w:lang w:val="en-GB" w:eastAsia="zh-CN"/>
        </w:rPr>
        <w:t xml:space="preserve"> used</w:t>
      </w:r>
      <w:r w:rsidRPr="000837B7">
        <w:rPr>
          <w:rFonts w:ascii="Times New Roman" w:hAnsi="Times New Roman"/>
          <w:sz w:val="20"/>
          <w:lang w:val="en-GB" w:eastAsia="zh-CN"/>
        </w:rPr>
        <w:t xml:space="preserve"> together with the QoS information for each packet passed down to the AS layer to determine (for each packet) whether it can be transmitted or not</w:t>
      </w:r>
      <w:r>
        <w:rPr>
          <w:rFonts w:ascii="Times New Roman" w:hAnsi="Times New Roman"/>
          <w:sz w:val="20"/>
          <w:lang w:val="en-GB" w:eastAsia="zh-CN"/>
        </w:rPr>
        <w:t xml:space="preserve">. This is quite similar to LTE based congestion control mechanism over sidelink. </w:t>
      </w:r>
    </w:p>
    <w:p w14:paraId="00491496" w14:textId="7EBACC8E" w:rsidR="000837B7" w:rsidRPr="000837B7" w:rsidRDefault="000837B7" w:rsidP="00305CD5">
      <w:pPr>
        <w:pStyle w:val="ListParagraph"/>
        <w:numPr>
          <w:ilvl w:val="0"/>
          <w:numId w:val="37"/>
        </w:numPr>
        <w:rPr>
          <w:rFonts w:ascii="Times New Roman" w:hAnsi="Times New Roman"/>
          <w:sz w:val="20"/>
          <w:lang w:val="en-GB" w:eastAsia="zh-CN"/>
        </w:rPr>
      </w:pPr>
      <w:r>
        <w:rPr>
          <w:rFonts w:ascii="Times New Roman" w:hAnsi="Times New Roman"/>
          <w:sz w:val="20"/>
          <w:lang w:val="en-GB" w:eastAsia="zh-CN"/>
        </w:rPr>
        <w:t>Per packet per service admission control, which</w:t>
      </w:r>
      <w:r w:rsidRPr="000837B7">
        <w:rPr>
          <w:rFonts w:ascii="Times New Roman" w:hAnsi="Times New Roman"/>
          <w:sz w:val="20"/>
          <w:lang w:val="en-GB" w:eastAsia="zh-CN"/>
        </w:rPr>
        <w:t xml:space="preserve"> combine</w:t>
      </w:r>
      <w:r>
        <w:rPr>
          <w:rFonts w:ascii="Times New Roman" w:hAnsi="Times New Roman"/>
          <w:sz w:val="20"/>
          <w:lang w:val="en-GB" w:eastAsia="zh-CN"/>
        </w:rPr>
        <w:t>s</w:t>
      </w:r>
      <w:r w:rsidRPr="000837B7">
        <w:rPr>
          <w:rFonts w:ascii="Times New Roman" w:hAnsi="Times New Roman"/>
          <w:sz w:val="20"/>
          <w:lang w:val="en-GB" w:eastAsia="zh-CN"/>
        </w:rPr>
        <w:t xml:space="preserve"> the aspects from the above discussion, i.e. considering both the V2X service and the QoS of the V2X packet al</w:t>
      </w:r>
      <w:r>
        <w:rPr>
          <w:rFonts w:ascii="Times New Roman" w:hAnsi="Times New Roman"/>
          <w:sz w:val="20"/>
          <w:lang w:val="en-GB" w:eastAsia="zh-CN"/>
        </w:rPr>
        <w:t>ongside the channel load status</w:t>
      </w:r>
      <w:r w:rsidRPr="000837B7">
        <w:rPr>
          <w:rFonts w:ascii="Times New Roman" w:hAnsi="Times New Roman"/>
          <w:sz w:val="20"/>
          <w:lang w:val="en-GB" w:eastAsia="zh-CN"/>
        </w:rPr>
        <w:t xml:space="preserve">. In this case, when a V2X service is initiated, the UE can utilize the current load status of the channel to determine whether the V2X service is initiated at all. This can be accomplished by the NW configuring mapping between V2X services and channel load (CBR) (in addition to the mapping between V2X services and sidelink frequencies as in (1)). </w:t>
      </w:r>
      <w:r>
        <w:rPr>
          <w:rFonts w:ascii="Times New Roman" w:hAnsi="Times New Roman"/>
          <w:sz w:val="20"/>
          <w:lang w:val="en-GB" w:eastAsia="zh-CN"/>
        </w:rPr>
        <w:t>As a consequence</w:t>
      </w:r>
      <w:r w:rsidRPr="000837B7">
        <w:rPr>
          <w:rFonts w:ascii="Times New Roman" w:hAnsi="Times New Roman"/>
          <w:sz w:val="20"/>
          <w:lang w:val="en-GB" w:eastAsia="zh-CN"/>
        </w:rPr>
        <w:t>, even if a V2X service might be allowed transmission over a V2X frequency, it may not be allowed to generate and submit packets to the AS layer for transmission if the channel load is too high. If a high-priority service is allowed transmission based on the above criteria, the per-packet congestion control mechanism is further applied for packets of that service to ensure that only essential packets are transmitted over the sidelink interface</w:t>
      </w:r>
    </w:p>
    <w:p w14:paraId="556BCCEF" w14:textId="77777777" w:rsidR="000837B7" w:rsidRDefault="000837B7" w:rsidP="00305CD5">
      <w:pPr>
        <w:rPr>
          <w:rFonts w:ascii="Times New Roman" w:hAnsi="Times New Roman"/>
          <w:sz w:val="20"/>
          <w:lang w:val="en-GB" w:eastAsia="zh-CN"/>
        </w:rPr>
      </w:pPr>
    </w:p>
    <w:p w14:paraId="5ED255DA" w14:textId="2359F9A1" w:rsidR="00F53BB2" w:rsidRDefault="000837B7" w:rsidP="000837B7">
      <w:pPr>
        <w:rPr>
          <w:rFonts w:ascii="Times New Roman" w:hAnsi="Times New Roman"/>
          <w:sz w:val="20"/>
          <w:lang w:val="en-GB" w:eastAsia="zh-CN"/>
        </w:rPr>
      </w:pPr>
      <w:r>
        <w:rPr>
          <w:rFonts w:ascii="Times New Roman" w:hAnsi="Times New Roman"/>
          <w:sz w:val="20"/>
          <w:lang w:val="en-GB" w:eastAsia="zh-CN"/>
        </w:rPr>
        <w:t xml:space="preserve">Pertaining to the options above, one of the questions </w:t>
      </w:r>
      <w:r w:rsidR="003571DD">
        <w:rPr>
          <w:rFonts w:ascii="Times New Roman" w:hAnsi="Times New Roman"/>
          <w:sz w:val="20"/>
          <w:lang w:val="en-GB" w:eastAsia="zh-CN"/>
        </w:rPr>
        <w:t>that has been raised earlier</w:t>
      </w:r>
      <w:r>
        <w:rPr>
          <w:rFonts w:ascii="Times New Roman" w:hAnsi="Times New Roman"/>
          <w:sz w:val="20"/>
          <w:lang w:val="en-GB" w:eastAsia="zh-CN"/>
        </w:rPr>
        <w:t xml:space="preserve"> </w:t>
      </w:r>
      <w:r w:rsidR="003571DD">
        <w:rPr>
          <w:rFonts w:ascii="Times New Roman" w:hAnsi="Times New Roman"/>
          <w:sz w:val="20"/>
          <w:lang w:val="en-GB" w:eastAsia="zh-CN"/>
        </w:rPr>
        <w:t xml:space="preserve">is </w:t>
      </w:r>
      <w:r>
        <w:rPr>
          <w:rFonts w:ascii="Times New Roman" w:hAnsi="Times New Roman"/>
          <w:sz w:val="20"/>
          <w:lang w:val="en-GB" w:eastAsia="zh-CN"/>
        </w:rPr>
        <w:t>the need for an overall admission con</w:t>
      </w:r>
      <w:r w:rsidR="00F53BB2">
        <w:rPr>
          <w:rFonts w:ascii="Times New Roman" w:hAnsi="Times New Roman"/>
          <w:sz w:val="20"/>
          <w:lang w:val="en-GB" w:eastAsia="zh-CN"/>
        </w:rPr>
        <w:t xml:space="preserve">trol mechanism. Specifically, the need of </w:t>
      </w:r>
      <w:r>
        <w:rPr>
          <w:rFonts w:ascii="Times New Roman" w:hAnsi="Times New Roman"/>
          <w:sz w:val="20"/>
          <w:lang w:val="en-GB" w:eastAsia="zh-CN"/>
        </w:rPr>
        <w:t xml:space="preserve">a mechanism </w:t>
      </w:r>
      <w:r w:rsidR="00F53BB2">
        <w:rPr>
          <w:rFonts w:ascii="Times New Roman" w:hAnsi="Times New Roman"/>
          <w:sz w:val="20"/>
          <w:lang w:val="en-GB" w:eastAsia="zh-CN"/>
        </w:rPr>
        <w:t xml:space="preserve">was proposed whereby </w:t>
      </w:r>
      <w:r>
        <w:rPr>
          <w:rFonts w:ascii="Times New Roman" w:hAnsi="Times New Roman"/>
          <w:sz w:val="20"/>
          <w:lang w:val="en-GB" w:eastAsia="zh-CN"/>
        </w:rPr>
        <w:t>depending on channel congestion and load status, certain V2X services considered as low priority would not be permitted by the network to establish QoS flows and mapped to SLRBs for subsequent transmissions</w:t>
      </w:r>
      <w:r w:rsidR="003571DD">
        <w:rPr>
          <w:rFonts w:ascii="Times New Roman" w:hAnsi="Times New Roman"/>
          <w:sz w:val="20"/>
          <w:lang w:val="en-GB" w:eastAsia="zh-CN"/>
        </w:rPr>
        <w:t xml:space="preserve"> </w:t>
      </w:r>
      <w:sdt>
        <w:sdtPr>
          <w:rPr>
            <w:rFonts w:ascii="Times New Roman" w:hAnsi="Times New Roman"/>
            <w:sz w:val="20"/>
            <w:lang w:val="en-GB" w:eastAsia="zh-CN"/>
          </w:rPr>
          <w:id w:val="1519347878"/>
          <w:citation/>
        </w:sdtPr>
        <w:sdtEndPr/>
        <w:sdtContent>
          <w:r w:rsidR="003571DD">
            <w:rPr>
              <w:rFonts w:ascii="Times New Roman" w:hAnsi="Times New Roman"/>
              <w:sz w:val="20"/>
              <w:lang w:val="en-GB" w:eastAsia="zh-CN"/>
            </w:rPr>
            <w:fldChar w:fldCharType="begin"/>
          </w:r>
          <w:r w:rsidR="003571DD">
            <w:rPr>
              <w:rFonts w:ascii="Times New Roman" w:hAnsi="Times New Roman"/>
              <w:sz w:val="20"/>
              <w:lang w:eastAsia="zh-CN"/>
            </w:rPr>
            <w:instrText xml:space="preserve"> CITATION 105QoSEmail \l 1033 </w:instrText>
          </w:r>
          <w:r w:rsidR="003571DD">
            <w:rPr>
              <w:rFonts w:ascii="Times New Roman" w:hAnsi="Times New Roman"/>
              <w:sz w:val="20"/>
              <w:lang w:val="en-GB" w:eastAsia="zh-CN"/>
            </w:rPr>
            <w:fldChar w:fldCharType="separate"/>
          </w:r>
          <w:r w:rsidR="0091177A" w:rsidRPr="0091177A">
            <w:rPr>
              <w:rFonts w:ascii="Times New Roman" w:hAnsi="Times New Roman"/>
              <w:noProof/>
              <w:sz w:val="20"/>
              <w:lang w:eastAsia="zh-CN"/>
            </w:rPr>
            <w:t>[2]</w:t>
          </w:r>
          <w:r w:rsidR="003571DD">
            <w:rPr>
              <w:rFonts w:ascii="Times New Roman" w:hAnsi="Times New Roman"/>
              <w:sz w:val="20"/>
              <w:lang w:val="en-GB" w:eastAsia="zh-CN"/>
            </w:rPr>
            <w:fldChar w:fldCharType="end"/>
          </w:r>
        </w:sdtContent>
      </w:sdt>
      <w:r>
        <w:rPr>
          <w:rFonts w:ascii="Times New Roman" w:hAnsi="Times New Roman"/>
          <w:sz w:val="20"/>
          <w:lang w:val="en-GB" w:eastAsia="zh-CN"/>
        </w:rPr>
        <w:t xml:space="preserve">. </w:t>
      </w:r>
      <w:r w:rsidR="00F53BB2">
        <w:rPr>
          <w:rFonts w:ascii="Times New Roman" w:hAnsi="Times New Roman"/>
          <w:sz w:val="20"/>
          <w:lang w:val="en-GB" w:eastAsia="zh-CN"/>
        </w:rPr>
        <w:t>Note that t</w:t>
      </w:r>
      <w:r>
        <w:rPr>
          <w:rFonts w:ascii="Times New Roman" w:hAnsi="Times New Roman"/>
          <w:sz w:val="20"/>
          <w:lang w:val="en-GB" w:eastAsia="zh-CN"/>
        </w:rPr>
        <w:t xml:space="preserve">his seems to map to option 3 above, i.e. per V2X service admission control, </w:t>
      </w:r>
      <w:r w:rsidRPr="000837B7">
        <w:rPr>
          <w:rFonts w:ascii="Times New Roman" w:hAnsi="Times New Roman"/>
          <w:b/>
          <w:sz w:val="20"/>
          <w:lang w:val="en-GB" w:eastAsia="zh-CN"/>
        </w:rPr>
        <w:t>in addition</w:t>
      </w:r>
      <w:r>
        <w:rPr>
          <w:rFonts w:ascii="Times New Roman" w:hAnsi="Times New Roman"/>
          <w:sz w:val="20"/>
          <w:lang w:val="en-GB" w:eastAsia="zh-CN"/>
        </w:rPr>
        <w:t xml:space="preserve"> to per packet congestion control. The motivation behind the having such a scheme in place is to not allow low priority services to transmit any V2X packets when channel load is high. </w:t>
      </w:r>
    </w:p>
    <w:p w14:paraId="4B1E22FC" w14:textId="73DF7437" w:rsidR="000837B7" w:rsidRDefault="000837B7" w:rsidP="000837B7">
      <w:pPr>
        <w:rPr>
          <w:rFonts w:ascii="Times New Roman" w:hAnsi="Times New Roman"/>
          <w:sz w:val="20"/>
          <w:lang w:val="en-GB" w:eastAsia="zh-CN"/>
        </w:rPr>
      </w:pPr>
      <w:r>
        <w:rPr>
          <w:rFonts w:ascii="Times New Roman" w:hAnsi="Times New Roman"/>
          <w:sz w:val="20"/>
          <w:lang w:val="en-GB" w:eastAsia="zh-CN"/>
        </w:rPr>
        <w:t>In our view, while it is true that in Uu, the unified access control mechanism is in place to handle whether a service can be granted access based on the radio congestion status, the</w:t>
      </w:r>
      <w:r w:rsidR="003571DD">
        <w:rPr>
          <w:rFonts w:ascii="Times New Roman" w:hAnsi="Times New Roman"/>
          <w:sz w:val="20"/>
          <w:lang w:val="en-GB" w:eastAsia="zh-CN"/>
        </w:rPr>
        <w:t xml:space="preserve"> situation in SL is different. I</w:t>
      </w:r>
      <w:r>
        <w:rPr>
          <w:rFonts w:ascii="Times New Roman" w:hAnsi="Times New Roman"/>
          <w:sz w:val="20"/>
          <w:lang w:val="en-GB" w:eastAsia="zh-CN"/>
        </w:rPr>
        <w:t>t is expected that NR SL will support some congestion control mechanism based on channel congestion and the priority/PQI for each V2X packet. Thus, for each packet, the AS layer will determine whether the packet shall be transmitted based on some criterion configured by the network</w:t>
      </w:r>
      <w:r w:rsidR="003571DD">
        <w:rPr>
          <w:rFonts w:ascii="Times New Roman" w:hAnsi="Times New Roman"/>
          <w:sz w:val="20"/>
          <w:lang w:val="en-GB" w:eastAsia="zh-CN"/>
        </w:rPr>
        <w:t>. This</w:t>
      </w:r>
      <w:r>
        <w:rPr>
          <w:rFonts w:ascii="Times New Roman" w:hAnsi="Times New Roman"/>
          <w:sz w:val="20"/>
          <w:lang w:val="en-GB" w:eastAsia="zh-CN"/>
        </w:rPr>
        <w:t xml:space="preserve"> allow</w:t>
      </w:r>
      <w:r w:rsidR="003571DD">
        <w:rPr>
          <w:rFonts w:ascii="Times New Roman" w:hAnsi="Times New Roman"/>
          <w:sz w:val="20"/>
          <w:lang w:val="en-GB" w:eastAsia="zh-CN"/>
        </w:rPr>
        <w:t>s</w:t>
      </w:r>
      <w:r>
        <w:rPr>
          <w:rFonts w:ascii="Times New Roman" w:hAnsi="Times New Roman"/>
          <w:sz w:val="20"/>
          <w:lang w:val="en-GB" w:eastAsia="zh-CN"/>
        </w:rPr>
        <w:t xml:space="preserve"> for a </w:t>
      </w:r>
      <w:r w:rsidR="003571DD">
        <w:rPr>
          <w:rFonts w:ascii="Times New Roman" w:hAnsi="Times New Roman"/>
          <w:sz w:val="20"/>
          <w:lang w:val="en-GB" w:eastAsia="zh-CN"/>
        </w:rPr>
        <w:t xml:space="preserve">sufficiently </w:t>
      </w:r>
      <w:r>
        <w:rPr>
          <w:rFonts w:ascii="Times New Roman" w:hAnsi="Times New Roman"/>
          <w:sz w:val="20"/>
          <w:lang w:val="en-GB" w:eastAsia="zh-CN"/>
        </w:rPr>
        <w:t>granular per-packet admission control which can allow or prevent injection of further packets in an already congested channel depending on the priority of the transmission.</w:t>
      </w:r>
    </w:p>
    <w:p w14:paraId="70AEA694" w14:textId="77777777" w:rsidR="00DC73FD" w:rsidRDefault="00DC73FD" w:rsidP="00305CD5">
      <w:pPr>
        <w:rPr>
          <w:rFonts w:ascii="Times New Roman" w:hAnsi="Times New Roman"/>
          <w:sz w:val="20"/>
          <w:lang w:val="en-GB" w:eastAsia="zh-CN"/>
        </w:rPr>
      </w:pPr>
    </w:p>
    <w:p w14:paraId="078637AA" w14:textId="5E7A54B2" w:rsidR="00DC73FD" w:rsidRPr="00F22C9F" w:rsidRDefault="00DC73FD" w:rsidP="00DC73FD">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Observation</w:t>
      </w:r>
      <w:r w:rsidR="00F53BB2">
        <w:rPr>
          <w:rFonts w:ascii="Times New Roman" w:eastAsia="Times New Roman" w:hAnsi="Times New Roman"/>
          <w:b/>
          <w:bCs/>
          <w:sz w:val="20"/>
          <w:szCs w:val="20"/>
          <w:u w:val="single"/>
          <w:lang w:val="en-GB" w:eastAsia="zh-CN"/>
        </w:rPr>
        <w:t xml:space="preserve"> 1</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The introduction of a congestion control mechanism based on per-packet PQI for NR SL can allow for robust control over SL transmissions based on channel load conditions.</w:t>
      </w:r>
    </w:p>
    <w:p w14:paraId="773972F9" w14:textId="77777777" w:rsidR="00DC73FD" w:rsidRDefault="00DC73FD" w:rsidP="00305CD5">
      <w:pPr>
        <w:rPr>
          <w:rFonts w:ascii="Times New Roman" w:hAnsi="Times New Roman"/>
          <w:sz w:val="20"/>
          <w:lang w:val="en-GB" w:eastAsia="zh-CN"/>
        </w:rPr>
      </w:pPr>
    </w:p>
    <w:p w14:paraId="55E397AF" w14:textId="00F9C255" w:rsidR="00DC73FD" w:rsidRDefault="00DC73FD" w:rsidP="00305CD5">
      <w:pPr>
        <w:rPr>
          <w:rFonts w:ascii="Times New Roman" w:hAnsi="Times New Roman"/>
          <w:sz w:val="20"/>
          <w:lang w:val="en-GB" w:eastAsia="zh-CN"/>
        </w:rPr>
      </w:pPr>
      <w:r>
        <w:rPr>
          <w:rFonts w:ascii="Times New Roman" w:hAnsi="Times New Roman"/>
          <w:sz w:val="20"/>
          <w:lang w:val="en-GB" w:eastAsia="zh-CN"/>
        </w:rPr>
        <w:t xml:space="preserve">Therefore, the need for an additional mechanism to differentiate between different V2X services in terms of their priority does not seem clear. In fact it is not clear how we can characterize V2X services as having low priority. At least for advanced and remote driving use cases, we expect a mix of high and low priority V2X messages being transmitted. So, pigeonholing such services into broad categories does not seem desirable unless NW specifies a highly granular criteria for each service. In that case, it is quite similar to the per-packet congestion control mechanism foreseen to be defined for NR SL anyway. On the other hand, for some V2X service that is always deemed as low priority, the corresponding V2X packets would anyway be tagged with low priority/PQI and will likely not allowed to be transmitted in a congested scenario. </w:t>
      </w:r>
      <w:r w:rsidR="002E50F2">
        <w:rPr>
          <w:rFonts w:ascii="Times New Roman" w:hAnsi="Times New Roman"/>
          <w:sz w:val="20"/>
          <w:lang w:val="en-GB" w:eastAsia="zh-CN"/>
        </w:rPr>
        <w:t xml:space="preserve">Finally, the consideration of V2X service as well as PQI in admission control implies that PQI </w:t>
      </w:r>
      <w:r w:rsidR="00F53BB2">
        <w:rPr>
          <w:rFonts w:ascii="Times New Roman" w:hAnsi="Times New Roman"/>
          <w:sz w:val="20"/>
          <w:lang w:val="en-GB" w:eastAsia="zh-CN"/>
        </w:rPr>
        <w:t>does</w:t>
      </w:r>
      <w:r w:rsidR="002E50F2">
        <w:rPr>
          <w:rFonts w:ascii="Times New Roman" w:hAnsi="Times New Roman"/>
          <w:sz w:val="20"/>
          <w:lang w:val="en-GB" w:eastAsia="zh-CN"/>
        </w:rPr>
        <w:t xml:space="preserve"> not give the complete picture about a packet’s QoS requirement and that two packets with the exact same QoS profile but belonging to different services somehow warrant different treatment, which does not seem desirable. </w:t>
      </w:r>
      <w:r>
        <w:rPr>
          <w:rFonts w:ascii="Times New Roman" w:hAnsi="Times New Roman"/>
          <w:sz w:val="20"/>
          <w:lang w:val="en-GB" w:eastAsia="zh-CN"/>
        </w:rPr>
        <w:t xml:space="preserve">Either way, it is clear that there is no additional need to define an access control mechanism that bars V2X services for even being initiated and </w:t>
      </w:r>
      <w:r w:rsidR="002E50F2">
        <w:rPr>
          <w:rFonts w:ascii="Times New Roman" w:hAnsi="Times New Roman"/>
          <w:sz w:val="20"/>
          <w:lang w:val="en-GB" w:eastAsia="zh-CN"/>
        </w:rPr>
        <w:t>mapped to a QoS flow/SLRB</w:t>
      </w:r>
      <w:r>
        <w:rPr>
          <w:rFonts w:ascii="Times New Roman" w:hAnsi="Times New Roman"/>
          <w:sz w:val="20"/>
          <w:lang w:val="en-GB" w:eastAsia="zh-CN"/>
        </w:rPr>
        <w:t>.</w:t>
      </w:r>
    </w:p>
    <w:p w14:paraId="7058AFBB" w14:textId="77777777" w:rsidR="00E67A80" w:rsidRPr="00E67A80" w:rsidRDefault="00E67A80" w:rsidP="00E67A80">
      <w:pPr>
        <w:rPr>
          <w:rFonts w:ascii="Times New Roman" w:hAnsi="Times New Roman"/>
          <w:sz w:val="20"/>
          <w:lang w:val="en-GB" w:eastAsia="zh-CN"/>
        </w:rPr>
      </w:pPr>
    </w:p>
    <w:p w14:paraId="4A8E2145" w14:textId="08A0E3EA" w:rsidR="000837B7" w:rsidRDefault="000837B7" w:rsidP="00773DDF">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F53BB2">
        <w:rPr>
          <w:rFonts w:ascii="Times New Roman" w:eastAsia="Times New Roman" w:hAnsi="Times New Roman"/>
          <w:b/>
          <w:bCs/>
          <w:sz w:val="20"/>
          <w:szCs w:val="20"/>
          <w:u w:val="single"/>
          <w:lang w:val="en-GB" w:eastAsia="zh-CN"/>
        </w:rPr>
        <w:t xml:space="preserve"> 1</w:t>
      </w:r>
      <w:r>
        <w:rPr>
          <w:rFonts w:ascii="Times New Roman" w:eastAsia="Times New Roman" w:hAnsi="Times New Roman"/>
          <w:b/>
          <w:bCs/>
          <w:sz w:val="20"/>
          <w:szCs w:val="20"/>
          <w:u w:val="single"/>
          <w:lang w:val="en-GB" w:eastAsia="zh-CN"/>
        </w:rPr>
        <w:t>:</w:t>
      </w:r>
      <w:r>
        <w:rPr>
          <w:rFonts w:ascii="Times New Roman" w:eastAsia="Times New Roman" w:hAnsi="Times New Roman"/>
          <w:bCs/>
          <w:i/>
          <w:sz w:val="20"/>
          <w:szCs w:val="20"/>
          <w:lang w:val="en-GB" w:eastAsia="zh-CN"/>
        </w:rPr>
        <w:tab/>
        <w:t xml:space="preserve">RAN2 to discuss and confirm that per packet admission control </w:t>
      </w:r>
      <w:r w:rsidR="002E50F2">
        <w:rPr>
          <w:rFonts w:ascii="Times New Roman" w:eastAsia="Times New Roman" w:hAnsi="Times New Roman"/>
          <w:bCs/>
          <w:i/>
          <w:sz w:val="20"/>
          <w:szCs w:val="20"/>
          <w:lang w:val="en-GB" w:eastAsia="zh-CN"/>
        </w:rPr>
        <w:t xml:space="preserve">(as defined above) </w:t>
      </w:r>
      <w:r>
        <w:rPr>
          <w:rFonts w:ascii="Times New Roman" w:eastAsia="Times New Roman" w:hAnsi="Times New Roman"/>
          <w:bCs/>
          <w:i/>
          <w:sz w:val="20"/>
          <w:szCs w:val="20"/>
          <w:lang w:val="en-GB" w:eastAsia="zh-CN"/>
        </w:rPr>
        <w:t xml:space="preserve">is considered baseline </w:t>
      </w:r>
      <w:r w:rsidR="002E50F2">
        <w:rPr>
          <w:rFonts w:ascii="Times New Roman" w:eastAsia="Times New Roman" w:hAnsi="Times New Roman"/>
          <w:bCs/>
          <w:i/>
          <w:sz w:val="20"/>
          <w:szCs w:val="20"/>
          <w:lang w:val="en-GB" w:eastAsia="zh-CN"/>
        </w:rPr>
        <w:t xml:space="preserve">for </w:t>
      </w:r>
      <w:r>
        <w:rPr>
          <w:rFonts w:ascii="Times New Roman" w:eastAsia="Times New Roman" w:hAnsi="Times New Roman"/>
          <w:bCs/>
          <w:i/>
          <w:sz w:val="20"/>
          <w:szCs w:val="20"/>
          <w:lang w:val="en-GB" w:eastAsia="zh-CN"/>
        </w:rPr>
        <w:t xml:space="preserve">NR sidelink </w:t>
      </w:r>
      <w:r w:rsidR="002E50F2">
        <w:rPr>
          <w:rFonts w:ascii="Times New Roman" w:eastAsia="Times New Roman" w:hAnsi="Times New Roman"/>
          <w:bCs/>
          <w:i/>
          <w:sz w:val="20"/>
          <w:szCs w:val="20"/>
          <w:lang w:val="en-GB" w:eastAsia="zh-CN"/>
        </w:rPr>
        <w:t>V2X operation</w:t>
      </w:r>
      <w:r>
        <w:rPr>
          <w:rFonts w:ascii="Times New Roman" w:eastAsia="Times New Roman" w:hAnsi="Times New Roman"/>
          <w:bCs/>
          <w:i/>
          <w:sz w:val="20"/>
          <w:szCs w:val="20"/>
          <w:lang w:val="en-GB" w:eastAsia="zh-CN"/>
        </w:rPr>
        <w:t>.</w:t>
      </w:r>
    </w:p>
    <w:p w14:paraId="5E1E8A4D" w14:textId="77777777" w:rsidR="002E50F2" w:rsidRDefault="002E50F2" w:rsidP="00773DDF">
      <w:pPr>
        <w:ind w:left="1350" w:hanging="1350"/>
        <w:rPr>
          <w:rFonts w:ascii="Times New Roman" w:eastAsia="Times New Roman" w:hAnsi="Times New Roman"/>
          <w:bCs/>
          <w:i/>
          <w:sz w:val="20"/>
          <w:szCs w:val="20"/>
          <w:lang w:val="en-GB" w:eastAsia="zh-CN"/>
        </w:rPr>
      </w:pPr>
    </w:p>
    <w:p w14:paraId="7CA39111" w14:textId="5ED6A5EF" w:rsidR="002E50F2" w:rsidRDefault="002E50F2" w:rsidP="002E50F2">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F53BB2">
        <w:rPr>
          <w:rFonts w:ascii="Times New Roman" w:eastAsia="Times New Roman" w:hAnsi="Times New Roman"/>
          <w:b/>
          <w:bCs/>
          <w:sz w:val="20"/>
          <w:szCs w:val="20"/>
          <w:u w:val="single"/>
          <w:lang w:val="en-GB" w:eastAsia="zh-CN"/>
        </w:rPr>
        <w:t xml:space="preserve"> 2</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There is no need for any additional per packet per service admission control mechanism </w:t>
      </w:r>
      <w:r w:rsidR="003571DD">
        <w:rPr>
          <w:rFonts w:ascii="Times New Roman" w:eastAsia="Times New Roman" w:hAnsi="Times New Roman"/>
          <w:bCs/>
          <w:i/>
          <w:sz w:val="20"/>
          <w:szCs w:val="20"/>
          <w:lang w:val="en-GB" w:eastAsia="zh-CN"/>
        </w:rPr>
        <w:t>to be defined for NR SL</w:t>
      </w:r>
      <w:r>
        <w:rPr>
          <w:rFonts w:ascii="Times New Roman" w:eastAsia="Times New Roman" w:hAnsi="Times New Roman"/>
          <w:bCs/>
          <w:i/>
          <w:sz w:val="20"/>
          <w:szCs w:val="20"/>
          <w:lang w:val="en-GB" w:eastAsia="zh-CN"/>
        </w:rPr>
        <w:t>.</w:t>
      </w:r>
    </w:p>
    <w:p w14:paraId="3CB2B023" w14:textId="77777777" w:rsidR="00DC73FD" w:rsidRDefault="00DC73FD" w:rsidP="00153601">
      <w:pPr>
        <w:rPr>
          <w:rFonts w:ascii="Times New Roman" w:hAnsi="Times New Roman"/>
          <w:sz w:val="20"/>
          <w:lang w:val="en-GB" w:eastAsia="zh-CN"/>
        </w:rPr>
      </w:pPr>
    </w:p>
    <w:p w14:paraId="2E1BFA2B" w14:textId="44A1B93C" w:rsidR="00DC73FD" w:rsidRDefault="000837B7" w:rsidP="00153601">
      <w:pPr>
        <w:rPr>
          <w:rFonts w:ascii="Times New Roman" w:hAnsi="Times New Roman"/>
          <w:sz w:val="20"/>
          <w:lang w:val="en-GB" w:eastAsia="zh-CN"/>
        </w:rPr>
      </w:pPr>
      <w:r>
        <w:rPr>
          <w:rFonts w:ascii="Times New Roman" w:hAnsi="Times New Roman"/>
          <w:sz w:val="20"/>
          <w:lang w:val="en-GB" w:eastAsia="zh-CN"/>
        </w:rPr>
        <w:t>Additionally, in case of unicast, it wa</w:t>
      </w:r>
      <w:r w:rsidR="00410620">
        <w:rPr>
          <w:rFonts w:ascii="Times New Roman" w:hAnsi="Times New Roman"/>
          <w:sz w:val="20"/>
          <w:lang w:val="en-GB" w:eastAsia="zh-CN"/>
        </w:rPr>
        <w:t xml:space="preserve">s proposed previously </w:t>
      </w:r>
      <w:r>
        <w:rPr>
          <w:rFonts w:ascii="Times New Roman" w:hAnsi="Times New Roman"/>
          <w:sz w:val="20"/>
          <w:lang w:val="en-GB" w:eastAsia="zh-CN"/>
        </w:rPr>
        <w:t xml:space="preserve">that the RX UE should be involved in this admission control procedure as well, in terms of determining whether a given service can meet the QoS requirements over this unicast link. Before discussing this issue, we think it is worthwhile to distinguish </w:t>
      </w:r>
      <w:r w:rsidR="002E50F2">
        <w:rPr>
          <w:rFonts w:ascii="Times New Roman" w:hAnsi="Times New Roman"/>
          <w:sz w:val="20"/>
          <w:lang w:val="en-GB" w:eastAsia="zh-CN"/>
        </w:rPr>
        <w:t xml:space="preserve">this aspect from the discussion above </w:t>
      </w:r>
      <w:r>
        <w:rPr>
          <w:rFonts w:ascii="Times New Roman" w:hAnsi="Times New Roman"/>
          <w:sz w:val="20"/>
          <w:lang w:val="en-GB" w:eastAsia="zh-CN"/>
        </w:rPr>
        <w:t xml:space="preserve">and clearly define what admission control really means when it comes to NR V2X SL operation. </w:t>
      </w:r>
      <w:r w:rsidR="002E50F2">
        <w:rPr>
          <w:rFonts w:ascii="Times New Roman" w:hAnsi="Times New Roman"/>
          <w:sz w:val="20"/>
          <w:lang w:val="en-GB" w:eastAsia="zh-CN"/>
        </w:rPr>
        <w:t xml:space="preserve">The latter </w:t>
      </w:r>
      <w:r w:rsidR="00DC73FD">
        <w:rPr>
          <w:rFonts w:ascii="Times New Roman" w:hAnsi="Times New Roman"/>
          <w:sz w:val="20"/>
          <w:lang w:val="en-GB" w:eastAsia="zh-CN"/>
        </w:rPr>
        <w:t>aspect has to do specifically with unicast connection establishment over sidelink</w:t>
      </w:r>
      <w:r w:rsidR="00A91902">
        <w:rPr>
          <w:rFonts w:ascii="Times New Roman" w:hAnsi="Times New Roman"/>
          <w:sz w:val="20"/>
          <w:lang w:val="en-GB" w:eastAsia="zh-CN"/>
        </w:rPr>
        <w:t xml:space="preserve"> and the QoS </w:t>
      </w:r>
      <w:r w:rsidR="00F53BB2">
        <w:rPr>
          <w:rFonts w:ascii="Times New Roman" w:hAnsi="Times New Roman"/>
          <w:sz w:val="20"/>
          <w:lang w:val="en-GB" w:eastAsia="zh-CN"/>
        </w:rPr>
        <w:t xml:space="preserve">parameter </w:t>
      </w:r>
      <w:r w:rsidR="00A91902">
        <w:rPr>
          <w:rFonts w:ascii="Times New Roman" w:hAnsi="Times New Roman"/>
          <w:sz w:val="20"/>
          <w:lang w:val="en-GB" w:eastAsia="zh-CN"/>
        </w:rPr>
        <w:t xml:space="preserve">negotiation between the UEs prior to connection set up. </w:t>
      </w:r>
      <w:r w:rsidR="002E50F2">
        <w:rPr>
          <w:rFonts w:ascii="Times New Roman" w:hAnsi="Times New Roman"/>
          <w:sz w:val="20"/>
          <w:lang w:val="en-GB" w:eastAsia="zh-CN"/>
        </w:rPr>
        <w:t>I</w:t>
      </w:r>
      <w:r w:rsidR="00A91902">
        <w:rPr>
          <w:rFonts w:ascii="Times New Roman" w:hAnsi="Times New Roman"/>
          <w:sz w:val="20"/>
          <w:lang w:val="en-GB" w:eastAsia="zh-CN"/>
        </w:rPr>
        <w:t xml:space="preserve">t is not clear </w:t>
      </w:r>
      <w:r w:rsidR="002E50F2">
        <w:rPr>
          <w:rFonts w:ascii="Times New Roman" w:hAnsi="Times New Roman"/>
          <w:sz w:val="20"/>
          <w:lang w:val="en-GB" w:eastAsia="zh-CN"/>
        </w:rPr>
        <w:t xml:space="preserve">to us </w:t>
      </w:r>
      <w:r w:rsidR="00A91902">
        <w:rPr>
          <w:rFonts w:ascii="Times New Roman" w:hAnsi="Times New Roman"/>
          <w:sz w:val="20"/>
          <w:lang w:val="en-GB" w:eastAsia="zh-CN"/>
        </w:rPr>
        <w:t xml:space="preserve">whether this can really be considered as admission control. Of course, this exchange between the UEs regarding the expected QoS for transmission over the unicast link has been discussed and agreed by SA2 </w:t>
      </w:r>
      <w:r w:rsidR="00F53BB2">
        <w:rPr>
          <w:rFonts w:ascii="Times New Roman" w:hAnsi="Times New Roman"/>
          <w:sz w:val="20"/>
          <w:lang w:val="en-GB" w:eastAsia="zh-CN"/>
        </w:rPr>
        <w:t xml:space="preserve">as a potential solution in </w:t>
      </w:r>
      <w:sdt>
        <w:sdtPr>
          <w:rPr>
            <w:rFonts w:ascii="Times New Roman" w:hAnsi="Times New Roman"/>
            <w:sz w:val="20"/>
            <w:lang w:val="en-GB" w:eastAsia="zh-CN"/>
          </w:rPr>
          <w:id w:val="-51542883"/>
          <w:citation/>
        </w:sdtPr>
        <w:sdtEndPr/>
        <w:sdtContent>
          <w:r w:rsidR="00F53BB2">
            <w:rPr>
              <w:rFonts w:ascii="Times New Roman" w:hAnsi="Times New Roman"/>
              <w:sz w:val="20"/>
              <w:lang w:val="en-GB" w:eastAsia="zh-CN"/>
            </w:rPr>
            <w:fldChar w:fldCharType="begin"/>
          </w:r>
          <w:r w:rsidR="00F53BB2">
            <w:rPr>
              <w:rFonts w:ascii="Times New Roman" w:hAnsi="Times New Roman"/>
              <w:sz w:val="20"/>
              <w:lang w:eastAsia="zh-CN"/>
            </w:rPr>
            <w:instrText xml:space="preserve"> CITATION TR23786 \l 1033 </w:instrText>
          </w:r>
          <w:r w:rsidR="00F53BB2">
            <w:rPr>
              <w:rFonts w:ascii="Times New Roman" w:hAnsi="Times New Roman"/>
              <w:sz w:val="20"/>
              <w:lang w:val="en-GB" w:eastAsia="zh-CN"/>
            </w:rPr>
            <w:fldChar w:fldCharType="separate"/>
          </w:r>
          <w:r w:rsidR="0091177A" w:rsidRPr="0091177A">
            <w:rPr>
              <w:rFonts w:ascii="Times New Roman" w:hAnsi="Times New Roman"/>
              <w:noProof/>
              <w:sz w:val="20"/>
              <w:lang w:eastAsia="zh-CN"/>
            </w:rPr>
            <w:t>[3]</w:t>
          </w:r>
          <w:r w:rsidR="00F53BB2">
            <w:rPr>
              <w:rFonts w:ascii="Times New Roman" w:hAnsi="Times New Roman"/>
              <w:sz w:val="20"/>
              <w:lang w:val="en-GB" w:eastAsia="zh-CN"/>
            </w:rPr>
            <w:fldChar w:fldCharType="end"/>
          </w:r>
        </w:sdtContent>
      </w:sdt>
      <w:r w:rsidR="00A91902">
        <w:rPr>
          <w:rFonts w:ascii="Times New Roman" w:hAnsi="Times New Roman"/>
          <w:sz w:val="20"/>
          <w:lang w:val="en-GB" w:eastAsia="zh-CN"/>
        </w:rPr>
        <w:t xml:space="preserve"> and is expected to be handled during the connection setup stage by upper layer signalling. This determines if the upper layer subsequently decide to follow through with establishing the connection (and indicating to the AS layer to exchange relevant information on SLRB configuration and UE capability information). However, we do not think this is really the same as admission control, at least from the context of </w:t>
      </w:r>
      <w:r w:rsidR="002E50F2">
        <w:rPr>
          <w:rFonts w:ascii="Times New Roman" w:hAnsi="Times New Roman"/>
          <w:sz w:val="20"/>
          <w:lang w:val="en-GB" w:eastAsia="zh-CN"/>
        </w:rPr>
        <w:t>AS layer operation.</w:t>
      </w:r>
      <w:r w:rsidR="00A91902">
        <w:rPr>
          <w:rFonts w:ascii="Times New Roman" w:hAnsi="Times New Roman"/>
          <w:sz w:val="20"/>
          <w:lang w:val="en-GB" w:eastAsia="zh-CN"/>
        </w:rPr>
        <w:t xml:space="preserve"> Of course, as long as the context and behaviour is clear and commonly understood by all companies, we can further discuss whether to really call it “admission control” or something else.</w:t>
      </w:r>
    </w:p>
    <w:p w14:paraId="0B6D3E03" w14:textId="77777777" w:rsidR="00A91902" w:rsidRDefault="00A91902" w:rsidP="00153601">
      <w:pPr>
        <w:rPr>
          <w:rFonts w:ascii="Times New Roman" w:hAnsi="Times New Roman"/>
          <w:sz w:val="20"/>
          <w:lang w:val="en-GB" w:eastAsia="zh-CN"/>
        </w:rPr>
      </w:pPr>
    </w:p>
    <w:p w14:paraId="77F3D57E" w14:textId="654FC7D1" w:rsidR="00A91902" w:rsidRPr="00F22C9F" w:rsidRDefault="00A91902" w:rsidP="00A91902">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Observation</w:t>
      </w:r>
      <w:r w:rsidR="00F53BB2">
        <w:rPr>
          <w:rFonts w:ascii="Times New Roman" w:eastAsia="Times New Roman" w:hAnsi="Times New Roman"/>
          <w:b/>
          <w:bCs/>
          <w:sz w:val="20"/>
          <w:szCs w:val="20"/>
          <w:u w:val="single"/>
          <w:lang w:val="en-GB" w:eastAsia="zh-CN"/>
        </w:rPr>
        <w:t xml:space="preserve"> 2</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The negotiation of QoS information between peer UEs </w:t>
      </w:r>
      <w:r w:rsidR="008E6F49">
        <w:rPr>
          <w:rFonts w:ascii="Times New Roman" w:eastAsia="Times New Roman" w:hAnsi="Times New Roman"/>
          <w:bCs/>
          <w:i/>
          <w:sz w:val="20"/>
          <w:szCs w:val="20"/>
          <w:lang w:val="en-GB" w:eastAsia="zh-CN"/>
        </w:rPr>
        <w:t>for</w:t>
      </w:r>
      <w:r>
        <w:rPr>
          <w:rFonts w:ascii="Times New Roman" w:eastAsia="Times New Roman" w:hAnsi="Times New Roman"/>
          <w:bCs/>
          <w:i/>
          <w:sz w:val="20"/>
          <w:szCs w:val="20"/>
          <w:lang w:val="en-GB" w:eastAsia="zh-CN"/>
        </w:rPr>
        <w:t xml:space="preserve"> SL unicast connection establishment has already been agreed by SA2 and is performed by upper layer signalling (i.e. without direct AS layer involvement).</w:t>
      </w:r>
    </w:p>
    <w:p w14:paraId="78F0A48C" w14:textId="77777777" w:rsidR="00A91902" w:rsidRDefault="00A91902" w:rsidP="00153601">
      <w:pPr>
        <w:rPr>
          <w:rFonts w:ascii="Times New Roman" w:hAnsi="Times New Roman"/>
          <w:sz w:val="20"/>
          <w:lang w:val="en-GB" w:eastAsia="zh-CN"/>
        </w:rPr>
      </w:pPr>
    </w:p>
    <w:p w14:paraId="6A419553" w14:textId="73654C07" w:rsidR="00A91902" w:rsidRPr="00F22C9F" w:rsidRDefault="00A91902" w:rsidP="00A91902">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F53BB2">
        <w:rPr>
          <w:rFonts w:ascii="Times New Roman" w:eastAsia="Times New Roman" w:hAnsi="Times New Roman"/>
          <w:b/>
          <w:bCs/>
          <w:sz w:val="20"/>
          <w:szCs w:val="20"/>
          <w:u w:val="single"/>
          <w:lang w:val="en-GB" w:eastAsia="zh-CN"/>
        </w:rPr>
        <w:t xml:space="preserve"> 3</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RAN2 does not need to consider any additional QoS parameter exchange in the context of admission control at the AS layer (other than what upper layer signalling is expected to perform during link establishment) in the case of SL unicast.</w:t>
      </w:r>
    </w:p>
    <w:p w14:paraId="0751770D" w14:textId="77777777" w:rsidR="00B556A6" w:rsidRPr="00B556A6" w:rsidRDefault="00B556A6" w:rsidP="00443607">
      <w:pPr>
        <w:rPr>
          <w:rFonts w:ascii="Times New Roman" w:eastAsia="Times New Roman" w:hAnsi="Times New Roman"/>
          <w:bCs/>
          <w:sz w:val="20"/>
          <w:szCs w:val="20"/>
          <w:lang w:val="en-GB" w:eastAsia="zh-CN"/>
        </w:rPr>
      </w:pPr>
    </w:p>
    <w:p w14:paraId="7BFDE5A2" w14:textId="5536ECD4" w:rsidR="00C54226" w:rsidRDefault="00C54226" w:rsidP="00C13DB4">
      <w:pPr>
        <w:rPr>
          <w:rFonts w:ascii="Times New Roman" w:eastAsia="Times New Roman" w:hAnsi="Times New Roman"/>
          <w:bCs/>
          <w:sz w:val="20"/>
          <w:szCs w:val="20"/>
          <w:lang w:val="en-GB" w:eastAsia="zh-CN"/>
        </w:rPr>
      </w:pPr>
    </w:p>
    <w:p w14:paraId="50A28EC3" w14:textId="77777777" w:rsidR="008669B1" w:rsidRPr="00E0063E" w:rsidRDefault="008669B1" w:rsidP="008669B1">
      <w:pPr>
        <w:pStyle w:val="Tdoc"/>
      </w:pPr>
      <w:r w:rsidRPr="00E0063E">
        <w:t>Conclusion</w:t>
      </w:r>
    </w:p>
    <w:p w14:paraId="3C60ADD7" w14:textId="30AD1316" w:rsidR="00613A40" w:rsidRDefault="00F53BB2" w:rsidP="00F53BB2">
      <w:pPr>
        <w:rPr>
          <w:rFonts w:ascii="Times New Roman" w:eastAsia="Times New Roman" w:hAnsi="Times New Roman"/>
          <w:bCs/>
          <w:sz w:val="20"/>
          <w:szCs w:val="20"/>
          <w:lang w:val="en-GB" w:eastAsia="zh-CN"/>
        </w:rPr>
      </w:pPr>
      <w:bookmarkStart w:id="1" w:name="_Ref458739888"/>
      <w:r>
        <w:rPr>
          <w:rFonts w:ascii="Times New Roman" w:eastAsia="Times New Roman" w:hAnsi="Times New Roman"/>
          <w:bCs/>
          <w:sz w:val="20"/>
          <w:szCs w:val="20"/>
          <w:lang w:val="en-GB" w:eastAsia="zh-CN"/>
        </w:rPr>
        <w:t>This contribution goes over different aspects of admission control over NR sidelink for V2X operation and makes the following observations and proposals:</w:t>
      </w:r>
    </w:p>
    <w:p w14:paraId="4927AAB1" w14:textId="77777777" w:rsidR="00F53BB2" w:rsidRDefault="00F53BB2" w:rsidP="00F53BB2">
      <w:pPr>
        <w:rPr>
          <w:rFonts w:ascii="Times New Roman" w:eastAsia="Times New Roman" w:hAnsi="Times New Roman"/>
          <w:bCs/>
          <w:sz w:val="20"/>
          <w:szCs w:val="20"/>
          <w:lang w:val="en-GB" w:eastAsia="zh-CN"/>
        </w:rPr>
      </w:pPr>
    </w:p>
    <w:p w14:paraId="21F96DAA" w14:textId="77777777" w:rsidR="00FC55EA" w:rsidRPr="00F22C9F" w:rsidRDefault="00FC55EA" w:rsidP="00FC55EA">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Observation 1:</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The introduction of a congestion control mechanism based on per-packet PQI for NR SL can allow for robust control over SL transmissions based on channel load conditions.</w:t>
      </w:r>
    </w:p>
    <w:p w14:paraId="2F71D01B" w14:textId="77777777" w:rsidR="00FC55EA" w:rsidRPr="00F22C9F" w:rsidRDefault="00FC55EA" w:rsidP="00FC55EA">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Observation 2:</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The negotiation of QoS information between peer UEs for SL unicast connection establishment has already been agreed by SA2 and is performed by upper layer signalling (i.e. without direct AS layer involvement).</w:t>
      </w:r>
    </w:p>
    <w:p w14:paraId="78F0C661" w14:textId="77777777" w:rsidR="00FC55EA" w:rsidRDefault="00FC55EA" w:rsidP="00FC55EA">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1:</w:t>
      </w:r>
      <w:r>
        <w:rPr>
          <w:rFonts w:ascii="Times New Roman" w:eastAsia="Times New Roman" w:hAnsi="Times New Roman"/>
          <w:bCs/>
          <w:i/>
          <w:sz w:val="20"/>
          <w:szCs w:val="20"/>
          <w:lang w:val="en-GB" w:eastAsia="zh-CN"/>
        </w:rPr>
        <w:tab/>
        <w:t>RAN2 to discuss and confirm that per packet admission control (as defined above) is considered baseline for NR sidelink V2X operation.</w:t>
      </w:r>
    </w:p>
    <w:p w14:paraId="47F77D36" w14:textId="77777777" w:rsidR="00FC55EA" w:rsidRDefault="00FC55EA" w:rsidP="00FC55EA">
      <w:pPr>
        <w:ind w:left="1350" w:hanging="1350"/>
        <w:rPr>
          <w:rFonts w:ascii="Times New Roman" w:eastAsia="Times New Roman" w:hAnsi="Times New Roman"/>
          <w:bCs/>
          <w:i/>
          <w:sz w:val="20"/>
          <w:szCs w:val="20"/>
          <w:lang w:val="en-GB" w:eastAsia="zh-CN"/>
        </w:rPr>
      </w:pPr>
    </w:p>
    <w:p w14:paraId="7C8B51C3" w14:textId="77777777" w:rsidR="00FC55EA" w:rsidRDefault="00FC55EA" w:rsidP="00FC55EA">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2:</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There is no need for any additional per packet per service admission control mechanism to be defined for NR SL.</w:t>
      </w:r>
    </w:p>
    <w:p w14:paraId="07CC9B2E" w14:textId="77777777" w:rsidR="00FC55EA" w:rsidRPr="00F22C9F" w:rsidRDefault="00FC55EA" w:rsidP="00FC55EA">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3:</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RAN2 does not need to consider any additional QoS parameter exchange in the context of admission control at the AS layer (other than what upper layer signalling is expected to perform during link establishment) in the case of SL unicast.</w:t>
      </w:r>
    </w:p>
    <w:p w14:paraId="11CC3028" w14:textId="77777777" w:rsidR="00F53BB2" w:rsidRPr="00C13DB4" w:rsidRDefault="00F53BB2" w:rsidP="00F53BB2">
      <w:pPr>
        <w:rPr>
          <w:rFonts w:ascii="Times New Roman" w:eastAsia="Times New Roman" w:hAnsi="Times New Roman"/>
          <w:bCs/>
          <w:sz w:val="20"/>
          <w:szCs w:val="20"/>
          <w:lang w:val="en-GB" w:eastAsia="zh-CN"/>
        </w:rPr>
      </w:pPr>
    </w:p>
    <w:sdt>
      <w:sdtPr>
        <w:rPr>
          <w:rFonts w:ascii="Calibri" w:eastAsia="SimSun" w:hAnsi="Calibri"/>
          <w:noProof w:val="0"/>
          <w:sz w:val="22"/>
          <w:szCs w:val="22"/>
          <w:lang w:eastAsia="en-US"/>
        </w:rPr>
        <w:id w:val="70091276"/>
        <w:docPartObj>
          <w:docPartGallery w:val="Bibliographies"/>
          <w:docPartUnique/>
        </w:docPartObj>
      </w:sdtPr>
      <w:sdtEndPr/>
      <w:sdtContent>
        <w:p w14:paraId="419B5CA6" w14:textId="663549E3" w:rsidR="0063286E" w:rsidRDefault="0063286E" w:rsidP="0063286E">
          <w:pPr>
            <w:pStyle w:val="Tdoc"/>
          </w:pPr>
          <w:r>
            <w:t>References</w:t>
          </w:r>
        </w:p>
        <w:p w14:paraId="4C99CB80" w14:textId="77777777" w:rsidR="0091177A" w:rsidRDefault="000A472B" w:rsidP="0091177A">
          <w:pPr>
            <w:divId w:val="1131898881"/>
            <w:rPr>
              <w:noProof/>
              <w:sz w:val="20"/>
              <w:szCs w:val="20"/>
            </w:rPr>
          </w:pPr>
          <w:r>
            <w:rPr>
              <w:rFonts w:eastAsia="Times New Roman"/>
              <w:noProof/>
            </w:rPr>
            <w:fldChar w:fldCharType="begin"/>
          </w:r>
          <w:r>
            <w:rPr>
              <w:rFonts w:eastAsia="Times New Roman"/>
              <w:noProof/>
            </w:rPr>
            <w:instrText xml:space="preserve"> BIBLIOGRAPHY  \l 1033 </w:instrText>
          </w:r>
          <w:r>
            <w:rPr>
              <w:rFonts w:eastAsia="Times New Roman"/>
              <w:noProof/>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91177A" w14:paraId="2D55731D" w14:textId="77777777" w:rsidTr="0091177A">
            <w:trPr>
              <w:divId w:val="1131898881"/>
              <w:tblCellSpacing w:w="15" w:type="dxa"/>
            </w:trPr>
            <w:tc>
              <w:tcPr>
                <w:tcW w:w="50" w:type="pct"/>
                <w:hideMark/>
              </w:tcPr>
              <w:p w14:paraId="50D18AE8" w14:textId="77777777" w:rsidR="0091177A" w:rsidRDefault="0091177A">
                <w:pPr>
                  <w:pStyle w:val="Bibliography"/>
                  <w:rPr>
                    <w:noProof/>
                    <w:sz w:val="24"/>
                    <w:szCs w:val="24"/>
                  </w:rPr>
                </w:pPr>
                <w:r>
                  <w:rPr>
                    <w:noProof/>
                  </w:rPr>
                  <w:t xml:space="preserve">[1] </w:t>
                </w:r>
              </w:p>
            </w:tc>
            <w:tc>
              <w:tcPr>
                <w:tcW w:w="0" w:type="auto"/>
                <w:hideMark/>
              </w:tcPr>
              <w:p w14:paraId="11CAD4E1" w14:textId="77777777" w:rsidR="0091177A" w:rsidRDefault="0091177A">
                <w:pPr>
                  <w:pStyle w:val="Bibliography"/>
                  <w:rPr>
                    <w:noProof/>
                  </w:rPr>
                </w:pPr>
                <w:r>
                  <w:rPr>
                    <w:noProof/>
                  </w:rPr>
                  <w:t xml:space="preserve">"RAN2#105, NR V2X: Chairman Notes". </w:t>
                </w:r>
              </w:p>
            </w:tc>
          </w:tr>
          <w:tr w:rsidR="0091177A" w14:paraId="6190AA37" w14:textId="77777777" w:rsidTr="0091177A">
            <w:trPr>
              <w:divId w:val="1131898881"/>
              <w:tblCellSpacing w:w="15" w:type="dxa"/>
            </w:trPr>
            <w:tc>
              <w:tcPr>
                <w:tcW w:w="50" w:type="pct"/>
                <w:hideMark/>
              </w:tcPr>
              <w:p w14:paraId="422DDBED" w14:textId="77777777" w:rsidR="0091177A" w:rsidRDefault="0091177A">
                <w:pPr>
                  <w:pStyle w:val="Bibliography"/>
                  <w:rPr>
                    <w:noProof/>
                  </w:rPr>
                </w:pPr>
                <w:r>
                  <w:rPr>
                    <w:noProof/>
                  </w:rPr>
                  <w:t xml:space="preserve">[2] </w:t>
                </w:r>
              </w:p>
            </w:tc>
            <w:tc>
              <w:tcPr>
                <w:tcW w:w="0" w:type="auto"/>
                <w:hideMark/>
              </w:tcPr>
              <w:p w14:paraId="745AFC5E" w14:textId="77777777" w:rsidR="0091177A" w:rsidRDefault="0091177A">
                <w:pPr>
                  <w:pStyle w:val="Bibliography"/>
                  <w:rPr>
                    <w:noProof/>
                  </w:rPr>
                </w:pPr>
                <w:r>
                  <w:rPr>
                    <w:noProof/>
                  </w:rPr>
                  <w:t xml:space="preserve">"R2-1900370, Summary of Email Discussion [104#58][NR V2X] - QoS support for NR V2X (Huawei)". </w:t>
                </w:r>
              </w:p>
            </w:tc>
          </w:tr>
          <w:tr w:rsidR="0091177A" w14:paraId="1F519CA7" w14:textId="77777777" w:rsidTr="0091177A">
            <w:trPr>
              <w:divId w:val="1131898881"/>
              <w:tblCellSpacing w:w="15" w:type="dxa"/>
            </w:trPr>
            <w:tc>
              <w:tcPr>
                <w:tcW w:w="50" w:type="pct"/>
                <w:hideMark/>
              </w:tcPr>
              <w:p w14:paraId="05DEFACB" w14:textId="77777777" w:rsidR="0091177A" w:rsidRDefault="0091177A">
                <w:pPr>
                  <w:pStyle w:val="Bibliography"/>
                  <w:rPr>
                    <w:noProof/>
                  </w:rPr>
                </w:pPr>
                <w:r>
                  <w:rPr>
                    <w:noProof/>
                  </w:rPr>
                  <w:t xml:space="preserve">[3] </w:t>
                </w:r>
              </w:p>
            </w:tc>
            <w:tc>
              <w:tcPr>
                <w:tcW w:w="0" w:type="auto"/>
                <w:hideMark/>
              </w:tcPr>
              <w:p w14:paraId="5647E60E" w14:textId="77777777" w:rsidR="0091177A" w:rsidRDefault="0091177A">
                <w:pPr>
                  <w:pStyle w:val="Bibliography"/>
                  <w:rPr>
                    <w:noProof/>
                  </w:rPr>
                </w:pPr>
                <w:r>
                  <w:rPr>
                    <w:noProof/>
                  </w:rPr>
                  <w:t xml:space="preserve">"TR 23.786, Study on architecture enhancements for the Evolved Packet System (EPS) and the 5G System (5GS) to support advanced V2X services". </w:t>
                </w:r>
              </w:p>
            </w:tc>
          </w:tr>
        </w:tbl>
        <w:p w14:paraId="18F365EC" w14:textId="77777777" w:rsidR="0091177A" w:rsidRDefault="0091177A" w:rsidP="0091177A">
          <w:pPr>
            <w:divId w:val="1131898881"/>
            <w:rPr>
              <w:rFonts w:eastAsia="Times New Roman"/>
              <w:noProof/>
            </w:rPr>
          </w:pPr>
        </w:p>
        <w:p w14:paraId="3B293168" w14:textId="42F460DC" w:rsidR="00E43B63" w:rsidRDefault="000A472B" w:rsidP="0091177A">
          <w:pPr>
            <w:divId w:val="1131898881"/>
            <w:rPr>
              <w:rFonts w:eastAsia="Times New Roman"/>
              <w:noProof/>
            </w:rPr>
          </w:pPr>
          <w:r>
            <w:rPr>
              <w:rFonts w:eastAsia="Times New Roman"/>
              <w:noProof/>
            </w:rPr>
            <w:fldChar w:fldCharType="end"/>
          </w:r>
        </w:p>
        <w:p w14:paraId="50A28EEF" w14:textId="41D9B9E6" w:rsidR="00E0063E" w:rsidRPr="00E43B63" w:rsidRDefault="00A86F24" w:rsidP="00E43B63"/>
      </w:sdtContent>
    </w:sdt>
    <w:bookmarkEnd w:id="1" w:displacedByCustomXml="prev"/>
    <w:sectPr w:rsidR="00E0063E" w:rsidRPr="00E43B63">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28EF2" w14:textId="77777777" w:rsidR="00A3213E" w:rsidRDefault="00A3213E">
      <w:pPr>
        <w:spacing w:after="0" w:line="240" w:lineRule="auto"/>
      </w:pPr>
      <w:r>
        <w:separator/>
      </w:r>
    </w:p>
  </w:endnote>
  <w:endnote w:type="continuationSeparator" w:id="0">
    <w:p w14:paraId="50A28EF3" w14:textId="77777777" w:rsidR="00A3213E" w:rsidRDefault="00A321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28EF4" w14:textId="77777777" w:rsidR="00A3213E" w:rsidRDefault="00A3213E"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86F24">
      <w:rPr>
        <w:rFonts w:ascii="Arial" w:hAnsi="Arial" w:cs="Arial"/>
        <w:b/>
        <w:noProof/>
        <w:sz w:val="18"/>
        <w:szCs w:val="18"/>
      </w:rPr>
      <w:t>1</w:t>
    </w:r>
    <w:r>
      <w:rPr>
        <w:rFonts w:ascii="Arial" w:hAnsi="Arial" w:cs="Arial"/>
        <w:b/>
        <w:sz w:val="18"/>
        <w:szCs w:val="18"/>
      </w:rPr>
      <w:fldChar w:fldCharType="end"/>
    </w:r>
  </w:p>
  <w:p w14:paraId="50A28EF5" w14:textId="77777777" w:rsidR="00A3213E" w:rsidRDefault="00A321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A28EF0" w14:textId="77777777" w:rsidR="00A3213E" w:rsidRDefault="00A3213E">
      <w:pPr>
        <w:spacing w:after="0" w:line="240" w:lineRule="auto"/>
      </w:pPr>
      <w:r>
        <w:separator/>
      </w:r>
    </w:p>
  </w:footnote>
  <w:footnote w:type="continuationSeparator" w:id="0">
    <w:p w14:paraId="50A28EF1" w14:textId="77777777" w:rsidR="00A3213E" w:rsidRDefault="00A3213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52F2E"/>
    <w:multiLevelType w:val="hybridMultilevel"/>
    <w:tmpl w:val="DE2E3F34"/>
    <w:lvl w:ilvl="0" w:tplc="049641BA">
      <w:start w:val="8"/>
      <w:numFmt w:val="bullet"/>
      <w:lvlText w:val=""/>
      <w:lvlJc w:val="left"/>
      <w:pPr>
        <w:ind w:left="1620" w:hanging="360"/>
      </w:pPr>
      <w:rPr>
        <w:rFonts w:ascii="Wingdings" w:eastAsia="MS Mincho" w:hAnsi="Wingdings"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02BC04C2"/>
    <w:multiLevelType w:val="hybridMultilevel"/>
    <w:tmpl w:val="B4AEFE8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C13AB"/>
    <w:multiLevelType w:val="hybridMultilevel"/>
    <w:tmpl w:val="547ED9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D570A0"/>
    <w:multiLevelType w:val="hybridMultilevel"/>
    <w:tmpl w:val="C30E7DFA"/>
    <w:lvl w:ilvl="0" w:tplc="8E5E2E68">
      <w:start w:val="1"/>
      <w:numFmt w:val="decimal"/>
      <w:lvlText w:val="%1"/>
      <w:lvlJc w:val="left"/>
      <w:pPr>
        <w:ind w:left="1679" w:hanging="42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9" w15:restartNumberingAfterBreak="0">
    <w:nsid w:val="16AC72F1"/>
    <w:multiLevelType w:val="hybridMultilevel"/>
    <w:tmpl w:val="C4801ACE"/>
    <w:lvl w:ilvl="0" w:tplc="435228B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981C76"/>
    <w:multiLevelType w:val="hybridMultilevel"/>
    <w:tmpl w:val="06DEB234"/>
    <w:lvl w:ilvl="0" w:tplc="50A06EA4">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CB6FA1"/>
    <w:multiLevelType w:val="hybridMultilevel"/>
    <w:tmpl w:val="9A7874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BD1123"/>
    <w:multiLevelType w:val="hybridMultilevel"/>
    <w:tmpl w:val="93CA22BA"/>
    <w:lvl w:ilvl="0" w:tplc="0409000F">
      <w:start w:val="1"/>
      <w:numFmt w:val="decimal"/>
      <w:lvlText w:val="%1."/>
      <w:lvlJc w:val="left"/>
      <w:pPr>
        <w:ind w:left="405" w:hanging="360"/>
      </w:pPr>
      <w:rPr>
        <w:rFonts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38AB3FAB"/>
    <w:multiLevelType w:val="hybridMultilevel"/>
    <w:tmpl w:val="81D2D7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9" w15:restartNumberingAfterBreak="0">
    <w:nsid w:val="493534BE"/>
    <w:multiLevelType w:val="hybridMultilevel"/>
    <w:tmpl w:val="3E3603D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1" w15:restartNumberingAfterBreak="0">
    <w:nsid w:val="4C76158D"/>
    <w:multiLevelType w:val="hybridMultilevel"/>
    <w:tmpl w:val="CD7EE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B30414"/>
    <w:multiLevelType w:val="multilevel"/>
    <w:tmpl w:val="48E27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DDA42AB"/>
    <w:multiLevelType w:val="hybridMultilevel"/>
    <w:tmpl w:val="7D14F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CD0DE9"/>
    <w:multiLevelType w:val="hybridMultilevel"/>
    <w:tmpl w:val="168AEEB6"/>
    <w:lvl w:ilvl="0" w:tplc="6F0EF0F2">
      <w:start w:val="38"/>
      <w:numFmt w:val="bullet"/>
      <w:lvlText w:val="-"/>
      <w:lvlJc w:val="left"/>
      <w:pPr>
        <w:ind w:left="1620" w:hanging="360"/>
      </w:pPr>
      <w:rPr>
        <w:rFonts w:ascii="Arial" w:eastAsia="MS Mincho" w:hAnsi="Arial" w:cs="Aria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6" w15:restartNumberingAfterBreak="0">
    <w:nsid w:val="673364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7EF1656"/>
    <w:multiLevelType w:val="hybridMultilevel"/>
    <w:tmpl w:val="09C04F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2D40B0"/>
    <w:multiLevelType w:val="hybridMultilevel"/>
    <w:tmpl w:val="37E49AF0"/>
    <w:lvl w:ilvl="0" w:tplc="904E7CE0">
      <w:start w:val="1"/>
      <w:numFmt w:val="decimal"/>
      <w:lvlText w:val="%1."/>
      <w:lvlJc w:val="left"/>
      <w:pPr>
        <w:ind w:left="420" w:hanging="420"/>
      </w:pPr>
      <w:rPr>
        <w:sz w:val="32"/>
        <w:szCs w:val="32"/>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20336AD"/>
    <w:multiLevelType w:val="hybridMultilevel"/>
    <w:tmpl w:val="B5260F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5F0760"/>
    <w:multiLevelType w:val="hybridMultilevel"/>
    <w:tmpl w:val="F72A9926"/>
    <w:lvl w:ilvl="0" w:tplc="41305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CE46A8"/>
    <w:multiLevelType w:val="multilevel"/>
    <w:tmpl w:val="4FFAA53A"/>
    <w:lvl w:ilvl="0">
      <w:start w:val="1"/>
      <w:numFmt w:val="decimal"/>
      <w:pStyle w:val="Tdoc"/>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15:restartNumberingAfterBreak="0">
    <w:nsid w:val="78F7786E"/>
    <w:multiLevelType w:val="hybridMultilevel"/>
    <w:tmpl w:val="0AF845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9686B86"/>
    <w:multiLevelType w:val="hybridMultilevel"/>
    <w:tmpl w:val="8FC279AE"/>
    <w:lvl w:ilvl="0" w:tplc="70888498">
      <w:start w:val="1"/>
      <w:numFmt w:val="bullet"/>
      <w:lvlText w:val="•"/>
      <w:lvlJc w:val="left"/>
      <w:pPr>
        <w:tabs>
          <w:tab w:val="num" w:pos="720"/>
        </w:tabs>
        <w:ind w:left="720" w:hanging="360"/>
      </w:pPr>
      <w:rPr>
        <w:rFonts w:ascii="Arial" w:hAnsi="Arial" w:hint="default"/>
      </w:rPr>
    </w:lvl>
    <w:lvl w:ilvl="1" w:tplc="5DEED886">
      <w:start w:val="3172"/>
      <w:numFmt w:val="bullet"/>
      <w:lvlText w:val="–"/>
      <w:lvlJc w:val="left"/>
      <w:pPr>
        <w:tabs>
          <w:tab w:val="num" w:pos="1440"/>
        </w:tabs>
        <w:ind w:left="1440" w:hanging="360"/>
      </w:pPr>
      <w:rPr>
        <w:rFonts w:ascii="Arial" w:hAnsi="Arial" w:hint="default"/>
      </w:rPr>
    </w:lvl>
    <w:lvl w:ilvl="2" w:tplc="2DC2EE2C">
      <w:start w:val="3172"/>
      <w:numFmt w:val="bullet"/>
      <w:lvlText w:val="•"/>
      <w:lvlJc w:val="left"/>
      <w:pPr>
        <w:tabs>
          <w:tab w:val="num" w:pos="2160"/>
        </w:tabs>
        <w:ind w:left="2160" w:hanging="360"/>
      </w:pPr>
      <w:rPr>
        <w:rFonts w:ascii="Arial" w:hAnsi="Arial" w:hint="default"/>
      </w:rPr>
    </w:lvl>
    <w:lvl w:ilvl="3" w:tplc="A0FA35A6" w:tentative="1">
      <w:start w:val="1"/>
      <w:numFmt w:val="bullet"/>
      <w:lvlText w:val="•"/>
      <w:lvlJc w:val="left"/>
      <w:pPr>
        <w:tabs>
          <w:tab w:val="num" w:pos="2880"/>
        </w:tabs>
        <w:ind w:left="2880" w:hanging="360"/>
      </w:pPr>
      <w:rPr>
        <w:rFonts w:ascii="Arial" w:hAnsi="Arial" w:hint="default"/>
      </w:rPr>
    </w:lvl>
    <w:lvl w:ilvl="4" w:tplc="6E484D06" w:tentative="1">
      <w:start w:val="1"/>
      <w:numFmt w:val="bullet"/>
      <w:lvlText w:val="•"/>
      <w:lvlJc w:val="left"/>
      <w:pPr>
        <w:tabs>
          <w:tab w:val="num" w:pos="3600"/>
        </w:tabs>
        <w:ind w:left="3600" w:hanging="360"/>
      </w:pPr>
      <w:rPr>
        <w:rFonts w:ascii="Arial" w:hAnsi="Arial" w:hint="default"/>
      </w:rPr>
    </w:lvl>
    <w:lvl w:ilvl="5" w:tplc="41245C68" w:tentative="1">
      <w:start w:val="1"/>
      <w:numFmt w:val="bullet"/>
      <w:lvlText w:val="•"/>
      <w:lvlJc w:val="left"/>
      <w:pPr>
        <w:tabs>
          <w:tab w:val="num" w:pos="4320"/>
        </w:tabs>
        <w:ind w:left="4320" w:hanging="360"/>
      </w:pPr>
      <w:rPr>
        <w:rFonts w:ascii="Arial" w:hAnsi="Arial" w:hint="default"/>
      </w:rPr>
    </w:lvl>
    <w:lvl w:ilvl="6" w:tplc="59440280" w:tentative="1">
      <w:start w:val="1"/>
      <w:numFmt w:val="bullet"/>
      <w:lvlText w:val="•"/>
      <w:lvlJc w:val="left"/>
      <w:pPr>
        <w:tabs>
          <w:tab w:val="num" w:pos="5040"/>
        </w:tabs>
        <w:ind w:left="5040" w:hanging="360"/>
      </w:pPr>
      <w:rPr>
        <w:rFonts w:ascii="Arial" w:hAnsi="Arial" w:hint="default"/>
      </w:rPr>
    </w:lvl>
    <w:lvl w:ilvl="7" w:tplc="68FAA768" w:tentative="1">
      <w:start w:val="1"/>
      <w:numFmt w:val="bullet"/>
      <w:lvlText w:val="•"/>
      <w:lvlJc w:val="left"/>
      <w:pPr>
        <w:tabs>
          <w:tab w:val="num" w:pos="5760"/>
        </w:tabs>
        <w:ind w:left="5760" w:hanging="360"/>
      </w:pPr>
      <w:rPr>
        <w:rFonts w:ascii="Arial" w:hAnsi="Arial" w:hint="default"/>
      </w:rPr>
    </w:lvl>
    <w:lvl w:ilvl="8" w:tplc="BA2467B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7D870423"/>
    <w:multiLevelType w:val="multilevel"/>
    <w:tmpl w:val="C3E48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0"/>
  </w:num>
  <w:num w:numId="2">
    <w:abstractNumId w:val="22"/>
  </w:num>
  <w:num w:numId="3">
    <w:abstractNumId w:val="16"/>
  </w:num>
  <w:num w:numId="4">
    <w:abstractNumId w:val="15"/>
  </w:num>
  <w:num w:numId="5">
    <w:abstractNumId w:val="5"/>
    <w:lvlOverride w:ilvl="0">
      <w:startOverride w:val="1"/>
    </w:lvlOverride>
  </w:num>
  <w:num w:numId="6">
    <w:abstractNumId w:val="7"/>
    <w:lvlOverride w:ilvl="0">
      <w:startOverride w:val="2"/>
    </w:lvlOverride>
  </w:num>
  <w:num w:numId="7">
    <w:abstractNumId w:val="32"/>
  </w:num>
  <w:num w:numId="8">
    <w:abstractNumId w:val="11"/>
  </w:num>
  <w:num w:numId="9">
    <w:abstractNumId w:val="8"/>
  </w:num>
  <w:num w:numId="10">
    <w:abstractNumId w:val="26"/>
  </w:num>
  <w:num w:numId="11">
    <w:abstractNumId w:val="34"/>
  </w:num>
  <w:num w:numId="12">
    <w:abstractNumId w:val="6"/>
  </w:num>
  <w:num w:numId="13">
    <w:abstractNumId w:val="9"/>
  </w:num>
  <w:num w:numId="14">
    <w:abstractNumId w:val="3"/>
  </w:num>
  <w:num w:numId="15">
    <w:abstractNumId w:val="4"/>
  </w:num>
  <w:num w:numId="16">
    <w:abstractNumId w:val="14"/>
  </w:num>
  <w:num w:numId="17">
    <w:abstractNumId w:val="31"/>
  </w:num>
  <w:num w:numId="18">
    <w:abstractNumId w:val="12"/>
  </w:num>
  <w:num w:numId="19">
    <w:abstractNumId w:val="28"/>
  </w:num>
  <w:num w:numId="20">
    <w:abstractNumId w:val="2"/>
  </w:num>
  <w:num w:numId="21">
    <w:abstractNumId w:val="33"/>
  </w:num>
  <w:num w:numId="22">
    <w:abstractNumId w:val="1"/>
  </w:num>
  <w:num w:numId="23">
    <w:abstractNumId w:val="25"/>
  </w:num>
  <w:num w:numId="24">
    <w:abstractNumId w:val="36"/>
  </w:num>
  <w:num w:numId="25">
    <w:abstractNumId w:val="23"/>
  </w:num>
  <w:num w:numId="26">
    <w:abstractNumId w:val="20"/>
  </w:num>
  <w:num w:numId="27">
    <w:abstractNumId w:val="18"/>
  </w:num>
  <w:num w:numId="28">
    <w:abstractNumId w:val="35"/>
  </w:num>
  <w:num w:numId="29">
    <w:abstractNumId w:val="0"/>
  </w:num>
  <w:num w:numId="30">
    <w:abstractNumId w:val="10"/>
  </w:num>
  <w:num w:numId="31">
    <w:abstractNumId w:val="29"/>
  </w:num>
  <w:num w:numId="32">
    <w:abstractNumId w:val="19"/>
  </w:num>
  <w:num w:numId="33">
    <w:abstractNumId w:val="24"/>
  </w:num>
  <w:num w:numId="34">
    <w:abstractNumId w:val="21"/>
  </w:num>
  <w:num w:numId="35">
    <w:abstractNumId w:val="13"/>
  </w:num>
  <w:num w:numId="36">
    <w:abstractNumId w:val="17"/>
  </w:num>
  <w:num w:numId="3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3C2"/>
    <w:rsid w:val="00001F9E"/>
    <w:rsid w:val="000062EC"/>
    <w:rsid w:val="0000742B"/>
    <w:rsid w:val="0002151A"/>
    <w:rsid w:val="00031A47"/>
    <w:rsid w:val="000336C8"/>
    <w:rsid w:val="00053B8A"/>
    <w:rsid w:val="00060D54"/>
    <w:rsid w:val="00061F84"/>
    <w:rsid w:val="000632AE"/>
    <w:rsid w:val="00066057"/>
    <w:rsid w:val="000712B7"/>
    <w:rsid w:val="00071BD0"/>
    <w:rsid w:val="000760CC"/>
    <w:rsid w:val="0007638E"/>
    <w:rsid w:val="00077473"/>
    <w:rsid w:val="00081766"/>
    <w:rsid w:val="0008197A"/>
    <w:rsid w:val="000837B7"/>
    <w:rsid w:val="00096596"/>
    <w:rsid w:val="000A09E6"/>
    <w:rsid w:val="000A13E8"/>
    <w:rsid w:val="000A472B"/>
    <w:rsid w:val="000A7E1C"/>
    <w:rsid w:val="000A7FE2"/>
    <w:rsid w:val="000D6536"/>
    <w:rsid w:val="000E4761"/>
    <w:rsid w:val="000E493C"/>
    <w:rsid w:val="000F00FC"/>
    <w:rsid w:val="000F1C37"/>
    <w:rsid w:val="000F54CA"/>
    <w:rsid w:val="00100001"/>
    <w:rsid w:val="00100A13"/>
    <w:rsid w:val="00111236"/>
    <w:rsid w:val="001128E0"/>
    <w:rsid w:val="0011610B"/>
    <w:rsid w:val="00116AED"/>
    <w:rsid w:val="00120B9E"/>
    <w:rsid w:val="00143E86"/>
    <w:rsid w:val="00143F5D"/>
    <w:rsid w:val="00144CD4"/>
    <w:rsid w:val="00147C5C"/>
    <w:rsid w:val="00151E30"/>
    <w:rsid w:val="00153601"/>
    <w:rsid w:val="00153EA5"/>
    <w:rsid w:val="00154CC9"/>
    <w:rsid w:val="00160710"/>
    <w:rsid w:val="0016207C"/>
    <w:rsid w:val="0016488C"/>
    <w:rsid w:val="0016703F"/>
    <w:rsid w:val="00171180"/>
    <w:rsid w:val="00175B7F"/>
    <w:rsid w:val="00175DCB"/>
    <w:rsid w:val="00181357"/>
    <w:rsid w:val="00195430"/>
    <w:rsid w:val="00197B45"/>
    <w:rsid w:val="001A793C"/>
    <w:rsid w:val="001B7098"/>
    <w:rsid w:val="001C137C"/>
    <w:rsid w:val="001C479B"/>
    <w:rsid w:val="001C6E8B"/>
    <w:rsid w:val="001D28A0"/>
    <w:rsid w:val="001D5499"/>
    <w:rsid w:val="001E221E"/>
    <w:rsid w:val="001E251D"/>
    <w:rsid w:val="001E54F9"/>
    <w:rsid w:val="001F03C4"/>
    <w:rsid w:val="001F221E"/>
    <w:rsid w:val="001F6936"/>
    <w:rsid w:val="00203D1C"/>
    <w:rsid w:val="0020567B"/>
    <w:rsid w:val="0020671E"/>
    <w:rsid w:val="00220EC4"/>
    <w:rsid w:val="00225341"/>
    <w:rsid w:val="002410A5"/>
    <w:rsid w:val="0024165F"/>
    <w:rsid w:val="00253F58"/>
    <w:rsid w:val="00255F2A"/>
    <w:rsid w:val="00260222"/>
    <w:rsid w:val="00263354"/>
    <w:rsid w:val="0026345A"/>
    <w:rsid w:val="00265EF0"/>
    <w:rsid w:val="00274F99"/>
    <w:rsid w:val="00276574"/>
    <w:rsid w:val="002769B9"/>
    <w:rsid w:val="00281DB7"/>
    <w:rsid w:val="00283FDE"/>
    <w:rsid w:val="00285FD9"/>
    <w:rsid w:val="00286053"/>
    <w:rsid w:val="0028689C"/>
    <w:rsid w:val="00286CD8"/>
    <w:rsid w:val="00290024"/>
    <w:rsid w:val="00291433"/>
    <w:rsid w:val="00291DB2"/>
    <w:rsid w:val="00293F66"/>
    <w:rsid w:val="0029495D"/>
    <w:rsid w:val="002A5F0F"/>
    <w:rsid w:val="002A78E6"/>
    <w:rsid w:val="002B17B0"/>
    <w:rsid w:val="002B2F0A"/>
    <w:rsid w:val="002D2168"/>
    <w:rsid w:val="002E50F2"/>
    <w:rsid w:val="002F04F8"/>
    <w:rsid w:val="002F153B"/>
    <w:rsid w:val="002F432E"/>
    <w:rsid w:val="00305CD5"/>
    <w:rsid w:val="0032490D"/>
    <w:rsid w:val="00330823"/>
    <w:rsid w:val="00332463"/>
    <w:rsid w:val="00332851"/>
    <w:rsid w:val="00336D1D"/>
    <w:rsid w:val="003379D6"/>
    <w:rsid w:val="00337A0E"/>
    <w:rsid w:val="003400B0"/>
    <w:rsid w:val="00343C43"/>
    <w:rsid w:val="00345654"/>
    <w:rsid w:val="00346CBD"/>
    <w:rsid w:val="0035278E"/>
    <w:rsid w:val="003571DD"/>
    <w:rsid w:val="00361EF9"/>
    <w:rsid w:val="003638A3"/>
    <w:rsid w:val="0037540A"/>
    <w:rsid w:val="00377DF9"/>
    <w:rsid w:val="003848A3"/>
    <w:rsid w:val="00384CB8"/>
    <w:rsid w:val="00385E3E"/>
    <w:rsid w:val="00396B24"/>
    <w:rsid w:val="00397FA3"/>
    <w:rsid w:val="003A766F"/>
    <w:rsid w:val="003B424F"/>
    <w:rsid w:val="003B6208"/>
    <w:rsid w:val="003B6BC4"/>
    <w:rsid w:val="003C2812"/>
    <w:rsid w:val="003D022C"/>
    <w:rsid w:val="003D1D55"/>
    <w:rsid w:val="003D42CB"/>
    <w:rsid w:val="003E1161"/>
    <w:rsid w:val="003E250C"/>
    <w:rsid w:val="003E76DD"/>
    <w:rsid w:val="003F0F74"/>
    <w:rsid w:val="0040277F"/>
    <w:rsid w:val="004035EF"/>
    <w:rsid w:val="00410620"/>
    <w:rsid w:val="004114F2"/>
    <w:rsid w:val="00412F14"/>
    <w:rsid w:val="00413455"/>
    <w:rsid w:val="00415F96"/>
    <w:rsid w:val="00416235"/>
    <w:rsid w:val="00424635"/>
    <w:rsid w:val="00430F3A"/>
    <w:rsid w:val="00433DA4"/>
    <w:rsid w:val="00434F17"/>
    <w:rsid w:val="0043655F"/>
    <w:rsid w:val="00437AB1"/>
    <w:rsid w:val="00440C74"/>
    <w:rsid w:val="00443607"/>
    <w:rsid w:val="00443E40"/>
    <w:rsid w:val="00445B7E"/>
    <w:rsid w:val="00453DB6"/>
    <w:rsid w:val="0045665A"/>
    <w:rsid w:val="00460EBA"/>
    <w:rsid w:val="0046730A"/>
    <w:rsid w:val="00467867"/>
    <w:rsid w:val="004747C6"/>
    <w:rsid w:val="00480D6C"/>
    <w:rsid w:val="00483C87"/>
    <w:rsid w:val="004873A1"/>
    <w:rsid w:val="0049247B"/>
    <w:rsid w:val="004941A2"/>
    <w:rsid w:val="004A45E2"/>
    <w:rsid w:val="004B2F1A"/>
    <w:rsid w:val="004C546C"/>
    <w:rsid w:val="004D12A9"/>
    <w:rsid w:val="004D44CA"/>
    <w:rsid w:val="004D6C2B"/>
    <w:rsid w:val="004D7A2E"/>
    <w:rsid w:val="004E2339"/>
    <w:rsid w:val="004E3975"/>
    <w:rsid w:val="004E3ED3"/>
    <w:rsid w:val="004E6A8F"/>
    <w:rsid w:val="004F361D"/>
    <w:rsid w:val="004F415B"/>
    <w:rsid w:val="00504033"/>
    <w:rsid w:val="005067A7"/>
    <w:rsid w:val="00511AF4"/>
    <w:rsid w:val="0051392C"/>
    <w:rsid w:val="00513956"/>
    <w:rsid w:val="005214C0"/>
    <w:rsid w:val="005231DC"/>
    <w:rsid w:val="00523734"/>
    <w:rsid w:val="005279F9"/>
    <w:rsid w:val="00533214"/>
    <w:rsid w:val="00536974"/>
    <w:rsid w:val="00544AAA"/>
    <w:rsid w:val="00545C8C"/>
    <w:rsid w:val="0055379C"/>
    <w:rsid w:val="00555440"/>
    <w:rsid w:val="0055706A"/>
    <w:rsid w:val="00557402"/>
    <w:rsid w:val="00561F69"/>
    <w:rsid w:val="00593190"/>
    <w:rsid w:val="00597FD5"/>
    <w:rsid w:val="005A4656"/>
    <w:rsid w:val="005A7CEA"/>
    <w:rsid w:val="005C158A"/>
    <w:rsid w:val="005C3DFF"/>
    <w:rsid w:val="005D37A5"/>
    <w:rsid w:val="005E3E1B"/>
    <w:rsid w:val="005E4401"/>
    <w:rsid w:val="005E4E14"/>
    <w:rsid w:val="005F30EF"/>
    <w:rsid w:val="0060381E"/>
    <w:rsid w:val="00613A40"/>
    <w:rsid w:val="00614E91"/>
    <w:rsid w:val="00625D8E"/>
    <w:rsid w:val="00627647"/>
    <w:rsid w:val="0063286E"/>
    <w:rsid w:val="00633024"/>
    <w:rsid w:val="00661C20"/>
    <w:rsid w:val="00667231"/>
    <w:rsid w:val="006720DF"/>
    <w:rsid w:val="00673EBD"/>
    <w:rsid w:val="006821CE"/>
    <w:rsid w:val="0068421C"/>
    <w:rsid w:val="00696FDC"/>
    <w:rsid w:val="006A27E5"/>
    <w:rsid w:val="006A65D5"/>
    <w:rsid w:val="006B69DF"/>
    <w:rsid w:val="006C65A8"/>
    <w:rsid w:val="006D0058"/>
    <w:rsid w:val="006D1A4B"/>
    <w:rsid w:val="006D512C"/>
    <w:rsid w:val="006D53FD"/>
    <w:rsid w:val="006D7CC2"/>
    <w:rsid w:val="006E0F37"/>
    <w:rsid w:val="006F4DDB"/>
    <w:rsid w:val="006F631D"/>
    <w:rsid w:val="00705D31"/>
    <w:rsid w:val="00710503"/>
    <w:rsid w:val="00711B34"/>
    <w:rsid w:val="007158F5"/>
    <w:rsid w:val="007178DB"/>
    <w:rsid w:val="00722993"/>
    <w:rsid w:val="00723298"/>
    <w:rsid w:val="00732A41"/>
    <w:rsid w:val="00732CD4"/>
    <w:rsid w:val="007336B5"/>
    <w:rsid w:val="007356BA"/>
    <w:rsid w:val="00740D3E"/>
    <w:rsid w:val="00743313"/>
    <w:rsid w:val="00752D0F"/>
    <w:rsid w:val="007646CF"/>
    <w:rsid w:val="00773DDF"/>
    <w:rsid w:val="0077506E"/>
    <w:rsid w:val="00777344"/>
    <w:rsid w:val="00777B6B"/>
    <w:rsid w:val="00781376"/>
    <w:rsid w:val="00786A05"/>
    <w:rsid w:val="00786EC6"/>
    <w:rsid w:val="00790DC8"/>
    <w:rsid w:val="007917EB"/>
    <w:rsid w:val="00791A9C"/>
    <w:rsid w:val="00792327"/>
    <w:rsid w:val="00797358"/>
    <w:rsid w:val="007A2068"/>
    <w:rsid w:val="007A49CD"/>
    <w:rsid w:val="007B7DD5"/>
    <w:rsid w:val="007C3A70"/>
    <w:rsid w:val="007D042C"/>
    <w:rsid w:val="007D05E3"/>
    <w:rsid w:val="007D32DD"/>
    <w:rsid w:val="007F2F4C"/>
    <w:rsid w:val="00813FBF"/>
    <w:rsid w:val="00814C35"/>
    <w:rsid w:val="00822B9A"/>
    <w:rsid w:val="00827742"/>
    <w:rsid w:val="00833E79"/>
    <w:rsid w:val="00835599"/>
    <w:rsid w:val="008364DC"/>
    <w:rsid w:val="008418C6"/>
    <w:rsid w:val="00842457"/>
    <w:rsid w:val="00850DC6"/>
    <w:rsid w:val="00851FB1"/>
    <w:rsid w:val="008610A8"/>
    <w:rsid w:val="00861C7A"/>
    <w:rsid w:val="008669B1"/>
    <w:rsid w:val="00874841"/>
    <w:rsid w:val="00875F14"/>
    <w:rsid w:val="00876F5D"/>
    <w:rsid w:val="008775ED"/>
    <w:rsid w:val="00883D0A"/>
    <w:rsid w:val="00883EF2"/>
    <w:rsid w:val="008848AB"/>
    <w:rsid w:val="00886353"/>
    <w:rsid w:val="0089023C"/>
    <w:rsid w:val="00893665"/>
    <w:rsid w:val="008937A3"/>
    <w:rsid w:val="00897CC2"/>
    <w:rsid w:val="008A1007"/>
    <w:rsid w:val="008A1604"/>
    <w:rsid w:val="008A3B9F"/>
    <w:rsid w:val="008A3EC6"/>
    <w:rsid w:val="008B0017"/>
    <w:rsid w:val="008B1A95"/>
    <w:rsid w:val="008B7DB0"/>
    <w:rsid w:val="008C0567"/>
    <w:rsid w:val="008C6004"/>
    <w:rsid w:val="008D2846"/>
    <w:rsid w:val="008E03BE"/>
    <w:rsid w:val="008E4A12"/>
    <w:rsid w:val="008E5071"/>
    <w:rsid w:val="008E6F49"/>
    <w:rsid w:val="008F15B9"/>
    <w:rsid w:val="008F7B19"/>
    <w:rsid w:val="00901F6D"/>
    <w:rsid w:val="00902C16"/>
    <w:rsid w:val="0091177A"/>
    <w:rsid w:val="00915CAD"/>
    <w:rsid w:val="009209B1"/>
    <w:rsid w:val="009215C6"/>
    <w:rsid w:val="00925869"/>
    <w:rsid w:val="00927261"/>
    <w:rsid w:val="009331B4"/>
    <w:rsid w:val="00934516"/>
    <w:rsid w:val="00934A52"/>
    <w:rsid w:val="009361B6"/>
    <w:rsid w:val="00936F83"/>
    <w:rsid w:val="00937013"/>
    <w:rsid w:val="009374DF"/>
    <w:rsid w:val="00943FF6"/>
    <w:rsid w:val="00944290"/>
    <w:rsid w:val="009459D5"/>
    <w:rsid w:val="0094797B"/>
    <w:rsid w:val="009511B9"/>
    <w:rsid w:val="00952743"/>
    <w:rsid w:val="009546A8"/>
    <w:rsid w:val="00955F6D"/>
    <w:rsid w:val="009573C2"/>
    <w:rsid w:val="009737B4"/>
    <w:rsid w:val="009759A1"/>
    <w:rsid w:val="00976070"/>
    <w:rsid w:val="00981113"/>
    <w:rsid w:val="00981471"/>
    <w:rsid w:val="009917F0"/>
    <w:rsid w:val="009A301E"/>
    <w:rsid w:val="009A3832"/>
    <w:rsid w:val="009A5E1C"/>
    <w:rsid w:val="009A7A28"/>
    <w:rsid w:val="009B6A2D"/>
    <w:rsid w:val="009C4F61"/>
    <w:rsid w:val="009C54C2"/>
    <w:rsid w:val="009D5BAB"/>
    <w:rsid w:val="009E4EC5"/>
    <w:rsid w:val="009E6ED4"/>
    <w:rsid w:val="009E7171"/>
    <w:rsid w:val="009F06CB"/>
    <w:rsid w:val="009F731B"/>
    <w:rsid w:val="009F758B"/>
    <w:rsid w:val="00A01CDB"/>
    <w:rsid w:val="00A27826"/>
    <w:rsid w:val="00A3157F"/>
    <w:rsid w:val="00A3213E"/>
    <w:rsid w:val="00A35BD3"/>
    <w:rsid w:val="00A446DF"/>
    <w:rsid w:val="00A44954"/>
    <w:rsid w:val="00A45F0D"/>
    <w:rsid w:val="00A5035B"/>
    <w:rsid w:val="00A507B8"/>
    <w:rsid w:val="00A53711"/>
    <w:rsid w:val="00A601C3"/>
    <w:rsid w:val="00A63B12"/>
    <w:rsid w:val="00A824AF"/>
    <w:rsid w:val="00A83DE0"/>
    <w:rsid w:val="00A85069"/>
    <w:rsid w:val="00A86A88"/>
    <w:rsid w:val="00A86F24"/>
    <w:rsid w:val="00A871CB"/>
    <w:rsid w:val="00A91902"/>
    <w:rsid w:val="00A92667"/>
    <w:rsid w:val="00AA1496"/>
    <w:rsid w:val="00AB388C"/>
    <w:rsid w:val="00AC4F72"/>
    <w:rsid w:val="00AD20FE"/>
    <w:rsid w:val="00AE0020"/>
    <w:rsid w:val="00AE0A3D"/>
    <w:rsid w:val="00AE13FE"/>
    <w:rsid w:val="00AE5BAD"/>
    <w:rsid w:val="00AE7C91"/>
    <w:rsid w:val="00AF256D"/>
    <w:rsid w:val="00B019D2"/>
    <w:rsid w:val="00B117C2"/>
    <w:rsid w:val="00B14023"/>
    <w:rsid w:val="00B20B32"/>
    <w:rsid w:val="00B3013F"/>
    <w:rsid w:val="00B329F9"/>
    <w:rsid w:val="00B33EE3"/>
    <w:rsid w:val="00B438F2"/>
    <w:rsid w:val="00B45EDF"/>
    <w:rsid w:val="00B4755F"/>
    <w:rsid w:val="00B556A6"/>
    <w:rsid w:val="00B70F01"/>
    <w:rsid w:val="00B737FF"/>
    <w:rsid w:val="00B74D9C"/>
    <w:rsid w:val="00B76EA2"/>
    <w:rsid w:val="00B810AC"/>
    <w:rsid w:val="00B81256"/>
    <w:rsid w:val="00B9000F"/>
    <w:rsid w:val="00B91D6D"/>
    <w:rsid w:val="00B92FEE"/>
    <w:rsid w:val="00B9460B"/>
    <w:rsid w:val="00BA2CEB"/>
    <w:rsid w:val="00BB7B6E"/>
    <w:rsid w:val="00BC052F"/>
    <w:rsid w:val="00BC068A"/>
    <w:rsid w:val="00BD4114"/>
    <w:rsid w:val="00BD4C5D"/>
    <w:rsid w:val="00BD4D14"/>
    <w:rsid w:val="00BD67D0"/>
    <w:rsid w:val="00BE0DBD"/>
    <w:rsid w:val="00BE4AC7"/>
    <w:rsid w:val="00BE6D20"/>
    <w:rsid w:val="00BF5579"/>
    <w:rsid w:val="00BF78E3"/>
    <w:rsid w:val="00C07A8D"/>
    <w:rsid w:val="00C10CE1"/>
    <w:rsid w:val="00C13538"/>
    <w:rsid w:val="00C13DB4"/>
    <w:rsid w:val="00C16A65"/>
    <w:rsid w:val="00C27475"/>
    <w:rsid w:val="00C348A8"/>
    <w:rsid w:val="00C47BFB"/>
    <w:rsid w:val="00C54226"/>
    <w:rsid w:val="00C641CB"/>
    <w:rsid w:val="00C65B7C"/>
    <w:rsid w:val="00C667DF"/>
    <w:rsid w:val="00C67B49"/>
    <w:rsid w:val="00C73BA9"/>
    <w:rsid w:val="00C84589"/>
    <w:rsid w:val="00C8595C"/>
    <w:rsid w:val="00C90D45"/>
    <w:rsid w:val="00CA41AF"/>
    <w:rsid w:val="00CA4212"/>
    <w:rsid w:val="00CA751B"/>
    <w:rsid w:val="00CB248A"/>
    <w:rsid w:val="00CB6AB5"/>
    <w:rsid w:val="00CD2ABF"/>
    <w:rsid w:val="00CD4245"/>
    <w:rsid w:val="00CE5D88"/>
    <w:rsid w:val="00CE70AB"/>
    <w:rsid w:val="00D0160E"/>
    <w:rsid w:val="00D05CFA"/>
    <w:rsid w:val="00D244A7"/>
    <w:rsid w:val="00D30389"/>
    <w:rsid w:val="00D304C8"/>
    <w:rsid w:val="00D30D35"/>
    <w:rsid w:val="00D4144E"/>
    <w:rsid w:val="00D4639F"/>
    <w:rsid w:val="00D65AAE"/>
    <w:rsid w:val="00D70FEC"/>
    <w:rsid w:val="00D74365"/>
    <w:rsid w:val="00D75EC2"/>
    <w:rsid w:val="00D75FE1"/>
    <w:rsid w:val="00D80BD1"/>
    <w:rsid w:val="00D94525"/>
    <w:rsid w:val="00D9670E"/>
    <w:rsid w:val="00DA2C5B"/>
    <w:rsid w:val="00DC00B2"/>
    <w:rsid w:val="00DC299B"/>
    <w:rsid w:val="00DC73FD"/>
    <w:rsid w:val="00DD1D39"/>
    <w:rsid w:val="00DD532A"/>
    <w:rsid w:val="00DE207A"/>
    <w:rsid w:val="00DF07FB"/>
    <w:rsid w:val="00DF106B"/>
    <w:rsid w:val="00DF2222"/>
    <w:rsid w:val="00DF25A3"/>
    <w:rsid w:val="00E0063E"/>
    <w:rsid w:val="00E01E30"/>
    <w:rsid w:val="00E10C75"/>
    <w:rsid w:val="00E13016"/>
    <w:rsid w:val="00E14C3C"/>
    <w:rsid w:val="00E267E6"/>
    <w:rsid w:val="00E31E41"/>
    <w:rsid w:val="00E32368"/>
    <w:rsid w:val="00E36EAC"/>
    <w:rsid w:val="00E42BBE"/>
    <w:rsid w:val="00E43B63"/>
    <w:rsid w:val="00E529F9"/>
    <w:rsid w:val="00E53137"/>
    <w:rsid w:val="00E60548"/>
    <w:rsid w:val="00E63487"/>
    <w:rsid w:val="00E65894"/>
    <w:rsid w:val="00E6786C"/>
    <w:rsid w:val="00E67A80"/>
    <w:rsid w:val="00E73BA3"/>
    <w:rsid w:val="00E76581"/>
    <w:rsid w:val="00E772C0"/>
    <w:rsid w:val="00E77D40"/>
    <w:rsid w:val="00E86837"/>
    <w:rsid w:val="00E87B8A"/>
    <w:rsid w:val="00E93113"/>
    <w:rsid w:val="00E936F6"/>
    <w:rsid w:val="00EA1EA7"/>
    <w:rsid w:val="00EA395E"/>
    <w:rsid w:val="00EA68B2"/>
    <w:rsid w:val="00EB0968"/>
    <w:rsid w:val="00EB2A11"/>
    <w:rsid w:val="00EC1C57"/>
    <w:rsid w:val="00EC7E0A"/>
    <w:rsid w:val="00ED00AF"/>
    <w:rsid w:val="00ED52F8"/>
    <w:rsid w:val="00ED7949"/>
    <w:rsid w:val="00EE3B7D"/>
    <w:rsid w:val="00EF37F4"/>
    <w:rsid w:val="00EF7293"/>
    <w:rsid w:val="00F14233"/>
    <w:rsid w:val="00F14583"/>
    <w:rsid w:val="00F16547"/>
    <w:rsid w:val="00F16840"/>
    <w:rsid w:val="00F20B33"/>
    <w:rsid w:val="00F2103E"/>
    <w:rsid w:val="00F22C9F"/>
    <w:rsid w:val="00F2386B"/>
    <w:rsid w:val="00F239D6"/>
    <w:rsid w:val="00F25073"/>
    <w:rsid w:val="00F267E0"/>
    <w:rsid w:val="00F27189"/>
    <w:rsid w:val="00F349C6"/>
    <w:rsid w:val="00F376B7"/>
    <w:rsid w:val="00F37D4B"/>
    <w:rsid w:val="00F37FEE"/>
    <w:rsid w:val="00F443D7"/>
    <w:rsid w:val="00F46717"/>
    <w:rsid w:val="00F50E77"/>
    <w:rsid w:val="00F53BB2"/>
    <w:rsid w:val="00F6097D"/>
    <w:rsid w:val="00F71990"/>
    <w:rsid w:val="00F75027"/>
    <w:rsid w:val="00F7592D"/>
    <w:rsid w:val="00F77B6D"/>
    <w:rsid w:val="00F77BD9"/>
    <w:rsid w:val="00F816A9"/>
    <w:rsid w:val="00F83629"/>
    <w:rsid w:val="00F87B5D"/>
    <w:rsid w:val="00F9593B"/>
    <w:rsid w:val="00F97382"/>
    <w:rsid w:val="00FA03CA"/>
    <w:rsid w:val="00FA458F"/>
    <w:rsid w:val="00FA4DC9"/>
    <w:rsid w:val="00FB08ED"/>
    <w:rsid w:val="00FC16BC"/>
    <w:rsid w:val="00FC2DCE"/>
    <w:rsid w:val="00FC2EDB"/>
    <w:rsid w:val="00FC55EA"/>
    <w:rsid w:val="00FD039C"/>
    <w:rsid w:val="00FD2574"/>
    <w:rsid w:val="00FD4AC8"/>
    <w:rsid w:val="00FF04BC"/>
    <w:rsid w:val="00FF13DA"/>
    <w:rsid w:val="00FF23F1"/>
    <w:rsid w:val="00FF2C09"/>
    <w:rsid w:val="00FF4BF7"/>
    <w:rsid w:val="00FF6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28E92"/>
  <w15:chartTrackingRefBased/>
  <w15:docId w15:val="{5B6C0CE9-7929-4705-833E-9C855C083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213E"/>
    <w:pPr>
      <w:spacing w:after="160" w:line="259" w:lineRule="auto"/>
      <w:contextualSpacing/>
    </w:pPr>
    <w:rPr>
      <w:sz w:val="22"/>
      <w:szCs w:val="22"/>
    </w:rPr>
  </w:style>
  <w:style w:type="paragraph" w:styleId="Heading1">
    <w:name w:val="heading 1"/>
    <w:basedOn w:val="Normal"/>
    <w:next w:val="Normal"/>
    <w:link w:val="Heading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autoRedefine/>
    <w:uiPriority w:val="9"/>
    <w:unhideWhenUsed/>
    <w:qFormat/>
    <w:rsid w:val="000062EC"/>
    <w:pPr>
      <w:keepNext/>
      <w:spacing w:before="240" w:after="60"/>
      <w:outlineLvl w:val="1"/>
    </w:pPr>
    <w:rPr>
      <w:rFonts w:ascii="Arial" w:eastAsia="MS Mincho" w:hAnsi="Arial" w:cs="Arial"/>
      <w:bCs/>
      <w:iCs/>
      <w:sz w:val="24"/>
      <w:szCs w:val="28"/>
      <w:lang w:val="en-GB" w:eastAsia="en-GB"/>
    </w:rPr>
  </w:style>
  <w:style w:type="paragraph" w:styleId="Heading3">
    <w:name w:val="heading 3"/>
    <w:basedOn w:val="Normal"/>
    <w:next w:val="Normal"/>
    <w:link w:val="Heading3Char"/>
    <w:uiPriority w:val="9"/>
    <w:unhideWhenUsed/>
    <w:qFormat/>
    <w:rsid w:val="005554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0063E"/>
    <w:pPr>
      <w:tabs>
        <w:tab w:val="center" w:pos="4680"/>
        <w:tab w:val="right" w:pos="9360"/>
      </w:tabs>
    </w:pPr>
  </w:style>
  <w:style w:type="character" w:customStyle="1" w:styleId="FooterChar">
    <w:name w:val="Footer Char"/>
    <w:link w:val="Footer"/>
    <w:uiPriority w:val="99"/>
    <w:semiHidden/>
    <w:rsid w:val="00E0063E"/>
    <w:rPr>
      <w:sz w:val="22"/>
      <w:szCs w:val="22"/>
    </w:rPr>
  </w:style>
  <w:style w:type="character" w:customStyle="1" w:styleId="Heading1Char">
    <w:name w:val="Heading 1 Char"/>
    <w:link w:val="Heading1"/>
    <w:uiPriority w:val="9"/>
    <w:rsid w:val="0049247B"/>
    <w:rPr>
      <w:rFonts w:ascii="Calibri Light" w:eastAsia="Times New Roman" w:hAnsi="Calibri Light"/>
      <w:color w:val="2E74B5"/>
      <w:sz w:val="32"/>
      <w:szCs w:val="32"/>
    </w:rPr>
  </w:style>
  <w:style w:type="paragraph" w:styleId="FootnoteText">
    <w:name w:val="footnote text"/>
    <w:basedOn w:val="Normal"/>
    <w:link w:val="FootnoteTextChar"/>
    <w:uiPriority w:val="99"/>
    <w:semiHidden/>
    <w:unhideWhenUsed/>
    <w:rsid w:val="0049247B"/>
    <w:rPr>
      <w:sz w:val="20"/>
      <w:szCs w:val="20"/>
    </w:rPr>
  </w:style>
  <w:style w:type="character" w:customStyle="1" w:styleId="FootnoteTextChar">
    <w:name w:val="Footnote Text Char"/>
    <w:basedOn w:val="DefaultParagraphFont"/>
    <w:link w:val="FootnoteText"/>
    <w:uiPriority w:val="99"/>
    <w:semiHidden/>
    <w:rsid w:val="0049247B"/>
  </w:style>
  <w:style w:type="character" w:styleId="FootnoteReference">
    <w:name w:val="footnote reference"/>
    <w:uiPriority w:val="99"/>
    <w:semiHidden/>
    <w:unhideWhenUsed/>
    <w:rsid w:val="0049247B"/>
    <w:rPr>
      <w:vertAlign w:val="superscript"/>
    </w:rPr>
  </w:style>
  <w:style w:type="paragraph" w:styleId="Bibliography">
    <w:name w:val="Bibliography"/>
    <w:basedOn w:val="Normal"/>
    <w:next w:val="Normal"/>
    <w:uiPriority w:val="37"/>
    <w:unhideWhenUsed/>
    <w:rsid w:val="0049247B"/>
  </w:style>
  <w:style w:type="paragraph" w:customStyle="1" w:styleId="Tdoc">
    <w:name w:val="Tdoc"/>
    <w:basedOn w:val="Normal"/>
    <w:link w:val="TdocChar"/>
    <w:qFormat/>
    <w:rsid w:val="0049247B"/>
    <w:pPr>
      <w:keepNext/>
      <w:keepLines/>
      <w:widowControl w:val="0"/>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CommentReference">
    <w:name w:val="annotation reference"/>
    <w:uiPriority w:val="99"/>
    <w:semiHidden/>
    <w:unhideWhenUsed/>
    <w:rsid w:val="00D30D35"/>
    <w:rPr>
      <w:sz w:val="21"/>
      <w:szCs w:val="21"/>
    </w:rPr>
  </w:style>
  <w:style w:type="paragraph" w:styleId="CommentText">
    <w:name w:val="annotation text"/>
    <w:basedOn w:val="Normal"/>
    <w:link w:val="CommentTextChar"/>
    <w:uiPriority w:val="99"/>
    <w:semiHidden/>
    <w:unhideWhenUsed/>
    <w:rsid w:val="00D30D35"/>
  </w:style>
  <w:style w:type="character" w:customStyle="1" w:styleId="CommentTextChar">
    <w:name w:val="Comment Text Char"/>
    <w:link w:val="CommentText"/>
    <w:uiPriority w:val="99"/>
    <w:semiHidden/>
    <w:rsid w:val="00D30D35"/>
    <w:rPr>
      <w:sz w:val="22"/>
      <w:szCs w:val="22"/>
    </w:rPr>
  </w:style>
  <w:style w:type="paragraph" w:styleId="CommentSubject">
    <w:name w:val="annotation subject"/>
    <w:basedOn w:val="CommentText"/>
    <w:next w:val="CommentText"/>
    <w:link w:val="CommentSubjectChar"/>
    <w:uiPriority w:val="99"/>
    <w:semiHidden/>
    <w:unhideWhenUsed/>
    <w:rsid w:val="00D30D35"/>
    <w:rPr>
      <w:b/>
      <w:bCs/>
    </w:rPr>
  </w:style>
  <w:style w:type="character" w:customStyle="1" w:styleId="CommentSubjectChar">
    <w:name w:val="Comment Subject Char"/>
    <w:link w:val="CommentSubject"/>
    <w:uiPriority w:val="99"/>
    <w:semiHidden/>
    <w:rsid w:val="00D30D35"/>
    <w:rPr>
      <w:b/>
      <w:bCs/>
      <w:sz w:val="22"/>
      <w:szCs w:val="22"/>
    </w:rPr>
  </w:style>
  <w:style w:type="paragraph" w:styleId="BalloonText">
    <w:name w:val="Balloon Text"/>
    <w:basedOn w:val="Normal"/>
    <w:link w:val="BalloonTextChar"/>
    <w:uiPriority w:val="99"/>
    <w:semiHidden/>
    <w:unhideWhenUsed/>
    <w:rsid w:val="00D30D35"/>
    <w:pPr>
      <w:spacing w:after="0" w:line="240" w:lineRule="auto"/>
    </w:pPr>
    <w:rPr>
      <w:sz w:val="18"/>
      <w:szCs w:val="18"/>
    </w:rPr>
  </w:style>
  <w:style w:type="character" w:customStyle="1" w:styleId="BalloonTextChar">
    <w:name w:val="Balloon Text Char"/>
    <w:link w:val="BalloonText"/>
    <w:uiPriority w:val="99"/>
    <w:semiHidden/>
    <w:rsid w:val="00D30D35"/>
    <w:rPr>
      <w:sz w:val="18"/>
      <w:szCs w:val="18"/>
    </w:rPr>
  </w:style>
  <w:style w:type="paragraph" w:styleId="ListParagraph">
    <w:name w:val="List Paragraph"/>
    <w:basedOn w:val="Normal"/>
    <w:uiPriority w:val="34"/>
    <w:qFormat/>
    <w:rsid w:val="00D74365"/>
    <w:pPr>
      <w:ind w:left="720"/>
    </w:pPr>
  </w:style>
  <w:style w:type="table" w:styleId="TableGrid">
    <w:name w:val="Table Grid"/>
    <w:basedOn w:val="TableNormal"/>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Normal"/>
    <w:link w:val="Doc-text2Char"/>
    <w:qFormat/>
    <w:rsid w:val="002F153B"/>
    <w:pPr>
      <w:tabs>
        <w:tab w:val="left" w:pos="1622"/>
      </w:tabs>
      <w:spacing w:after="0" w:line="240" w:lineRule="auto"/>
      <w:ind w:left="1622" w:hanging="363"/>
    </w:pPr>
    <w:rPr>
      <w:rFonts w:ascii="Arial" w:eastAsia="MS Mincho" w:hAnsi="Arial" w:cs="Arial"/>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137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Heading2Char">
    <w:name w:val="Heading 2 Char"/>
    <w:link w:val="Heading2"/>
    <w:uiPriority w:val="9"/>
    <w:rsid w:val="000062EC"/>
    <w:rPr>
      <w:rFonts w:ascii="Arial" w:eastAsia="MS Mincho" w:hAnsi="Arial" w:cs="Arial"/>
      <w:bCs/>
      <w:iCs/>
      <w:sz w:val="24"/>
      <w:szCs w:val="28"/>
      <w:lang w:val="en-GB" w:eastAsia="en-GB"/>
    </w:rPr>
  </w:style>
  <w:style w:type="paragraph" w:customStyle="1" w:styleId="Guidance">
    <w:name w:val="Guidance"/>
    <w:basedOn w:val="Normal"/>
    <w:rsid w:val="001C137C"/>
    <w:pPr>
      <w:spacing w:after="180" w:line="240" w:lineRule="auto"/>
    </w:pPr>
    <w:rPr>
      <w:rFonts w:ascii="Times New Roman" w:eastAsia="Malgun Gothic" w:hAnsi="Times New Roman"/>
      <w:i/>
      <w:color w:val="0000FF"/>
      <w:sz w:val="20"/>
      <w:szCs w:val="20"/>
      <w:lang w:val="en-GB"/>
    </w:rPr>
  </w:style>
  <w:style w:type="paragraph" w:styleId="NormalWeb">
    <w:name w:val="Normal (Web)"/>
    <w:basedOn w:val="Normal"/>
    <w:uiPriority w:val="99"/>
    <w:semiHidden/>
    <w:unhideWhenUsed/>
    <w:rsid w:val="00AF256D"/>
    <w:pPr>
      <w:spacing w:before="100" w:beforeAutospacing="1" w:after="100" w:afterAutospacing="1" w:line="240" w:lineRule="auto"/>
    </w:pPr>
    <w:rPr>
      <w:rFonts w:ascii="Times New Roman" w:eastAsia="Times New Roman" w:hAnsi="Times New Roman"/>
      <w:sz w:val="24"/>
      <w:szCs w:val="24"/>
    </w:rPr>
  </w:style>
  <w:style w:type="paragraph" w:styleId="Quote">
    <w:name w:val="Quote"/>
    <w:basedOn w:val="Normal"/>
    <w:next w:val="Normal"/>
    <w:link w:val="QuoteChar"/>
    <w:uiPriority w:val="29"/>
    <w:qFormat/>
    <w:rsid w:val="007D05E3"/>
    <w:pPr>
      <w:spacing w:before="200"/>
      <w:ind w:left="864" w:right="864"/>
      <w:jc w:val="center"/>
    </w:pPr>
    <w:rPr>
      <w:i/>
      <w:iCs/>
      <w:color w:val="404040"/>
    </w:rPr>
  </w:style>
  <w:style w:type="character" w:customStyle="1" w:styleId="QuoteChar">
    <w:name w:val="Quote Char"/>
    <w:basedOn w:val="DefaultParagraphFont"/>
    <w:link w:val="Quote"/>
    <w:uiPriority w:val="29"/>
    <w:rsid w:val="007D05E3"/>
    <w:rPr>
      <w:i/>
      <w:iCs/>
      <w:color w:val="404040"/>
      <w:sz w:val="22"/>
      <w:szCs w:val="22"/>
    </w:rPr>
  </w:style>
  <w:style w:type="table" w:customStyle="1" w:styleId="TableGrid1">
    <w:name w:val="Table Grid1"/>
    <w:basedOn w:val="TableNormal"/>
    <w:next w:val="TableGrid"/>
    <w:uiPriority w:val="39"/>
    <w:rsid w:val="000760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555440"/>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2403">
      <w:bodyDiv w:val="1"/>
      <w:marLeft w:val="0"/>
      <w:marRight w:val="0"/>
      <w:marTop w:val="0"/>
      <w:marBottom w:val="0"/>
      <w:divBdr>
        <w:top w:val="none" w:sz="0" w:space="0" w:color="auto"/>
        <w:left w:val="none" w:sz="0" w:space="0" w:color="auto"/>
        <w:bottom w:val="none" w:sz="0" w:space="0" w:color="auto"/>
        <w:right w:val="none" w:sz="0" w:space="0" w:color="auto"/>
      </w:divBdr>
    </w:div>
    <w:div w:id="11348160">
      <w:bodyDiv w:val="1"/>
      <w:marLeft w:val="0"/>
      <w:marRight w:val="0"/>
      <w:marTop w:val="0"/>
      <w:marBottom w:val="0"/>
      <w:divBdr>
        <w:top w:val="none" w:sz="0" w:space="0" w:color="auto"/>
        <w:left w:val="none" w:sz="0" w:space="0" w:color="auto"/>
        <w:bottom w:val="none" w:sz="0" w:space="0" w:color="auto"/>
        <w:right w:val="none" w:sz="0" w:space="0" w:color="auto"/>
      </w:divBdr>
    </w:div>
    <w:div w:id="30347016">
      <w:bodyDiv w:val="1"/>
      <w:marLeft w:val="0"/>
      <w:marRight w:val="0"/>
      <w:marTop w:val="0"/>
      <w:marBottom w:val="0"/>
      <w:divBdr>
        <w:top w:val="none" w:sz="0" w:space="0" w:color="auto"/>
        <w:left w:val="none" w:sz="0" w:space="0" w:color="auto"/>
        <w:bottom w:val="none" w:sz="0" w:space="0" w:color="auto"/>
        <w:right w:val="none" w:sz="0" w:space="0" w:color="auto"/>
      </w:divBdr>
    </w:div>
    <w:div w:id="30499477">
      <w:bodyDiv w:val="1"/>
      <w:marLeft w:val="0"/>
      <w:marRight w:val="0"/>
      <w:marTop w:val="0"/>
      <w:marBottom w:val="0"/>
      <w:divBdr>
        <w:top w:val="none" w:sz="0" w:space="0" w:color="auto"/>
        <w:left w:val="none" w:sz="0" w:space="0" w:color="auto"/>
        <w:bottom w:val="none" w:sz="0" w:space="0" w:color="auto"/>
        <w:right w:val="none" w:sz="0" w:space="0" w:color="auto"/>
      </w:divBdr>
    </w:div>
    <w:div w:id="42606147">
      <w:bodyDiv w:val="1"/>
      <w:marLeft w:val="0"/>
      <w:marRight w:val="0"/>
      <w:marTop w:val="0"/>
      <w:marBottom w:val="0"/>
      <w:divBdr>
        <w:top w:val="none" w:sz="0" w:space="0" w:color="auto"/>
        <w:left w:val="none" w:sz="0" w:space="0" w:color="auto"/>
        <w:bottom w:val="none" w:sz="0" w:space="0" w:color="auto"/>
        <w:right w:val="none" w:sz="0" w:space="0" w:color="auto"/>
      </w:divBdr>
    </w:div>
    <w:div w:id="47845222">
      <w:bodyDiv w:val="1"/>
      <w:marLeft w:val="0"/>
      <w:marRight w:val="0"/>
      <w:marTop w:val="0"/>
      <w:marBottom w:val="0"/>
      <w:divBdr>
        <w:top w:val="none" w:sz="0" w:space="0" w:color="auto"/>
        <w:left w:val="none" w:sz="0" w:space="0" w:color="auto"/>
        <w:bottom w:val="none" w:sz="0" w:space="0" w:color="auto"/>
        <w:right w:val="none" w:sz="0" w:space="0" w:color="auto"/>
      </w:divBdr>
    </w:div>
    <w:div w:id="52894321">
      <w:bodyDiv w:val="1"/>
      <w:marLeft w:val="0"/>
      <w:marRight w:val="0"/>
      <w:marTop w:val="0"/>
      <w:marBottom w:val="0"/>
      <w:divBdr>
        <w:top w:val="none" w:sz="0" w:space="0" w:color="auto"/>
        <w:left w:val="none" w:sz="0" w:space="0" w:color="auto"/>
        <w:bottom w:val="none" w:sz="0" w:space="0" w:color="auto"/>
        <w:right w:val="none" w:sz="0" w:space="0" w:color="auto"/>
      </w:divBdr>
    </w:div>
    <w:div w:id="52898815">
      <w:bodyDiv w:val="1"/>
      <w:marLeft w:val="0"/>
      <w:marRight w:val="0"/>
      <w:marTop w:val="0"/>
      <w:marBottom w:val="0"/>
      <w:divBdr>
        <w:top w:val="none" w:sz="0" w:space="0" w:color="auto"/>
        <w:left w:val="none" w:sz="0" w:space="0" w:color="auto"/>
        <w:bottom w:val="none" w:sz="0" w:space="0" w:color="auto"/>
        <w:right w:val="none" w:sz="0" w:space="0" w:color="auto"/>
      </w:divBdr>
    </w:div>
    <w:div w:id="53043219">
      <w:bodyDiv w:val="1"/>
      <w:marLeft w:val="0"/>
      <w:marRight w:val="0"/>
      <w:marTop w:val="0"/>
      <w:marBottom w:val="0"/>
      <w:divBdr>
        <w:top w:val="none" w:sz="0" w:space="0" w:color="auto"/>
        <w:left w:val="none" w:sz="0" w:space="0" w:color="auto"/>
        <w:bottom w:val="none" w:sz="0" w:space="0" w:color="auto"/>
        <w:right w:val="none" w:sz="0" w:space="0" w:color="auto"/>
      </w:divBdr>
    </w:div>
    <w:div w:id="55785618">
      <w:bodyDiv w:val="1"/>
      <w:marLeft w:val="0"/>
      <w:marRight w:val="0"/>
      <w:marTop w:val="0"/>
      <w:marBottom w:val="0"/>
      <w:divBdr>
        <w:top w:val="none" w:sz="0" w:space="0" w:color="auto"/>
        <w:left w:val="none" w:sz="0" w:space="0" w:color="auto"/>
        <w:bottom w:val="none" w:sz="0" w:space="0" w:color="auto"/>
        <w:right w:val="none" w:sz="0" w:space="0" w:color="auto"/>
      </w:divBdr>
    </w:div>
    <w:div w:id="61760574">
      <w:bodyDiv w:val="1"/>
      <w:marLeft w:val="0"/>
      <w:marRight w:val="0"/>
      <w:marTop w:val="0"/>
      <w:marBottom w:val="0"/>
      <w:divBdr>
        <w:top w:val="none" w:sz="0" w:space="0" w:color="auto"/>
        <w:left w:val="none" w:sz="0" w:space="0" w:color="auto"/>
        <w:bottom w:val="none" w:sz="0" w:space="0" w:color="auto"/>
        <w:right w:val="none" w:sz="0" w:space="0" w:color="auto"/>
      </w:divBdr>
    </w:div>
    <w:div w:id="72902198">
      <w:bodyDiv w:val="1"/>
      <w:marLeft w:val="0"/>
      <w:marRight w:val="0"/>
      <w:marTop w:val="0"/>
      <w:marBottom w:val="0"/>
      <w:divBdr>
        <w:top w:val="none" w:sz="0" w:space="0" w:color="auto"/>
        <w:left w:val="none" w:sz="0" w:space="0" w:color="auto"/>
        <w:bottom w:val="none" w:sz="0" w:space="0" w:color="auto"/>
        <w:right w:val="none" w:sz="0" w:space="0" w:color="auto"/>
      </w:divBdr>
    </w:div>
    <w:div w:id="73668887">
      <w:bodyDiv w:val="1"/>
      <w:marLeft w:val="0"/>
      <w:marRight w:val="0"/>
      <w:marTop w:val="0"/>
      <w:marBottom w:val="0"/>
      <w:divBdr>
        <w:top w:val="none" w:sz="0" w:space="0" w:color="auto"/>
        <w:left w:val="none" w:sz="0" w:space="0" w:color="auto"/>
        <w:bottom w:val="none" w:sz="0" w:space="0" w:color="auto"/>
        <w:right w:val="none" w:sz="0" w:space="0" w:color="auto"/>
      </w:divBdr>
    </w:div>
    <w:div w:id="79913096">
      <w:bodyDiv w:val="1"/>
      <w:marLeft w:val="0"/>
      <w:marRight w:val="0"/>
      <w:marTop w:val="0"/>
      <w:marBottom w:val="0"/>
      <w:divBdr>
        <w:top w:val="none" w:sz="0" w:space="0" w:color="auto"/>
        <w:left w:val="none" w:sz="0" w:space="0" w:color="auto"/>
        <w:bottom w:val="none" w:sz="0" w:space="0" w:color="auto"/>
        <w:right w:val="none" w:sz="0" w:space="0" w:color="auto"/>
      </w:divBdr>
    </w:div>
    <w:div w:id="86660081">
      <w:bodyDiv w:val="1"/>
      <w:marLeft w:val="0"/>
      <w:marRight w:val="0"/>
      <w:marTop w:val="0"/>
      <w:marBottom w:val="0"/>
      <w:divBdr>
        <w:top w:val="none" w:sz="0" w:space="0" w:color="auto"/>
        <w:left w:val="none" w:sz="0" w:space="0" w:color="auto"/>
        <w:bottom w:val="none" w:sz="0" w:space="0" w:color="auto"/>
        <w:right w:val="none" w:sz="0" w:space="0" w:color="auto"/>
      </w:divBdr>
    </w:div>
    <w:div w:id="91977770">
      <w:bodyDiv w:val="1"/>
      <w:marLeft w:val="0"/>
      <w:marRight w:val="0"/>
      <w:marTop w:val="0"/>
      <w:marBottom w:val="0"/>
      <w:divBdr>
        <w:top w:val="none" w:sz="0" w:space="0" w:color="auto"/>
        <w:left w:val="none" w:sz="0" w:space="0" w:color="auto"/>
        <w:bottom w:val="none" w:sz="0" w:space="0" w:color="auto"/>
        <w:right w:val="none" w:sz="0" w:space="0" w:color="auto"/>
      </w:divBdr>
    </w:div>
    <w:div w:id="95256169">
      <w:bodyDiv w:val="1"/>
      <w:marLeft w:val="0"/>
      <w:marRight w:val="0"/>
      <w:marTop w:val="0"/>
      <w:marBottom w:val="0"/>
      <w:divBdr>
        <w:top w:val="none" w:sz="0" w:space="0" w:color="auto"/>
        <w:left w:val="none" w:sz="0" w:space="0" w:color="auto"/>
        <w:bottom w:val="none" w:sz="0" w:space="0" w:color="auto"/>
        <w:right w:val="none" w:sz="0" w:space="0" w:color="auto"/>
      </w:divBdr>
    </w:div>
    <w:div w:id="104930411">
      <w:bodyDiv w:val="1"/>
      <w:marLeft w:val="0"/>
      <w:marRight w:val="0"/>
      <w:marTop w:val="0"/>
      <w:marBottom w:val="0"/>
      <w:divBdr>
        <w:top w:val="none" w:sz="0" w:space="0" w:color="auto"/>
        <w:left w:val="none" w:sz="0" w:space="0" w:color="auto"/>
        <w:bottom w:val="none" w:sz="0" w:space="0" w:color="auto"/>
        <w:right w:val="none" w:sz="0" w:space="0" w:color="auto"/>
      </w:divBdr>
    </w:div>
    <w:div w:id="107509870">
      <w:bodyDiv w:val="1"/>
      <w:marLeft w:val="0"/>
      <w:marRight w:val="0"/>
      <w:marTop w:val="0"/>
      <w:marBottom w:val="0"/>
      <w:divBdr>
        <w:top w:val="none" w:sz="0" w:space="0" w:color="auto"/>
        <w:left w:val="none" w:sz="0" w:space="0" w:color="auto"/>
        <w:bottom w:val="none" w:sz="0" w:space="0" w:color="auto"/>
        <w:right w:val="none" w:sz="0" w:space="0" w:color="auto"/>
      </w:divBdr>
    </w:div>
    <w:div w:id="109321941">
      <w:bodyDiv w:val="1"/>
      <w:marLeft w:val="0"/>
      <w:marRight w:val="0"/>
      <w:marTop w:val="0"/>
      <w:marBottom w:val="0"/>
      <w:divBdr>
        <w:top w:val="none" w:sz="0" w:space="0" w:color="auto"/>
        <w:left w:val="none" w:sz="0" w:space="0" w:color="auto"/>
        <w:bottom w:val="none" w:sz="0" w:space="0" w:color="auto"/>
        <w:right w:val="none" w:sz="0" w:space="0" w:color="auto"/>
      </w:divBdr>
    </w:div>
    <w:div w:id="111100982">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18379039">
      <w:bodyDiv w:val="1"/>
      <w:marLeft w:val="0"/>
      <w:marRight w:val="0"/>
      <w:marTop w:val="0"/>
      <w:marBottom w:val="0"/>
      <w:divBdr>
        <w:top w:val="none" w:sz="0" w:space="0" w:color="auto"/>
        <w:left w:val="none" w:sz="0" w:space="0" w:color="auto"/>
        <w:bottom w:val="none" w:sz="0" w:space="0" w:color="auto"/>
        <w:right w:val="none" w:sz="0" w:space="0" w:color="auto"/>
      </w:divBdr>
    </w:div>
    <w:div w:id="134032669">
      <w:bodyDiv w:val="1"/>
      <w:marLeft w:val="0"/>
      <w:marRight w:val="0"/>
      <w:marTop w:val="0"/>
      <w:marBottom w:val="0"/>
      <w:divBdr>
        <w:top w:val="none" w:sz="0" w:space="0" w:color="auto"/>
        <w:left w:val="none" w:sz="0" w:space="0" w:color="auto"/>
        <w:bottom w:val="none" w:sz="0" w:space="0" w:color="auto"/>
        <w:right w:val="none" w:sz="0" w:space="0" w:color="auto"/>
      </w:divBdr>
    </w:div>
    <w:div w:id="135533277">
      <w:bodyDiv w:val="1"/>
      <w:marLeft w:val="0"/>
      <w:marRight w:val="0"/>
      <w:marTop w:val="0"/>
      <w:marBottom w:val="0"/>
      <w:divBdr>
        <w:top w:val="none" w:sz="0" w:space="0" w:color="auto"/>
        <w:left w:val="none" w:sz="0" w:space="0" w:color="auto"/>
        <w:bottom w:val="none" w:sz="0" w:space="0" w:color="auto"/>
        <w:right w:val="none" w:sz="0" w:space="0" w:color="auto"/>
      </w:divBdr>
    </w:div>
    <w:div w:id="140082300">
      <w:bodyDiv w:val="1"/>
      <w:marLeft w:val="0"/>
      <w:marRight w:val="0"/>
      <w:marTop w:val="0"/>
      <w:marBottom w:val="0"/>
      <w:divBdr>
        <w:top w:val="none" w:sz="0" w:space="0" w:color="auto"/>
        <w:left w:val="none" w:sz="0" w:space="0" w:color="auto"/>
        <w:bottom w:val="none" w:sz="0" w:space="0" w:color="auto"/>
        <w:right w:val="none" w:sz="0" w:space="0" w:color="auto"/>
      </w:divBdr>
    </w:div>
    <w:div w:id="143813191">
      <w:bodyDiv w:val="1"/>
      <w:marLeft w:val="0"/>
      <w:marRight w:val="0"/>
      <w:marTop w:val="0"/>
      <w:marBottom w:val="0"/>
      <w:divBdr>
        <w:top w:val="none" w:sz="0" w:space="0" w:color="auto"/>
        <w:left w:val="none" w:sz="0" w:space="0" w:color="auto"/>
        <w:bottom w:val="none" w:sz="0" w:space="0" w:color="auto"/>
        <w:right w:val="none" w:sz="0" w:space="0" w:color="auto"/>
      </w:divBdr>
    </w:div>
    <w:div w:id="144704831">
      <w:bodyDiv w:val="1"/>
      <w:marLeft w:val="0"/>
      <w:marRight w:val="0"/>
      <w:marTop w:val="0"/>
      <w:marBottom w:val="0"/>
      <w:divBdr>
        <w:top w:val="none" w:sz="0" w:space="0" w:color="auto"/>
        <w:left w:val="none" w:sz="0" w:space="0" w:color="auto"/>
        <w:bottom w:val="none" w:sz="0" w:space="0" w:color="auto"/>
        <w:right w:val="none" w:sz="0" w:space="0" w:color="auto"/>
      </w:divBdr>
    </w:div>
    <w:div w:id="153768037">
      <w:bodyDiv w:val="1"/>
      <w:marLeft w:val="0"/>
      <w:marRight w:val="0"/>
      <w:marTop w:val="0"/>
      <w:marBottom w:val="0"/>
      <w:divBdr>
        <w:top w:val="none" w:sz="0" w:space="0" w:color="auto"/>
        <w:left w:val="none" w:sz="0" w:space="0" w:color="auto"/>
        <w:bottom w:val="none" w:sz="0" w:space="0" w:color="auto"/>
        <w:right w:val="none" w:sz="0" w:space="0" w:color="auto"/>
      </w:divBdr>
    </w:div>
    <w:div w:id="163590623">
      <w:bodyDiv w:val="1"/>
      <w:marLeft w:val="0"/>
      <w:marRight w:val="0"/>
      <w:marTop w:val="0"/>
      <w:marBottom w:val="0"/>
      <w:divBdr>
        <w:top w:val="none" w:sz="0" w:space="0" w:color="auto"/>
        <w:left w:val="none" w:sz="0" w:space="0" w:color="auto"/>
        <w:bottom w:val="none" w:sz="0" w:space="0" w:color="auto"/>
        <w:right w:val="none" w:sz="0" w:space="0" w:color="auto"/>
      </w:divBdr>
    </w:div>
    <w:div w:id="177890674">
      <w:bodyDiv w:val="1"/>
      <w:marLeft w:val="0"/>
      <w:marRight w:val="0"/>
      <w:marTop w:val="0"/>
      <w:marBottom w:val="0"/>
      <w:divBdr>
        <w:top w:val="none" w:sz="0" w:space="0" w:color="auto"/>
        <w:left w:val="none" w:sz="0" w:space="0" w:color="auto"/>
        <w:bottom w:val="none" w:sz="0" w:space="0" w:color="auto"/>
        <w:right w:val="none" w:sz="0" w:space="0" w:color="auto"/>
      </w:divBdr>
    </w:div>
    <w:div w:id="183057779">
      <w:bodyDiv w:val="1"/>
      <w:marLeft w:val="0"/>
      <w:marRight w:val="0"/>
      <w:marTop w:val="0"/>
      <w:marBottom w:val="0"/>
      <w:divBdr>
        <w:top w:val="none" w:sz="0" w:space="0" w:color="auto"/>
        <w:left w:val="none" w:sz="0" w:space="0" w:color="auto"/>
        <w:bottom w:val="none" w:sz="0" w:space="0" w:color="auto"/>
        <w:right w:val="none" w:sz="0" w:space="0" w:color="auto"/>
      </w:divBdr>
    </w:div>
    <w:div w:id="189295260">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196354325">
      <w:bodyDiv w:val="1"/>
      <w:marLeft w:val="0"/>
      <w:marRight w:val="0"/>
      <w:marTop w:val="0"/>
      <w:marBottom w:val="0"/>
      <w:divBdr>
        <w:top w:val="none" w:sz="0" w:space="0" w:color="auto"/>
        <w:left w:val="none" w:sz="0" w:space="0" w:color="auto"/>
        <w:bottom w:val="none" w:sz="0" w:space="0" w:color="auto"/>
        <w:right w:val="none" w:sz="0" w:space="0" w:color="auto"/>
      </w:divBdr>
    </w:div>
    <w:div w:id="197591942">
      <w:bodyDiv w:val="1"/>
      <w:marLeft w:val="0"/>
      <w:marRight w:val="0"/>
      <w:marTop w:val="0"/>
      <w:marBottom w:val="0"/>
      <w:divBdr>
        <w:top w:val="none" w:sz="0" w:space="0" w:color="auto"/>
        <w:left w:val="none" w:sz="0" w:space="0" w:color="auto"/>
        <w:bottom w:val="none" w:sz="0" w:space="0" w:color="auto"/>
        <w:right w:val="none" w:sz="0" w:space="0" w:color="auto"/>
      </w:divBdr>
    </w:div>
    <w:div w:id="198664157">
      <w:bodyDiv w:val="1"/>
      <w:marLeft w:val="0"/>
      <w:marRight w:val="0"/>
      <w:marTop w:val="0"/>
      <w:marBottom w:val="0"/>
      <w:divBdr>
        <w:top w:val="none" w:sz="0" w:space="0" w:color="auto"/>
        <w:left w:val="none" w:sz="0" w:space="0" w:color="auto"/>
        <w:bottom w:val="none" w:sz="0" w:space="0" w:color="auto"/>
        <w:right w:val="none" w:sz="0" w:space="0" w:color="auto"/>
      </w:divBdr>
    </w:div>
    <w:div w:id="208734305">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15816884">
      <w:bodyDiv w:val="1"/>
      <w:marLeft w:val="0"/>
      <w:marRight w:val="0"/>
      <w:marTop w:val="0"/>
      <w:marBottom w:val="0"/>
      <w:divBdr>
        <w:top w:val="none" w:sz="0" w:space="0" w:color="auto"/>
        <w:left w:val="none" w:sz="0" w:space="0" w:color="auto"/>
        <w:bottom w:val="none" w:sz="0" w:space="0" w:color="auto"/>
        <w:right w:val="none" w:sz="0" w:space="0" w:color="auto"/>
      </w:divBdr>
    </w:div>
    <w:div w:id="220943000">
      <w:bodyDiv w:val="1"/>
      <w:marLeft w:val="0"/>
      <w:marRight w:val="0"/>
      <w:marTop w:val="0"/>
      <w:marBottom w:val="0"/>
      <w:divBdr>
        <w:top w:val="none" w:sz="0" w:space="0" w:color="auto"/>
        <w:left w:val="none" w:sz="0" w:space="0" w:color="auto"/>
        <w:bottom w:val="none" w:sz="0" w:space="0" w:color="auto"/>
        <w:right w:val="none" w:sz="0" w:space="0" w:color="auto"/>
      </w:divBdr>
    </w:div>
    <w:div w:id="229535510">
      <w:bodyDiv w:val="1"/>
      <w:marLeft w:val="0"/>
      <w:marRight w:val="0"/>
      <w:marTop w:val="0"/>
      <w:marBottom w:val="0"/>
      <w:divBdr>
        <w:top w:val="none" w:sz="0" w:space="0" w:color="auto"/>
        <w:left w:val="none" w:sz="0" w:space="0" w:color="auto"/>
        <w:bottom w:val="none" w:sz="0" w:space="0" w:color="auto"/>
        <w:right w:val="none" w:sz="0" w:space="0" w:color="auto"/>
      </w:divBdr>
    </w:div>
    <w:div w:id="233011096">
      <w:bodyDiv w:val="1"/>
      <w:marLeft w:val="0"/>
      <w:marRight w:val="0"/>
      <w:marTop w:val="0"/>
      <w:marBottom w:val="0"/>
      <w:divBdr>
        <w:top w:val="none" w:sz="0" w:space="0" w:color="auto"/>
        <w:left w:val="none" w:sz="0" w:space="0" w:color="auto"/>
        <w:bottom w:val="none" w:sz="0" w:space="0" w:color="auto"/>
        <w:right w:val="none" w:sz="0" w:space="0" w:color="auto"/>
      </w:divBdr>
    </w:div>
    <w:div w:id="253900960">
      <w:bodyDiv w:val="1"/>
      <w:marLeft w:val="0"/>
      <w:marRight w:val="0"/>
      <w:marTop w:val="0"/>
      <w:marBottom w:val="0"/>
      <w:divBdr>
        <w:top w:val="none" w:sz="0" w:space="0" w:color="auto"/>
        <w:left w:val="none" w:sz="0" w:space="0" w:color="auto"/>
        <w:bottom w:val="none" w:sz="0" w:space="0" w:color="auto"/>
        <w:right w:val="none" w:sz="0" w:space="0" w:color="auto"/>
      </w:divBdr>
    </w:div>
    <w:div w:id="255747725">
      <w:bodyDiv w:val="1"/>
      <w:marLeft w:val="0"/>
      <w:marRight w:val="0"/>
      <w:marTop w:val="0"/>
      <w:marBottom w:val="0"/>
      <w:divBdr>
        <w:top w:val="none" w:sz="0" w:space="0" w:color="auto"/>
        <w:left w:val="none" w:sz="0" w:space="0" w:color="auto"/>
        <w:bottom w:val="none" w:sz="0" w:space="0" w:color="auto"/>
        <w:right w:val="none" w:sz="0" w:space="0" w:color="auto"/>
      </w:divBdr>
    </w:div>
    <w:div w:id="269775491">
      <w:bodyDiv w:val="1"/>
      <w:marLeft w:val="0"/>
      <w:marRight w:val="0"/>
      <w:marTop w:val="0"/>
      <w:marBottom w:val="0"/>
      <w:divBdr>
        <w:top w:val="none" w:sz="0" w:space="0" w:color="auto"/>
        <w:left w:val="none" w:sz="0" w:space="0" w:color="auto"/>
        <w:bottom w:val="none" w:sz="0" w:space="0" w:color="auto"/>
        <w:right w:val="none" w:sz="0" w:space="0" w:color="auto"/>
      </w:divBdr>
    </w:div>
    <w:div w:id="270208367">
      <w:bodyDiv w:val="1"/>
      <w:marLeft w:val="0"/>
      <w:marRight w:val="0"/>
      <w:marTop w:val="0"/>
      <w:marBottom w:val="0"/>
      <w:divBdr>
        <w:top w:val="none" w:sz="0" w:space="0" w:color="auto"/>
        <w:left w:val="none" w:sz="0" w:space="0" w:color="auto"/>
        <w:bottom w:val="none" w:sz="0" w:space="0" w:color="auto"/>
        <w:right w:val="none" w:sz="0" w:space="0" w:color="auto"/>
      </w:divBdr>
    </w:div>
    <w:div w:id="278729651">
      <w:bodyDiv w:val="1"/>
      <w:marLeft w:val="0"/>
      <w:marRight w:val="0"/>
      <w:marTop w:val="0"/>
      <w:marBottom w:val="0"/>
      <w:divBdr>
        <w:top w:val="none" w:sz="0" w:space="0" w:color="auto"/>
        <w:left w:val="none" w:sz="0" w:space="0" w:color="auto"/>
        <w:bottom w:val="none" w:sz="0" w:space="0" w:color="auto"/>
        <w:right w:val="none" w:sz="0" w:space="0" w:color="auto"/>
      </w:divBdr>
    </w:div>
    <w:div w:id="289820066">
      <w:bodyDiv w:val="1"/>
      <w:marLeft w:val="0"/>
      <w:marRight w:val="0"/>
      <w:marTop w:val="0"/>
      <w:marBottom w:val="0"/>
      <w:divBdr>
        <w:top w:val="none" w:sz="0" w:space="0" w:color="auto"/>
        <w:left w:val="none" w:sz="0" w:space="0" w:color="auto"/>
        <w:bottom w:val="none" w:sz="0" w:space="0" w:color="auto"/>
        <w:right w:val="none" w:sz="0" w:space="0" w:color="auto"/>
      </w:divBdr>
    </w:div>
    <w:div w:id="295793281">
      <w:bodyDiv w:val="1"/>
      <w:marLeft w:val="0"/>
      <w:marRight w:val="0"/>
      <w:marTop w:val="0"/>
      <w:marBottom w:val="0"/>
      <w:divBdr>
        <w:top w:val="none" w:sz="0" w:space="0" w:color="auto"/>
        <w:left w:val="none" w:sz="0" w:space="0" w:color="auto"/>
        <w:bottom w:val="none" w:sz="0" w:space="0" w:color="auto"/>
        <w:right w:val="none" w:sz="0" w:space="0" w:color="auto"/>
      </w:divBdr>
    </w:div>
    <w:div w:id="296372685">
      <w:bodyDiv w:val="1"/>
      <w:marLeft w:val="0"/>
      <w:marRight w:val="0"/>
      <w:marTop w:val="0"/>
      <w:marBottom w:val="0"/>
      <w:divBdr>
        <w:top w:val="none" w:sz="0" w:space="0" w:color="auto"/>
        <w:left w:val="none" w:sz="0" w:space="0" w:color="auto"/>
        <w:bottom w:val="none" w:sz="0" w:space="0" w:color="auto"/>
        <w:right w:val="none" w:sz="0" w:space="0" w:color="auto"/>
      </w:divBdr>
    </w:div>
    <w:div w:id="297492598">
      <w:bodyDiv w:val="1"/>
      <w:marLeft w:val="0"/>
      <w:marRight w:val="0"/>
      <w:marTop w:val="0"/>
      <w:marBottom w:val="0"/>
      <w:divBdr>
        <w:top w:val="none" w:sz="0" w:space="0" w:color="auto"/>
        <w:left w:val="none" w:sz="0" w:space="0" w:color="auto"/>
        <w:bottom w:val="none" w:sz="0" w:space="0" w:color="auto"/>
        <w:right w:val="none" w:sz="0" w:space="0" w:color="auto"/>
      </w:divBdr>
    </w:div>
    <w:div w:id="300118447">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6694091">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22314479">
      <w:bodyDiv w:val="1"/>
      <w:marLeft w:val="0"/>
      <w:marRight w:val="0"/>
      <w:marTop w:val="0"/>
      <w:marBottom w:val="0"/>
      <w:divBdr>
        <w:top w:val="none" w:sz="0" w:space="0" w:color="auto"/>
        <w:left w:val="none" w:sz="0" w:space="0" w:color="auto"/>
        <w:bottom w:val="none" w:sz="0" w:space="0" w:color="auto"/>
        <w:right w:val="none" w:sz="0" w:space="0" w:color="auto"/>
      </w:divBdr>
    </w:div>
    <w:div w:id="324163028">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336662160">
      <w:bodyDiv w:val="1"/>
      <w:marLeft w:val="0"/>
      <w:marRight w:val="0"/>
      <w:marTop w:val="0"/>
      <w:marBottom w:val="0"/>
      <w:divBdr>
        <w:top w:val="none" w:sz="0" w:space="0" w:color="auto"/>
        <w:left w:val="none" w:sz="0" w:space="0" w:color="auto"/>
        <w:bottom w:val="none" w:sz="0" w:space="0" w:color="auto"/>
        <w:right w:val="none" w:sz="0" w:space="0" w:color="auto"/>
      </w:divBdr>
    </w:div>
    <w:div w:id="341931852">
      <w:bodyDiv w:val="1"/>
      <w:marLeft w:val="0"/>
      <w:marRight w:val="0"/>
      <w:marTop w:val="0"/>
      <w:marBottom w:val="0"/>
      <w:divBdr>
        <w:top w:val="none" w:sz="0" w:space="0" w:color="auto"/>
        <w:left w:val="none" w:sz="0" w:space="0" w:color="auto"/>
        <w:bottom w:val="none" w:sz="0" w:space="0" w:color="auto"/>
        <w:right w:val="none" w:sz="0" w:space="0" w:color="auto"/>
      </w:divBdr>
    </w:div>
    <w:div w:id="342708439">
      <w:bodyDiv w:val="1"/>
      <w:marLeft w:val="0"/>
      <w:marRight w:val="0"/>
      <w:marTop w:val="0"/>
      <w:marBottom w:val="0"/>
      <w:divBdr>
        <w:top w:val="none" w:sz="0" w:space="0" w:color="auto"/>
        <w:left w:val="none" w:sz="0" w:space="0" w:color="auto"/>
        <w:bottom w:val="none" w:sz="0" w:space="0" w:color="auto"/>
        <w:right w:val="none" w:sz="0" w:space="0" w:color="auto"/>
      </w:divBdr>
    </w:div>
    <w:div w:id="344746721">
      <w:bodyDiv w:val="1"/>
      <w:marLeft w:val="0"/>
      <w:marRight w:val="0"/>
      <w:marTop w:val="0"/>
      <w:marBottom w:val="0"/>
      <w:divBdr>
        <w:top w:val="none" w:sz="0" w:space="0" w:color="auto"/>
        <w:left w:val="none" w:sz="0" w:space="0" w:color="auto"/>
        <w:bottom w:val="none" w:sz="0" w:space="0" w:color="auto"/>
        <w:right w:val="none" w:sz="0" w:space="0" w:color="auto"/>
      </w:divBdr>
    </w:div>
    <w:div w:id="355616624">
      <w:bodyDiv w:val="1"/>
      <w:marLeft w:val="0"/>
      <w:marRight w:val="0"/>
      <w:marTop w:val="0"/>
      <w:marBottom w:val="0"/>
      <w:divBdr>
        <w:top w:val="none" w:sz="0" w:space="0" w:color="auto"/>
        <w:left w:val="none" w:sz="0" w:space="0" w:color="auto"/>
        <w:bottom w:val="none" w:sz="0" w:space="0" w:color="auto"/>
        <w:right w:val="none" w:sz="0" w:space="0" w:color="auto"/>
      </w:divBdr>
    </w:div>
    <w:div w:id="386144979">
      <w:bodyDiv w:val="1"/>
      <w:marLeft w:val="0"/>
      <w:marRight w:val="0"/>
      <w:marTop w:val="0"/>
      <w:marBottom w:val="0"/>
      <w:divBdr>
        <w:top w:val="none" w:sz="0" w:space="0" w:color="auto"/>
        <w:left w:val="none" w:sz="0" w:space="0" w:color="auto"/>
        <w:bottom w:val="none" w:sz="0" w:space="0" w:color="auto"/>
        <w:right w:val="none" w:sz="0" w:space="0" w:color="auto"/>
      </w:divBdr>
    </w:div>
    <w:div w:id="387537179">
      <w:bodyDiv w:val="1"/>
      <w:marLeft w:val="0"/>
      <w:marRight w:val="0"/>
      <w:marTop w:val="0"/>
      <w:marBottom w:val="0"/>
      <w:divBdr>
        <w:top w:val="none" w:sz="0" w:space="0" w:color="auto"/>
        <w:left w:val="none" w:sz="0" w:space="0" w:color="auto"/>
        <w:bottom w:val="none" w:sz="0" w:space="0" w:color="auto"/>
        <w:right w:val="none" w:sz="0" w:space="0" w:color="auto"/>
      </w:divBdr>
    </w:div>
    <w:div w:id="399518366">
      <w:bodyDiv w:val="1"/>
      <w:marLeft w:val="0"/>
      <w:marRight w:val="0"/>
      <w:marTop w:val="0"/>
      <w:marBottom w:val="0"/>
      <w:divBdr>
        <w:top w:val="none" w:sz="0" w:space="0" w:color="auto"/>
        <w:left w:val="none" w:sz="0" w:space="0" w:color="auto"/>
        <w:bottom w:val="none" w:sz="0" w:space="0" w:color="auto"/>
        <w:right w:val="none" w:sz="0" w:space="0" w:color="auto"/>
      </w:divBdr>
    </w:div>
    <w:div w:id="406146687">
      <w:bodyDiv w:val="1"/>
      <w:marLeft w:val="0"/>
      <w:marRight w:val="0"/>
      <w:marTop w:val="0"/>
      <w:marBottom w:val="0"/>
      <w:divBdr>
        <w:top w:val="none" w:sz="0" w:space="0" w:color="auto"/>
        <w:left w:val="none" w:sz="0" w:space="0" w:color="auto"/>
        <w:bottom w:val="none" w:sz="0" w:space="0" w:color="auto"/>
        <w:right w:val="none" w:sz="0" w:space="0" w:color="auto"/>
      </w:divBdr>
    </w:div>
    <w:div w:id="413010768">
      <w:bodyDiv w:val="1"/>
      <w:marLeft w:val="0"/>
      <w:marRight w:val="0"/>
      <w:marTop w:val="0"/>
      <w:marBottom w:val="0"/>
      <w:divBdr>
        <w:top w:val="none" w:sz="0" w:space="0" w:color="auto"/>
        <w:left w:val="none" w:sz="0" w:space="0" w:color="auto"/>
        <w:bottom w:val="none" w:sz="0" w:space="0" w:color="auto"/>
        <w:right w:val="none" w:sz="0" w:space="0" w:color="auto"/>
      </w:divBdr>
    </w:div>
    <w:div w:id="415635917">
      <w:bodyDiv w:val="1"/>
      <w:marLeft w:val="0"/>
      <w:marRight w:val="0"/>
      <w:marTop w:val="0"/>
      <w:marBottom w:val="0"/>
      <w:divBdr>
        <w:top w:val="none" w:sz="0" w:space="0" w:color="auto"/>
        <w:left w:val="none" w:sz="0" w:space="0" w:color="auto"/>
        <w:bottom w:val="none" w:sz="0" w:space="0" w:color="auto"/>
        <w:right w:val="none" w:sz="0" w:space="0" w:color="auto"/>
      </w:divBdr>
    </w:div>
    <w:div w:id="416942560">
      <w:bodyDiv w:val="1"/>
      <w:marLeft w:val="0"/>
      <w:marRight w:val="0"/>
      <w:marTop w:val="0"/>
      <w:marBottom w:val="0"/>
      <w:divBdr>
        <w:top w:val="none" w:sz="0" w:space="0" w:color="auto"/>
        <w:left w:val="none" w:sz="0" w:space="0" w:color="auto"/>
        <w:bottom w:val="none" w:sz="0" w:space="0" w:color="auto"/>
        <w:right w:val="none" w:sz="0" w:space="0" w:color="auto"/>
      </w:divBdr>
    </w:div>
    <w:div w:id="418530487">
      <w:bodyDiv w:val="1"/>
      <w:marLeft w:val="0"/>
      <w:marRight w:val="0"/>
      <w:marTop w:val="0"/>
      <w:marBottom w:val="0"/>
      <w:divBdr>
        <w:top w:val="none" w:sz="0" w:space="0" w:color="auto"/>
        <w:left w:val="none" w:sz="0" w:space="0" w:color="auto"/>
        <w:bottom w:val="none" w:sz="0" w:space="0" w:color="auto"/>
        <w:right w:val="none" w:sz="0" w:space="0" w:color="auto"/>
      </w:divBdr>
    </w:div>
    <w:div w:id="420685081">
      <w:bodyDiv w:val="1"/>
      <w:marLeft w:val="0"/>
      <w:marRight w:val="0"/>
      <w:marTop w:val="0"/>
      <w:marBottom w:val="0"/>
      <w:divBdr>
        <w:top w:val="none" w:sz="0" w:space="0" w:color="auto"/>
        <w:left w:val="none" w:sz="0" w:space="0" w:color="auto"/>
        <w:bottom w:val="none" w:sz="0" w:space="0" w:color="auto"/>
        <w:right w:val="none" w:sz="0" w:space="0" w:color="auto"/>
      </w:divBdr>
    </w:div>
    <w:div w:id="427505828">
      <w:bodyDiv w:val="1"/>
      <w:marLeft w:val="0"/>
      <w:marRight w:val="0"/>
      <w:marTop w:val="0"/>
      <w:marBottom w:val="0"/>
      <w:divBdr>
        <w:top w:val="none" w:sz="0" w:space="0" w:color="auto"/>
        <w:left w:val="none" w:sz="0" w:space="0" w:color="auto"/>
        <w:bottom w:val="none" w:sz="0" w:space="0" w:color="auto"/>
        <w:right w:val="none" w:sz="0" w:space="0" w:color="auto"/>
      </w:divBdr>
    </w:div>
    <w:div w:id="427700840">
      <w:bodyDiv w:val="1"/>
      <w:marLeft w:val="0"/>
      <w:marRight w:val="0"/>
      <w:marTop w:val="0"/>
      <w:marBottom w:val="0"/>
      <w:divBdr>
        <w:top w:val="none" w:sz="0" w:space="0" w:color="auto"/>
        <w:left w:val="none" w:sz="0" w:space="0" w:color="auto"/>
        <w:bottom w:val="none" w:sz="0" w:space="0" w:color="auto"/>
        <w:right w:val="none" w:sz="0" w:space="0" w:color="auto"/>
      </w:divBdr>
    </w:div>
    <w:div w:id="438915141">
      <w:bodyDiv w:val="1"/>
      <w:marLeft w:val="0"/>
      <w:marRight w:val="0"/>
      <w:marTop w:val="0"/>
      <w:marBottom w:val="0"/>
      <w:divBdr>
        <w:top w:val="none" w:sz="0" w:space="0" w:color="auto"/>
        <w:left w:val="none" w:sz="0" w:space="0" w:color="auto"/>
        <w:bottom w:val="none" w:sz="0" w:space="0" w:color="auto"/>
        <w:right w:val="none" w:sz="0" w:space="0" w:color="auto"/>
      </w:divBdr>
    </w:div>
    <w:div w:id="447092582">
      <w:bodyDiv w:val="1"/>
      <w:marLeft w:val="0"/>
      <w:marRight w:val="0"/>
      <w:marTop w:val="0"/>
      <w:marBottom w:val="0"/>
      <w:divBdr>
        <w:top w:val="none" w:sz="0" w:space="0" w:color="auto"/>
        <w:left w:val="none" w:sz="0" w:space="0" w:color="auto"/>
        <w:bottom w:val="none" w:sz="0" w:space="0" w:color="auto"/>
        <w:right w:val="none" w:sz="0" w:space="0" w:color="auto"/>
      </w:divBdr>
    </w:div>
    <w:div w:id="454523556">
      <w:bodyDiv w:val="1"/>
      <w:marLeft w:val="0"/>
      <w:marRight w:val="0"/>
      <w:marTop w:val="0"/>
      <w:marBottom w:val="0"/>
      <w:divBdr>
        <w:top w:val="none" w:sz="0" w:space="0" w:color="auto"/>
        <w:left w:val="none" w:sz="0" w:space="0" w:color="auto"/>
        <w:bottom w:val="none" w:sz="0" w:space="0" w:color="auto"/>
        <w:right w:val="none" w:sz="0" w:space="0" w:color="auto"/>
      </w:divBdr>
    </w:div>
    <w:div w:id="455756010">
      <w:bodyDiv w:val="1"/>
      <w:marLeft w:val="0"/>
      <w:marRight w:val="0"/>
      <w:marTop w:val="0"/>
      <w:marBottom w:val="0"/>
      <w:divBdr>
        <w:top w:val="none" w:sz="0" w:space="0" w:color="auto"/>
        <w:left w:val="none" w:sz="0" w:space="0" w:color="auto"/>
        <w:bottom w:val="none" w:sz="0" w:space="0" w:color="auto"/>
        <w:right w:val="none" w:sz="0" w:space="0" w:color="auto"/>
      </w:divBdr>
    </w:div>
    <w:div w:id="459150999">
      <w:bodyDiv w:val="1"/>
      <w:marLeft w:val="0"/>
      <w:marRight w:val="0"/>
      <w:marTop w:val="0"/>
      <w:marBottom w:val="0"/>
      <w:divBdr>
        <w:top w:val="none" w:sz="0" w:space="0" w:color="auto"/>
        <w:left w:val="none" w:sz="0" w:space="0" w:color="auto"/>
        <w:bottom w:val="none" w:sz="0" w:space="0" w:color="auto"/>
        <w:right w:val="none" w:sz="0" w:space="0" w:color="auto"/>
      </w:divBdr>
    </w:div>
    <w:div w:id="462508847">
      <w:bodyDiv w:val="1"/>
      <w:marLeft w:val="0"/>
      <w:marRight w:val="0"/>
      <w:marTop w:val="0"/>
      <w:marBottom w:val="0"/>
      <w:divBdr>
        <w:top w:val="none" w:sz="0" w:space="0" w:color="auto"/>
        <w:left w:val="none" w:sz="0" w:space="0" w:color="auto"/>
        <w:bottom w:val="none" w:sz="0" w:space="0" w:color="auto"/>
        <w:right w:val="none" w:sz="0" w:space="0" w:color="auto"/>
      </w:divBdr>
    </w:div>
    <w:div w:id="464087487">
      <w:bodyDiv w:val="1"/>
      <w:marLeft w:val="0"/>
      <w:marRight w:val="0"/>
      <w:marTop w:val="0"/>
      <w:marBottom w:val="0"/>
      <w:divBdr>
        <w:top w:val="none" w:sz="0" w:space="0" w:color="auto"/>
        <w:left w:val="none" w:sz="0" w:space="0" w:color="auto"/>
        <w:bottom w:val="none" w:sz="0" w:space="0" w:color="auto"/>
        <w:right w:val="none" w:sz="0" w:space="0" w:color="auto"/>
      </w:divBdr>
    </w:div>
    <w:div w:id="477037109">
      <w:bodyDiv w:val="1"/>
      <w:marLeft w:val="0"/>
      <w:marRight w:val="0"/>
      <w:marTop w:val="0"/>
      <w:marBottom w:val="0"/>
      <w:divBdr>
        <w:top w:val="none" w:sz="0" w:space="0" w:color="auto"/>
        <w:left w:val="none" w:sz="0" w:space="0" w:color="auto"/>
        <w:bottom w:val="none" w:sz="0" w:space="0" w:color="auto"/>
        <w:right w:val="none" w:sz="0" w:space="0" w:color="auto"/>
      </w:divBdr>
    </w:div>
    <w:div w:id="498694597">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05947622">
      <w:bodyDiv w:val="1"/>
      <w:marLeft w:val="0"/>
      <w:marRight w:val="0"/>
      <w:marTop w:val="0"/>
      <w:marBottom w:val="0"/>
      <w:divBdr>
        <w:top w:val="none" w:sz="0" w:space="0" w:color="auto"/>
        <w:left w:val="none" w:sz="0" w:space="0" w:color="auto"/>
        <w:bottom w:val="none" w:sz="0" w:space="0" w:color="auto"/>
        <w:right w:val="none" w:sz="0" w:space="0" w:color="auto"/>
      </w:divBdr>
    </w:div>
    <w:div w:id="513034872">
      <w:bodyDiv w:val="1"/>
      <w:marLeft w:val="0"/>
      <w:marRight w:val="0"/>
      <w:marTop w:val="0"/>
      <w:marBottom w:val="0"/>
      <w:divBdr>
        <w:top w:val="none" w:sz="0" w:space="0" w:color="auto"/>
        <w:left w:val="none" w:sz="0" w:space="0" w:color="auto"/>
        <w:bottom w:val="none" w:sz="0" w:space="0" w:color="auto"/>
        <w:right w:val="none" w:sz="0" w:space="0" w:color="auto"/>
      </w:divBdr>
    </w:div>
    <w:div w:id="535972839">
      <w:bodyDiv w:val="1"/>
      <w:marLeft w:val="0"/>
      <w:marRight w:val="0"/>
      <w:marTop w:val="0"/>
      <w:marBottom w:val="0"/>
      <w:divBdr>
        <w:top w:val="none" w:sz="0" w:space="0" w:color="auto"/>
        <w:left w:val="none" w:sz="0" w:space="0" w:color="auto"/>
        <w:bottom w:val="none" w:sz="0" w:space="0" w:color="auto"/>
        <w:right w:val="none" w:sz="0" w:space="0" w:color="auto"/>
      </w:divBdr>
    </w:div>
    <w:div w:id="539821629">
      <w:bodyDiv w:val="1"/>
      <w:marLeft w:val="0"/>
      <w:marRight w:val="0"/>
      <w:marTop w:val="0"/>
      <w:marBottom w:val="0"/>
      <w:divBdr>
        <w:top w:val="none" w:sz="0" w:space="0" w:color="auto"/>
        <w:left w:val="none" w:sz="0" w:space="0" w:color="auto"/>
        <w:bottom w:val="none" w:sz="0" w:space="0" w:color="auto"/>
        <w:right w:val="none" w:sz="0" w:space="0" w:color="auto"/>
      </w:divBdr>
    </w:div>
    <w:div w:id="544028779">
      <w:bodyDiv w:val="1"/>
      <w:marLeft w:val="0"/>
      <w:marRight w:val="0"/>
      <w:marTop w:val="0"/>
      <w:marBottom w:val="0"/>
      <w:divBdr>
        <w:top w:val="none" w:sz="0" w:space="0" w:color="auto"/>
        <w:left w:val="none" w:sz="0" w:space="0" w:color="auto"/>
        <w:bottom w:val="none" w:sz="0" w:space="0" w:color="auto"/>
        <w:right w:val="none" w:sz="0" w:space="0" w:color="auto"/>
      </w:divBdr>
    </w:div>
    <w:div w:id="561336554">
      <w:bodyDiv w:val="1"/>
      <w:marLeft w:val="0"/>
      <w:marRight w:val="0"/>
      <w:marTop w:val="0"/>
      <w:marBottom w:val="0"/>
      <w:divBdr>
        <w:top w:val="none" w:sz="0" w:space="0" w:color="auto"/>
        <w:left w:val="none" w:sz="0" w:space="0" w:color="auto"/>
        <w:bottom w:val="none" w:sz="0" w:space="0" w:color="auto"/>
        <w:right w:val="none" w:sz="0" w:space="0" w:color="auto"/>
      </w:divBdr>
    </w:div>
    <w:div w:id="565914547">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3493755">
      <w:bodyDiv w:val="1"/>
      <w:marLeft w:val="0"/>
      <w:marRight w:val="0"/>
      <w:marTop w:val="0"/>
      <w:marBottom w:val="0"/>
      <w:divBdr>
        <w:top w:val="none" w:sz="0" w:space="0" w:color="auto"/>
        <w:left w:val="none" w:sz="0" w:space="0" w:color="auto"/>
        <w:bottom w:val="none" w:sz="0" w:space="0" w:color="auto"/>
        <w:right w:val="none" w:sz="0" w:space="0" w:color="auto"/>
      </w:divBdr>
    </w:div>
    <w:div w:id="594824186">
      <w:bodyDiv w:val="1"/>
      <w:marLeft w:val="0"/>
      <w:marRight w:val="0"/>
      <w:marTop w:val="0"/>
      <w:marBottom w:val="0"/>
      <w:divBdr>
        <w:top w:val="none" w:sz="0" w:space="0" w:color="auto"/>
        <w:left w:val="none" w:sz="0" w:space="0" w:color="auto"/>
        <w:bottom w:val="none" w:sz="0" w:space="0" w:color="auto"/>
        <w:right w:val="none" w:sz="0" w:space="0" w:color="auto"/>
      </w:divBdr>
    </w:div>
    <w:div w:id="608925876">
      <w:bodyDiv w:val="1"/>
      <w:marLeft w:val="0"/>
      <w:marRight w:val="0"/>
      <w:marTop w:val="0"/>
      <w:marBottom w:val="0"/>
      <w:divBdr>
        <w:top w:val="none" w:sz="0" w:space="0" w:color="auto"/>
        <w:left w:val="none" w:sz="0" w:space="0" w:color="auto"/>
        <w:bottom w:val="none" w:sz="0" w:space="0" w:color="auto"/>
        <w:right w:val="none" w:sz="0" w:space="0" w:color="auto"/>
      </w:divBdr>
    </w:div>
    <w:div w:id="636959903">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53874381">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61396596">
      <w:bodyDiv w:val="1"/>
      <w:marLeft w:val="0"/>
      <w:marRight w:val="0"/>
      <w:marTop w:val="0"/>
      <w:marBottom w:val="0"/>
      <w:divBdr>
        <w:top w:val="none" w:sz="0" w:space="0" w:color="auto"/>
        <w:left w:val="none" w:sz="0" w:space="0" w:color="auto"/>
        <w:bottom w:val="none" w:sz="0" w:space="0" w:color="auto"/>
        <w:right w:val="none" w:sz="0" w:space="0" w:color="auto"/>
      </w:divBdr>
    </w:div>
    <w:div w:id="673414001">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703288676">
      <w:bodyDiv w:val="1"/>
      <w:marLeft w:val="0"/>
      <w:marRight w:val="0"/>
      <w:marTop w:val="0"/>
      <w:marBottom w:val="0"/>
      <w:divBdr>
        <w:top w:val="none" w:sz="0" w:space="0" w:color="auto"/>
        <w:left w:val="none" w:sz="0" w:space="0" w:color="auto"/>
        <w:bottom w:val="none" w:sz="0" w:space="0" w:color="auto"/>
        <w:right w:val="none" w:sz="0" w:space="0" w:color="auto"/>
      </w:divBdr>
    </w:div>
    <w:div w:id="704840125">
      <w:bodyDiv w:val="1"/>
      <w:marLeft w:val="0"/>
      <w:marRight w:val="0"/>
      <w:marTop w:val="0"/>
      <w:marBottom w:val="0"/>
      <w:divBdr>
        <w:top w:val="none" w:sz="0" w:space="0" w:color="auto"/>
        <w:left w:val="none" w:sz="0" w:space="0" w:color="auto"/>
        <w:bottom w:val="none" w:sz="0" w:space="0" w:color="auto"/>
        <w:right w:val="none" w:sz="0" w:space="0" w:color="auto"/>
      </w:divBdr>
    </w:div>
    <w:div w:id="707069646">
      <w:bodyDiv w:val="1"/>
      <w:marLeft w:val="0"/>
      <w:marRight w:val="0"/>
      <w:marTop w:val="0"/>
      <w:marBottom w:val="0"/>
      <w:divBdr>
        <w:top w:val="none" w:sz="0" w:space="0" w:color="auto"/>
        <w:left w:val="none" w:sz="0" w:space="0" w:color="auto"/>
        <w:bottom w:val="none" w:sz="0" w:space="0" w:color="auto"/>
        <w:right w:val="none" w:sz="0" w:space="0" w:color="auto"/>
      </w:divBdr>
    </w:div>
    <w:div w:id="725832109">
      <w:bodyDiv w:val="1"/>
      <w:marLeft w:val="0"/>
      <w:marRight w:val="0"/>
      <w:marTop w:val="0"/>
      <w:marBottom w:val="0"/>
      <w:divBdr>
        <w:top w:val="none" w:sz="0" w:space="0" w:color="auto"/>
        <w:left w:val="none" w:sz="0" w:space="0" w:color="auto"/>
        <w:bottom w:val="none" w:sz="0" w:space="0" w:color="auto"/>
        <w:right w:val="none" w:sz="0" w:space="0" w:color="auto"/>
      </w:divBdr>
    </w:div>
    <w:div w:id="726492636">
      <w:bodyDiv w:val="1"/>
      <w:marLeft w:val="0"/>
      <w:marRight w:val="0"/>
      <w:marTop w:val="0"/>
      <w:marBottom w:val="0"/>
      <w:divBdr>
        <w:top w:val="none" w:sz="0" w:space="0" w:color="auto"/>
        <w:left w:val="none" w:sz="0" w:space="0" w:color="auto"/>
        <w:bottom w:val="none" w:sz="0" w:space="0" w:color="auto"/>
        <w:right w:val="none" w:sz="0" w:space="0" w:color="auto"/>
      </w:divBdr>
    </w:div>
    <w:div w:id="727266848">
      <w:bodyDiv w:val="1"/>
      <w:marLeft w:val="0"/>
      <w:marRight w:val="0"/>
      <w:marTop w:val="0"/>
      <w:marBottom w:val="0"/>
      <w:divBdr>
        <w:top w:val="none" w:sz="0" w:space="0" w:color="auto"/>
        <w:left w:val="none" w:sz="0" w:space="0" w:color="auto"/>
        <w:bottom w:val="none" w:sz="0" w:space="0" w:color="auto"/>
        <w:right w:val="none" w:sz="0" w:space="0" w:color="auto"/>
      </w:divBdr>
    </w:div>
    <w:div w:id="737215885">
      <w:bodyDiv w:val="1"/>
      <w:marLeft w:val="0"/>
      <w:marRight w:val="0"/>
      <w:marTop w:val="0"/>
      <w:marBottom w:val="0"/>
      <w:divBdr>
        <w:top w:val="none" w:sz="0" w:space="0" w:color="auto"/>
        <w:left w:val="none" w:sz="0" w:space="0" w:color="auto"/>
        <w:bottom w:val="none" w:sz="0" w:space="0" w:color="auto"/>
        <w:right w:val="none" w:sz="0" w:space="0" w:color="auto"/>
      </w:divBdr>
    </w:div>
    <w:div w:id="739134858">
      <w:bodyDiv w:val="1"/>
      <w:marLeft w:val="0"/>
      <w:marRight w:val="0"/>
      <w:marTop w:val="0"/>
      <w:marBottom w:val="0"/>
      <w:divBdr>
        <w:top w:val="none" w:sz="0" w:space="0" w:color="auto"/>
        <w:left w:val="none" w:sz="0" w:space="0" w:color="auto"/>
        <w:bottom w:val="none" w:sz="0" w:space="0" w:color="auto"/>
        <w:right w:val="none" w:sz="0" w:space="0" w:color="auto"/>
      </w:divBdr>
    </w:div>
    <w:div w:id="739985960">
      <w:bodyDiv w:val="1"/>
      <w:marLeft w:val="0"/>
      <w:marRight w:val="0"/>
      <w:marTop w:val="0"/>
      <w:marBottom w:val="0"/>
      <w:divBdr>
        <w:top w:val="none" w:sz="0" w:space="0" w:color="auto"/>
        <w:left w:val="none" w:sz="0" w:space="0" w:color="auto"/>
        <w:bottom w:val="none" w:sz="0" w:space="0" w:color="auto"/>
        <w:right w:val="none" w:sz="0" w:space="0" w:color="auto"/>
      </w:divBdr>
    </w:div>
    <w:div w:id="745766138">
      <w:bodyDiv w:val="1"/>
      <w:marLeft w:val="0"/>
      <w:marRight w:val="0"/>
      <w:marTop w:val="0"/>
      <w:marBottom w:val="0"/>
      <w:divBdr>
        <w:top w:val="none" w:sz="0" w:space="0" w:color="auto"/>
        <w:left w:val="none" w:sz="0" w:space="0" w:color="auto"/>
        <w:bottom w:val="none" w:sz="0" w:space="0" w:color="auto"/>
        <w:right w:val="none" w:sz="0" w:space="0" w:color="auto"/>
      </w:divBdr>
    </w:div>
    <w:div w:id="747993625">
      <w:bodyDiv w:val="1"/>
      <w:marLeft w:val="0"/>
      <w:marRight w:val="0"/>
      <w:marTop w:val="0"/>
      <w:marBottom w:val="0"/>
      <w:divBdr>
        <w:top w:val="none" w:sz="0" w:space="0" w:color="auto"/>
        <w:left w:val="none" w:sz="0" w:space="0" w:color="auto"/>
        <w:bottom w:val="none" w:sz="0" w:space="0" w:color="auto"/>
        <w:right w:val="none" w:sz="0" w:space="0" w:color="auto"/>
      </w:divBdr>
    </w:div>
    <w:div w:id="788234036">
      <w:bodyDiv w:val="1"/>
      <w:marLeft w:val="0"/>
      <w:marRight w:val="0"/>
      <w:marTop w:val="0"/>
      <w:marBottom w:val="0"/>
      <w:divBdr>
        <w:top w:val="none" w:sz="0" w:space="0" w:color="auto"/>
        <w:left w:val="none" w:sz="0" w:space="0" w:color="auto"/>
        <w:bottom w:val="none" w:sz="0" w:space="0" w:color="auto"/>
        <w:right w:val="none" w:sz="0" w:space="0" w:color="auto"/>
      </w:divBdr>
    </w:div>
    <w:div w:id="800419483">
      <w:bodyDiv w:val="1"/>
      <w:marLeft w:val="0"/>
      <w:marRight w:val="0"/>
      <w:marTop w:val="0"/>
      <w:marBottom w:val="0"/>
      <w:divBdr>
        <w:top w:val="none" w:sz="0" w:space="0" w:color="auto"/>
        <w:left w:val="none" w:sz="0" w:space="0" w:color="auto"/>
        <w:bottom w:val="none" w:sz="0" w:space="0" w:color="auto"/>
        <w:right w:val="none" w:sz="0" w:space="0" w:color="auto"/>
      </w:divBdr>
    </w:div>
    <w:div w:id="808090210">
      <w:bodyDiv w:val="1"/>
      <w:marLeft w:val="0"/>
      <w:marRight w:val="0"/>
      <w:marTop w:val="0"/>
      <w:marBottom w:val="0"/>
      <w:divBdr>
        <w:top w:val="none" w:sz="0" w:space="0" w:color="auto"/>
        <w:left w:val="none" w:sz="0" w:space="0" w:color="auto"/>
        <w:bottom w:val="none" w:sz="0" w:space="0" w:color="auto"/>
        <w:right w:val="none" w:sz="0" w:space="0" w:color="auto"/>
      </w:divBdr>
    </w:div>
    <w:div w:id="809175442">
      <w:bodyDiv w:val="1"/>
      <w:marLeft w:val="0"/>
      <w:marRight w:val="0"/>
      <w:marTop w:val="0"/>
      <w:marBottom w:val="0"/>
      <w:divBdr>
        <w:top w:val="none" w:sz="0" w:space="0" w:color="auto"/>
        <w:left w:val="none" w:sz="0" w:space="0" w:color="auto"/>
        <w:bottom w:val="none" w:sz="0" w:space="0" w:color="auto"/>
        <w:right w:val="none" w:sz="0" w:space="0" w:color="auto"/>
      </w:divBdr>
    </w:div>
    <w:div w:id="826045955">
      <w:bodyDiv w:val="1"/>
      <w:marLeft w:val="0"/>
      <w:marRight w:val="0"/>
      <w:marTop w:val="0"/>
      <w:marBottom w:val="0"/>
      <w:divBdr>
        <w:top w:val="none" w:sz="0" w:space="0" w:color="auto"/>
        <w:left w:val="none" w:sz="0" w:space="0" w:color="auto"/>
        <w:bottom w:val="none" w:sz="0" w:space="0" w:color="auto"/>
        <w:right w:val="none" w:sz="0" w:space="0" w:color="auto"/>
      </w:divBdr>
    </w:div>
    <w:div w:id="827404982">
      <w:bodyDiv w:val="1"/>
      <w:marLeft w:val="0"/>
      <w:marRight w:val="0"/>
      <w:marTop w:val="0"/>
      <w:marBottom w:val="0"/>
      <w:divBdr>
        <w:top w:val="none" w:sz="0" w:space="0" w:color="auto"/>
        <w:left w:val="none" w:sz="0" w:space="0" w:color="auto"/>
        <w:bottom w:val="none" w:sz="0" w:space="0" w:color="auto"/>
        <w:right w:val="none" w:sz="0" w:space="0" w:color="auto"/>
      </w:divBdr>
    </w:div>
    <w:div w:id="834884603">
      <w:bodyDiv w:val="1"/>
      <w:marLeft w:val="0"/>
      <w:marRight w:val="0"/>
      <w:marTop w:val="0"/>
      <w:marBottom w:val="0"/>
      <w:divBdr>
        <w:top w:val="none" w:sz="0" w:space="0" w:color="auto"/>
        <w:left w:val="none" w:sz="0" w:space="0" w:color="auto"/>
        <w:bottom w:val="none" w:sz="0" w:space="0" w:color="auto"/>
        <w:right w:val="none" w:sz="0" w:space="0" w:color="auto"/>
      </w:divBdr>
    </w:div>
    <w:div w:id="840118884">
      <w:bodyDiv w:val="1"/>
      <w:marLeft w:val="0"/>
      <w:marRight w:val="0"/>
      <w:marTop w:val="0"/>
      <w:marBottom w:val="0"/>
      <w:divBdr>
        <w:top w:val="none" w:sz="0" w:space="0" w:color="auto"/>
        <w:left w:val="none" w:sz="0" w:space="0" w:color="auto"/>
        <w:bottom w:val="none" w:sz="0" w:space="0" w:color="auto"/>
        <w:right w:val="none" w:sz="0" w:space="0" w:color="auto"/>
      </w:divBdr>
    </w:div>
    <w:div w:id="847983156">
      <w:bodyDiv w:val="1"/>
      <w:marLeft w:val="0"/>
      <w:marRight w:val="0"/>
      <w:marTop w:val="0"/>
      <w:marBottom w:val="0"/>
      <w:divBdr>
        <w:top w:val="none" w:sz="0" w:space="0" w:color="auto"/>
        <w:left w:val="none" w:sz="0" w:space="0" w:color="auto"/>
        <w:bottom w:val="none" w:sz="0" w:space="0" w:color="auto"/>
        <w:right w:val="none" w:sz="0" w:space="0" w:color="auto"/>
      </w:divBdr>
    </w:div>
    <w:div w:id="848256700">
      <w:bodyDiv w:val="1"/>
      <w:marLeft w:val="0"/>
      <w:marRight w:val="0"/>
      <w:marTop w:val="0"/>
      <w:marBottom w:val="0"/>
      <w:divBdr>
        <w:top w:val="none" w:sz="0" w:space="0" w:color="auto"/>
        <w:left w:val="none" w:sz="0" w:space="0" w:color="auto"/>
        <w:bottom w:val="none" w:sz="0" w:space="0" w:color="auto"/>
        <w:right w:val="none" w:sz="0" w:space="0" w:color="auto"/>
      </w:divBdr>
    </w:div>
    <w:div w:id="855922909">
      <w:bodyDiv w:val="1"/>
      <w:marLeft w:val="0"/>
      <w:marRight w:val="0"/>
      <w:marTop w:val="0"/>
      <w:marBottom w:val="0"/>
      <w:divBdr>
        <w:top w:val="none" w:sz="0" w:space="0" w:color="auto"/>
        <w:left w:val="none" w:sz="0" w:space="0" w:color="auto"/>
        <w:bottom w:val="none" w:sz="0" w:space="0" w:color="auto"/>
        <w:right w:val="none" w:sz="0" w:space="0" w:color="auto"/>
      </w:divBdr>
    </w:div>
    <w:div w:id="865950906">
      <w:bodyDiv w:val="1"/>
      <w:marLeft w:val="0"/>
      <w:marRight w:val="0"/>
      <w:marTop w:val="0"/>
      <w:marBottom w:val="0"/>
      <w:divBdr>
        <w:top w:val="none" w:sz="0" w:space="0" w:color="auto"/>
        <w:left w:val="none" w:sz="0" w:space="0" w:color="auto"/>
        <w:bottom w:val="none" w:sz="0" w:space="0" w:color="auto"/>
        <w:right w:val="none" w:sz="0" w:space="0" w:color="auto"/>
      </w:divBdr>
    </w:div>
    <w:div w:id="869076620">
      <w:bodyDiv w:val="1"/>
      <w:marLeft w:val="0"/>
      <w:marRight w:val="0"/>
      <w:marTop w:val="0"/>
      <w:marBottom w:val="0"/>
      <w:divBdr>
        <w:top w:val="none" w:sz="0" w:space="0" w:color="auto"/>
        <w:left w:val="none" w:sz="0" w:space="0" w:color="auto"/>
        <w:bottom w:val="none" w:sz="0" w:space="0" w:color="auto"/>
        <w:right w:val="none" w:sz="0" w:space="0" w:color="auto"/>
      </w:divBdr>
    </w:div>
    <w:div w:id="872039627">
      <w:bodyDiv w:val="1"/>
      <w:marLeft w:val="0"/>
      <w:marRight w:val="0"/>
      <w:marTop w:val="0"/>
      <w:marBottom w:val="0"/>
      <w:divBdr>
        <w:top w:val="none" w:sz="0" w:space="0" w:color="auto"/>
        <w:left w:val="none" w:sz="0" w:space="0" w:color="auto"/>
        <w:bottom w:val="none" w:sz="0" w:space="0" w:color="auto"/>
        <w:right w:val="none" w:sz="0" w:space="0" w:color="auto"/>
      </w:divBdr>
    </w:div>
    <w:div w:id="875896056">
      <w:bodyDiv w:val="1"/>
      <w:marLeft w:val="0"/>
      <w:marRight w:val="0"/>
      <w:marTop w:val="0"/>
      <w:marBottom w:val="0"/>
      <w:divBdr>
        <w:top w:val="none" w:sz="0" w:space="0" w:color="auto"/>
        <w:left w:val="none" w:sz="0" w:space="0" w:color="auto"/>
        <w:bottom w:val="none" w:sz="0" w:space="0" w:color="auto"/>
        <w:right w:val="none" w:sz="0" w:space="0" w:color="auto"/>
      </w:divBdr>
    </w:div>
    <w:div w:id="881941533">
      <w:bodyDiv w:val="1"/>
      <w:marLeft w:val="0"/>
      <w:marRight w:val="0"/>
      <w:marTop w:val="0"/>
      <w:marBottom w:val="0"/>
      <w:divBdr>
        <w:top w:val="none" w:sz="0" w:space="0" w:color="auto"/>
        <w:left w:val="none" w:sz="0" w:space="0" w:color="auto"/>
        <w:bottom w:val="none" w:sz="0" w:space="0" w:color="auto"/>
        <w:right w:val="none" w:sz="0" w:space="0" w:color="auto"/>
      </w:divBdr>
    </w:div>
    <w:div w:id="882207685">
      <w:bodyDiv w:val="1"/>
      <w:marLeft w:val="0"/>
      <w:marRight w:val="0"/>
      <w:marTop w:val="0"/>
      <w:marBottom w:val="0"/>
      <w:divBdr>
        <w:top w:val="none" w:sz="0" w:space="0" w:color="auto"/>
        <w:left w:val="none" w:sz="0" w:space="0" w:color="auto"/>
        <w:bottom w:val="none" w:sz="0" w:space="0" w:color="auto"/>
        <w:right w:val="none" w:sz="0" w:space="0" w:color="auto"/>
      </w:divBdr>
    </w:div>
    <w:div w:id="894202855">
      <w:bodyDiv w:val="1"/>
      <w:marLeft w:val="0"/>
      <w:marRight w:val="0"/>
      <w:marTop w:val="0"/>
      <w:marBottom w:val="0"/>
      <w:divBdr>
        <w:top w:val="none" w:sz="0" w:space="0" w:color="auto"/>
        <w:left w:val="none" w:sz="0" w:space="0" w:color="auto"/>
        <w:bottom w:val="none" w:sz="0" w:space="0" w:color="auto"/>
        <w:right w:val="none" w:sz="0" w:space="0" w:color="auto"/>
      </w:divBdr>
    </w:div>
    <w:div w:id="899052051">
      <w:bodyDiv w:val="1"/>
      <w:marLeft w:val="0"/>
      <w:marRight w:val="0"/>
      <w:marTop w:val="0"/>
      <w:marBottom w:val="0"/>
      <w:divBdr>
        <w:top w:val="none" w:sz="0" w:space="0" w:color="auto"/>
        <w:left w:val="none" w:sz="0" w:space="0" w:color="auto"/>
        <w:bottom w:val="none" w:sz="0" w:space="0" w:color="auto"/>
        <w:right w:val="none" w:sz="0" w:space="0" w:color="auto"/>
      </w:divBdr>
    </w:div>
    <w:div w:id="899247798">
      <w:bodyDiv w:val="1"/>
      <w:marLeft w:val="0"/>
      <w:marRight w:val="0"/>
      <w:marTop w:val="0"/>
      <w:marBottom w:val="0"/>
      <w:divBdr>
        <w:top w:val="none" w:sz="0" w:space="0" w:color="auto"/>
        <w:left w:val="none" w:sz="0" w:space="0" w:color="auto"/>
        <w:bottom w:val="none" w:sz="0" w:space="0" w:color="auto"/>
        <w:right w:val="none" w:sz="0" w:space="0" w:color="auto"/>
      </w:divBdr>
    </w:div>
    <w:div w:id="903293219">
      <w:bodyDiv w:val="1"/>
      <w:marLeft w:val="0"/>
      <w:marRight w:val="0"/>
      <w:marTop w:val="0"/>
      <w:marBottom w:val="0"/>
      <w:divBdr>
        <w:top w:val="none" w:sz="0" w:space="0" w:color="auto"/>
        <w:left w:val="none" w:sz="0" w:space="0" w:color="auto"/>
        <w:bottom w:val="none" w:sz="0" w:space="0" w:color="auto"/>
        <w:right w:val="none" w:sz="0" w:space="0" w:color="auto"/>
      </w:divBdr>
    </w:div>
    <w:div w:id="916668327">
      <w:bodyDiv w:val="1"/>
      <w:marLeft w:val="0"/>
      <w:marRight w:val="0"/>
      <w:marTop w:val="0"/>
      <w:marBottom w:val="0"/>
      <w:divBdr>
        <w:top w:val="none" w:sz="0" w:space="0" w:color="auto"/>
        <w:left w:val="none" w:sz="0" w:space="0" w:color="auto"/>
        <w:bottom w:val="none" w:sz="0" w:space="0" w:color="auto"/>
        <w:right w:val="none" w:sz="0" w:space="0" w:color="auto"/>
      </w:divBdr>
    </w:div>
    <w:div w:id="916670588">
      <w:bodyDiv w:val="1"/>
      <w:marLeft w:val="0"/>
      <w:marRight w:val="0"/>
      <w:marTop w:val="0"/>
      <w:marBottom w:val="0"/>
      <w:divBdr>
        <w:top w:val="none" w:sz="0" w:space="0" w:color="auto"/>
        <w:left w:val="none" w:sz="0" w:space="0" w:color="auto"/>
        <w:bottom w:val="none" w:sz="0" w:space="0" w:color="auto"/>
        <w:right w:val="none" w:sz="0" w:space="0" w:color="auto"/>
      </w:divBdr>
    </w:div>
    <w:div w:id="918101911">
      <w:bodyDiv w:val="1"/>
      <w:marLeft w:val="0"/>
      <w:marRight w:val="0"/>
      <w:marTop w:val="0"/>
      <w:marBottom w:val="0"/>
      <w:divBdr>
        <w:top w:val="none" w:sz="0" w:space="0" w:color="auto"/>
        <w:left w:val="none" w:sz="0" w:space="0" w:color="auto"/>
        <w:bottom w:val="none" w:sz="0" w:space="0" w:color="auto"/>
        <w:right w:val="none" w:sz="0" w:space="0" w:color="auto"/>
      </w:divBdr>
    </w:div>
    <w:div w:id="918977121">
      <w:bodyDiv w:val="1"/>
      <w:marLeft w:val="0"/>
      <w:marRight w:val="0"/>
      <w:marTop w:val="0"/>
      <w:marBottom w:val="0"/>
      <w:divBdr>
        <w:top w:val="none" w:sz="0" w:space="0" w:color="auto"/>
        <w:left w:val="none" w:sz="0" w:space="0" w:color="auto"/>
        <w:bottom w:val="none" w:sz="0" w:space="0" w:color="auto"/>
        <w:right w:val="none" w:sz="0" w:space="0" w:color="auto"/>
      </w:divBdr>
    </w:div>
    <w:div w:id="926114615">
      <w:bodyDiv w:val="1"/>
      <w:marLeft w:val="0"/>
      <w:marRight w:val="0"/>
      <w:marTop w:val="0"/>
      <w:marBottom w:val="0"/>
      <w:divBdr>
        <w:top w:val="none" w:sz="0" w:space="0" w:color="auto"/>
        <w:left w:val="none" w:sz="0" w:space="0" w:color="auto"/>
        <w:bottom w:val="none" w:sz="0" w:space="0" w:color="auto"/>
        <w:right w:val="none" w:sz="0" w:space="0" w:color="auto"/>
      </w:divBdr>
    </w:div>
    <w:div w:id="927235349">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32591742">
      <w:bodyDiv w:val="1"/>
      <w:marLeft w:val="0"/>
      <w:marRight w:val="0"/>
      <w:marTop w:val="0"/>
      <w:marBottom w:val="0"/>
      <w:divBdr>
        <w:top w:val="none" w:sz="0" w:space="0" w:color="auto"/>
        <w:left w:val="none" w:sz="0" w:space="0" w:color="auto"/>
        <w:bottom w:val="none" w:sz="0" w:space="0" w:color="auto"/>
        <w:right w:val="none" w:sz="0" w:space="0" w:color="auto"/>
      </w:divBdr>
    </w:div>
    <w:div w:id="938105571">
      <w:bodyDiv w:val="1"/>
      <w:marLeft w:val="0"/>
      <w:marRight w:val="0"/>
      <w:marTop w:val="0"/>
      <w:marBottom w:val="0"/>
      <w:divBdr>
        <w:top w:val="none" w:sz="0" w:space="0" w:color="auto"/>
        <w:left w:val="none" w:sz="0" w:space="0" w:color="auto"/>
        <w:bottom w:val="none" w:sz="0" w:space="0" w:color="auto"/>
        <w:right w:val="none" w:sz="0" w:space="0" w:color="auto"/>
      </w:divBdr>
    </w:div>
    <w:div w:id="943808133">
      <w:bodyDiv w:val="1"/>
      <w:marLeft w:val="0"/>
      <w:marRight w:val="0"/>
      <w:marTop w:val="0"/>
      <w:marBottom w:val="0"/>
      <w:divBdr>
        <w:top w:val="none" w:sz="0" w:space="0" w:color="auto"/>
        <w:left w:val="none" w:sz="0" w:space="0" w:color="auto"/>
        <w:bottom w:val="none" w:sz="0" w:space="0" w:color="auto"/>
        <w:right w:val="none" w:sz="0" w:space="0" w:color="auto"/>
      </w:divBdr>
    </w:div>
    <w:div w:id="945382510">
      <w:bodyDiv w:val="1"/>
      <w:marLeft w:val="0"/>
      <w:marRight w:val="0"/>
      <w:marTop w:val="0"/>
      <w:marBottom w:val="0"/>
      <w:divBdr>
        <w:top w:val="none" w:sz="0" w:space="0" w:color="auto"/>
        <w:left w:val="none" w:sz="0" w:space="0" w:color="auto"/>
        <w:bottom w:val="none" w:sz="0" w:space="0" w:color="auto"/>
        <w:right w:val="none" w:sz="0" w:space="0" w:color="auto"/>
      </w:divBdr>
    </w:div>
    <w:div w:id="948051864">
      <w:bodyDiv w:val="1"/>
      <w:marLeft w:val="0"/>
      <w:marRight w:val="0"/>
      <w:marTop w:val="0"/>
      <w:marBottom w:val="0"/>
      <w:divBdr>
        <w:top w:val="none" w:sz="0" w:space="0" w:color="auto"/>
        <w:left w:val="none" w:sz="0" w:space="0" w:color="auto"/>
        <w:bottom w:val="none" w:sz="0" w:space="0" w:color="auto"/>
        <w:right w:val="none" w:sz="0" w:space="0" w:color="auto"/>
      </w:divBdr>
    </w:div>
    <w:div w:id="964626762">
      <w:bodyDiv w:val="1"/>
      <w:marLeft w:val="0"/>
      <w:marRight w:val="0"/>
      <w:marTop w:val="0"/>
      <w:marBottom w:val="0"/>
      <w:divBdr>
        <w:top w:val="none" w:sz="0" w:space="0" w:color="auto"/>
        <w:left w:val="none" w:sz="0" w:space="0" w:color="auto"/>
        <w:bottom w:val="none" w:sz="0" w:space="0" w:color="auto"/>
        <w:right w:val="none" w:sz="0" w:space="0" w:color="auto"/>
      </w:divBdr>
    </w:div>
    <w:div w:id="969363138">
      <w:bodyDiv w:val="1"/>
      <w:marLeft w:val="0"/>
      <w:marRight w:val="0"/>
      <w:marTop w:val="0"/>
      <w:marBottom w:val="0"/>
      <w:divBdr>
        <w:top w:val="none" w:sz="0" w:space="0" w:color="auto"/>
        <w:left w:val="none" w:sz="0" w:space="0" w:color="auto"/>
        <w:bottom w:val="none" w:sz="0" w:space="0" w:color="auto"/>
        <w:right w:val="none" w:sz="0" w:space="0" w:color="auto"/>
      </w:divBdr>
    </w:div>
    <w:div w:id="995957375">
      <w:bodyDiv w:val="1"/>
      <w:marLeft w:val="0"/>
      <w:marRight w:val="0"/>
      <w:marTop w:val="0"/>
      <w:marBottom w:val="0"/>
      <w:divBdr>
        <w:top w:val="none" w:sz="0" w:space="0" w:color="auto"/>
        <w:left w:val="none" w:sz="0" w:space="0" w:color="auto"/>
        <w:bottom w:val="none" w:sz="0" w:space="0" w:color="auto"/>
        <w:right w:val="none" w:sz="0" w:space="0" w:color="auto"/>
      </w:divBdr>
    </w:div>
    <w:div w:id="1001811773">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08677354">
      <w:bodyDiv w:val="1"/>
      <w:marLeft w:val="0"/>
      <w:marRight w:val="0"/>
      <w:marTop w:val="0"/>
      <w:marBottom w:val="0"/>
      <w:divBdr>
        <w:top w:val="none" w:sz="0" w:space="0" w:color="auto"/>
        <w:left w:val="none" w:sz="0" w:space="0" w:color="auto"/>
        <w:bottom w:val="none" w:sz="0" w:space="0" w:color="auto"/>
        <w:right w:val="none" w:sz="0" w:space="0" w:color="auto"/>
      </w:divBdr>
    </w:div>
    <w:div w:id="1026440514">
      <w:bodyDiv w:val="1"/>
      <w:marLeft w:val="0"/>
      <w:marRight w:val="0"/>
      <w:marTop w:val="0"/>
      <w:marBottom w:val="0"/>
      <w:divBdr>
        <w:top w:val="none" w:sz="0" w:space="0" w:color="auto"/>
        <w:left w:val="none" w:sz="0" w:space="0" w:color="auto"/>
        <w:bottom w:val="none" w:sz="0" w:space="0" w:color="auto"/>
        <w:right w:val="none" w:sz="0" w:space="0" w:color="auto"/>
      </w:divBdr>
    </w:div>
    <w:div w:id="1031761863">
      <w:bodyDiv w:val="1"/>
      <w:marLeft w:val="0"/>
      <w:marRight w:val="0"/>
      <w:marTop w:val="0"/>
      <w:marBottom w:val="0"/>
      <w:divBdr>
        <w:top w:val="none" w:sz="0" w:space="0" w:color="auto"/>
        <w:left w:val="none" w:sz="0" w:space="0" w:color="auto"/>
        <w:bottom w:val="none" w:sz="0" w:space="0" w:color="auto"/>
        <w:right w:val="none" w:sz="0" w:space="0" w:color="auto"/>
      </w:divBdr>
    </w:div>
    <w:div w:id="1032611379">
      <w:bodyDiv w:val="1"/>
      <w:marLeft w:val="0"/>
      <w:marRight w:val="0"/>
      <w:marTop w:val="0"/>
      <w:marBottom w:val="0"/>
      <w:divBdr>
        <w:top w:val="none" w:sz="0" w:space="0" w:color="auto"/>
        <w:left w:val="none" w:sz="0" w:space="0" w:color="auto"/>
        <w:bottom w:val="none" w:sz="0" w:space="0" w:color="auto"/>
        <w:right w:val="none" w:sz="0" w:space="0" w:color="auto"/>
      </w:divBdr>
    </w:div>
    <w:div w:id="1055931015">
      <w:bodyDiv w:val="1"/>
      <w:marLeft w:val="0"/>
      <w:marRight w:val="0"/>
      <w:marTop w:val="0"/>
      <w:marBottom w:val="0"/>
      <w:divBdr>
        <w:top w:val="none" w:sz="0" w:space="0" w:color="auto"/>
        <w:left w:val="none" w:sz="0" w:space="0" w:color="auto"/>
        <w:bottom w:val="none" w:sz="0" w:space="0" w:color="auto"/>
        <w:right w:val="none" w:sz="0" w:space="0" w:color="auto"/>
      </w:divBdr>
    </w:div>
    <w:div w:id="1061708083">
      <w:bodyDiv w:val="1"/>
      <w:marLeft w:val="0"/>
      <w:marRight w:val="0"/>
      <w:marTop w:val="0"/>
      <w:marBottom w:val="0"/>
      <w:divBdr>
        <w:top w:val="none" w:sz="0" w:space="0" w:color="auto"/>
        <w:left w:val="none" w:sz="0" w:space="0" w:color="auto"/>
        <w:bottom w:val="none" w:sz="0" w:space="0" w:color="auto"/>
        <w:right w:val="none" w:sz="0" w:space="0" w:color="auto"/>
      </w:divBdr>
    </w:div>
    <w:div w:id="1062754952">
      <w:bodyDiv w:val="1"/>
      <w:marLeft w:val="0"/>
      <w:marRight w:val="0"/>
      <w:marTop w:val="0"/>
      <w:marBottom w:val="0"/>
      <w:divBdr>
        <w:top w:val="none" w:sz="0" w:space="0" w:color="auto"/>
        <w:left w:val="none" w:sz="0" w:space="0" w:color="auto"/>
        <w:bottom w:val="none" w:sz="0" w:space="0" w:color="auto"/>
        <w:right w:val="none" w:sz="0" w:space="0" w:color="auto"/>
      </w:divBdr>
    </w:div>
    <w:div w:id="1065033822">
      <w:bodyDiv w:val="1"/>
      <w:marLeft w:val="0"/>
      <w:marRight w:val="0"/>
      <w:marTop w:val="0"/>
      <w:marBottom w:val="0"/>
      <w:divBdr>
        <w:top w:val="none" w:sz="0" w:space="0" w:color="auto"/>
        <w:left w:val="none" w:sz="0" w:space="0" w:color="auto"/>
        <w:bottom w:val="none" w:sz="0" w:space="0" w:color="auto"/>
        <w:right w:val="none" w:sz="0" w:space="0" w:color="auto"/>
      </w:divBdr>
    </w:div>
    <w:div w:id="1079868369">
      <w:bodyDiv w:val="1"/>
      <w:marLeft w:val="0"/>
      <w:marRight w:val="0"/>
      <w:marTop w:val="0"/>
      <w:marBottom w:val="0"/>
      <w:divBdr>
        <w:top w:val="none" w:sz="0" w:space="0" w:color="auto"/>
        <w:left w:val="none" w:sz="0" w:space="0" w:color="auto"/>
        <w:bottom w:val="none" w:sz="0" w:space="0" w:color="auto"/>
        <w:right w:val="none" w:sz="0" w:space="0" w:color="auto"/>
      </w:divBdr>
    </w:div>
    <w:div w:id="1084180575">
      <w:bodyDiv w:val="1"/>
      <w:marLeft w:val="0"/>
      <w:marRight w:val="0"/>
      <w:marTop w:val="0"/>
      <w:marBottom w:val="0"/>
      <w:divBdr>
        <w:top w:val="none" w:sz="0" w:space="0" w:color="auto"/>
        <w:left w:val="none" w:sz="0" w:space="0" w:color="auto"/>
        <w:bottom w:val="none" w:sz="0" w:space="0" w:color="auto"/>
        <w:right w:val="none" w:sz="0" w:space="0" w:color="auto"/>
      </w:divBdr>
    </w:div>
    <w:div w:id="1089883844">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090858963">
      <w:bodyDiv w:val="1"/>
      <w:marLeft w:val="0"/>
      <w:marRight w:val="0"/>
      <w:marTop w:val="0"/>
      <w:marBottom w:val="0"/>
      <w:divBdr>
        <w:top w:val="none" w:sz="0" w:space="0" w:color="auto"/>
        <w:left w:val="none" w:sz="0" w:space="0" w:color="auto"/>
        <w:bottom w:val="none" w:sz="0" w:space="0" w:color="auto"/>
        <w:right w:val="none" w:sz="0" w:space="0" w:color="auto"/>
      </w:divBdr>
    </w:div>
    <w:div w:id="1094936502">
      <w:bodyDiv w:val="1"/>
      <w:marLeft w:val="0"/>
      <w:marRight w:val="0"/>
      <w:marTop w:val="0"/>
      <w:marBottom w:val="0"/>
      <w:divBdr>
        <w:top w:val="none" w:sz="0" w:space="0" w:color="auto"/>
        <w:left w:val="none" w:sz="0" w:space="0" w:color="auto"/>
        <w:bottom w:val="none" w:sz="0" w:space="0" w:color="auto"/>
        <w:right w:val="none" w:sz="0" w:space="0" w:color="auto"/>
      </w:divBdr>
    </w:div>
    <w:div w:id="1098982284">
      <w:bodyDiv w:val="1"/>
      <w:marLeft w:val="0"/>
      <w:marRight w:val="0"/>
      <w:marTop w:val="0"/>
      <w:marBottom w:val="0"/>
      <w:divBdr>
        <w:top w:val="none" w:sz="0" w:space="0" w:color="auto"/>
        <w:left w:val="none" w:sz="0" w:space="0" w:color="auto"/>
        <w:bottom w:val="none" w:sz="0" w:space="0" w:color="auto"/>
        <w:right w:val="none" w:sz="0" w:space="0" w:color="auto"/>
      </w:divBdr>
    </w:div>
    <w:div w:id="1102992969">
      <w:bodyDiv w:val="1"/>
      <w:marLeft w:val="0"/>
      <w:marRight w:val="0"/>
      <w:marTop w:val="0"/>
      <w:marBottom w:val="0"/>
      <w:divBdr>
        <w:top w:val="none" w:sz="0" w:space="0" w:color="auto"/>
        <w:left w:val="none" w:sz="0" w:space="0" w:color="auto"/>
        <w:bottom w:val="none" w:sz="0" w:space="0" w:color="auto"/>
        <w:right w:val="none" w:sz="0" w:space="0" w:color="auto"/>
      </w:divBdr>
    </w:div>
    <w:div w:id="1107116193">
      <w:bodyDiv w:val="1"/>
      <w:marLeft w:val="0"/>
      <w:marRight w:val="0"/>
      <w:marTop w:val="0"/>
      <w:marBottom w:val="0"/>
      <w:divBdr>
        <w:top w:val="none" w:sz="0" w:space="0" w:color="auto"/>
        <w:left w:val="none" w:sz="0" w:space="0" w:color="auto"/>
        <w:bottom w:val="none" w:sz="0" w:space="0" w:color="auto"/>
        <w:right w:val="none" w:sz="0" w:space="0" w:color="auto"/>
      </w:divBdr>
    </w:div>
    <w:div w:id="1111701844">
      <w:bodyDiv w:val="1"/>
      <w:marLeft w:val="0"/>
      <w:marRight w:val="0"/>
      <w:marTop w:val="0"/>
      <w:marBottom w:val="0"/>
      <w:divBdr>
        <w:top w:val="none" w:sz="0" w:space="0" w:color="auto"/>
        <w:left w:val="none" w:sz="0" w:space="0" w:color="auto"/>
        <w:bottom w:val="none" w:sz="0" w:space="0" w:color="auto"/>
        <w:right w:val="none" w:sz="0" w:space="0" w:color="auto"/>
      </w:divBdr>
    </w:div>
    <w:div w:id="1126965217">
      <w:bodyDiv w:val="1"/>
      <w:marLeft w:val="0"/>
      <w:marRight w:val="0"/>
      <w:marTop w:val="0"/>
      <w:marBottom w:val="0"/>
      <w:divBdr>
        <w:top w:val="none" w:sz="0" w:space="0" w:color="auto"/>
        <w:left w:val="none" w:sz="0" w:space="0" w:color="auto"/>
        <w:bottom w:val="none" w:sz="0" w:space="0" w:color="auto"/>
        <w:right w:val="none" w:sz="0" w:space="0" w:color="auto"/>
      </w:divBdr>
    </w:div>
    <w:div w:id="1131898881">
      <w:bodyDiv w:val="1"/>
      <w:marLeft w:val="0"/>
      <w:marRight w:val="0"/>
      <w:marTop w:val="0"/>
      <w:marBottom w:val="0"/>
      <w:divBdr>
        <w:top w:val="none" w:sz="0" w:space="0" w:color="auto"/>
        <w:left w:val="none" w:sz="0" w:space="0" w:color="auto"/>
        <w:bottom w:val="none" w:sz="0" w:space="0" w:color="auto"/>
        <w:right w:val="none" w:sz="0" w:space="0" w:color="auto"/>
      </w:divBdr>
    </w:div>
    <w:div w:id="1134562266">
      <w:bodyDiv w:val="1"/>
      <w:marLeft w:val="0"/>
      <w:marRight w:val="0"/>
      <w:marTop w:val="0"/>
      <w:marBottom w:val="0"/>
      <w:divBdr>
        <w:top w:val="none" w:sz="0" w:space="0" w:color="auto"/>
        <w:left w:val="none" w:sz="0" w:space="0" w:color="auto"/>
        <w:bottom w:val="none" w:sz="0" w:space="0" w:color="auto"/>
        <w:right w:val="none" w:sz="0" w:space="0" w:color="auto"/>
      </w:divBdr>
    </w:div>
    <w:div w:id="1137071071">
      <w:bodyDiv w:val="1"/>
      <w:marLeft w:val="0"/>
      <w:marRight w:val="0"/>
      <w:marTop w:val="0"/>
      <w:marBottom w:val="0"/>
      <w:divBdr>
        <w:top w:val="none" w:sz="0" w:space="0" w:color="auto"/>
        <w:left w:val="none" w:sz="0" w:space="0" w:color="auto"/>
        <w:bottom w:val="none" w:sz="0" w:space="0" w:color="auto"/>
        <w:right w:val="none" w:sz="0" w:space="0" w:color="auto"/>
      </w:divBdr>
    </w:div>
    <w:div w:id="1152527484">
      <w:bodyDiv w:val="1"/>
      <w:marLeft w:val="0"/>
      <w:marRight w:val="0"/>
      <w:marTop w:val="0"/>
      <w:marBottom w:val="0"/>
      <w:divBdr>
        <w:top w:val="none" w:sz="0" w:space="0" w:color="auto"/>
        <w:left w:val="none" w:sz="0" w:space="0" w:color="auto"/>
        <w:bottom w:val="none" w:sz="0" w:space="0" w:color="auto"/>
        <w:right w:val="none" w:sz="0" w:space="0" w:color="auto"/>
      </w:divBdr>
    </w:div>
    <w:div w:id="1156067180">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59224278">
      <w:bodyDiv w:val="1"/>
      <w:marLeft w:val="0"/>
      <w:marRight w:val="0"/>
      <w:marTop w:val="0"/>
      <w:marBottom w:val="0"/>
      <w:divBdr>
        <w:top w:val="none" w:sz="0" w:space="0" w:color="auto"/>
        <w:left w:val="none" w:sz="0" w:space="0" w:color="auto"/>
        <w:bottom w:val="none" w:sz="0" w:space="0" w:color="auto"/>
        <w:right w:val="none" w:sz="0" w:space="0" w:color="auto"/>
      </w:divBdr>
    </w:div>
    <w:div w:id="1159274507">
      <w:bodyDiv w:val="1"/>
      <w:marLeft w:val="0"/>
      <w:marRight w:val="0"/>
      <w:marTop w:val="0"/>
      <w:marBottom w:val="0"/>
      <w:divBdr>
        <w:top w:val="none" w:sz="0" w:space="0" w:color="auto"/>
        <w:left w:val="none" w:sz="0" w:space="0" w:color="auto"/>
        <w:bottom w:val="none" w:sz="0" w:space="0" w:color="auto"/>
        <w:right w:val="none" w:sz="0" w:space="0" w:color="auto"/>
      </w:divBdr>
    </w:div>
    <w:div w:id="1166819198">
      <w:bodyDiv w:val="1"/>
      <w:marLeft w:val="0"/>
      <w:marRight w:val="0"/>
      <w:marTop w:val="0"/>
      <w:marBottom w:val="0"/>
      <w:divBdr>
        <w:top w:val="none" w:sz="0" w:space="0" w:color="auto"/>
        <w:left w:val="none" w:sz="0" w:space="0" w:color="auto"/>
        <w:bottom w:val="none" w:sz="0" w:space="0" w:color="auto"/>
        <w:right w:val="none" w:sz="0" w:space="0" w:color="auto"/>
      </w:divBdr>
    </w:div>
    <w:div w:id="1169104450">
      <w:bodyDiv w:val="1"/>
      <w:marLeft w:val="0"/>
      <w:marRight w:val="0"/>
      <w:marTop w:val="0"/>
      <w:marBottom w:val="0"/>
      <w:divBdr>
        <w:top w:val="none" w:sz="0" w:space="0" w:color="auto"/>
        <w:left w:val="none" w:sz="0" w:space="0" w:color="auto"/>
        <w:bottom w:val="none" w:sz="0" w:space="0" w:color="auto"/>
        <w:right w:val="none" w:sz="0" w:space="0" w:color="auto"/>
      </w:divBdr>
    </w:div>
    <w:div w:id="1170831211">
      <w:bodyDiv w:val="1"/>
      <w:marLeft w:val="0"/>
      <w:marRight w:val="0"/>
      <w:marTop w:val="0"/>
      <w:marBottom w:val="0"/>
      <w:divBdr>
        <w:top w:val="none" w:sz="0" w:space="0" w:color="auto"/>
        <w:left w:val="none" w:sz="0" w:space="0" w:color="auto"/>
        <w:bottom w:val="none" w:sz="0" w:space="0" w:color="auto"/>
        <w:right w:val="none" w:sz="0" w:space="0" w:color="auto"/>
      </w:divBdr>
    </w:div>
    <w:div w:id="1188299453">
      <w:bodyDiv w:val="1"/>
      <w:marLeft w:val="0"/>
      <w:marRight w:val="0"/>
      <w:marTop w:val="0"/>
      <w:marBottom w:val="0"/>
      <w:divBdr>
        <w:top w:val="none" w:sz="0" w:space="0" w:color="auto"/>
        <w:left w:val="none" w:sz="0" w:space="0" w:color="auto"/>
        <w:bottom w:val="none" w:sz="0" w:space="0" w:color="auto"/>
        <w:right w:val="none" w:sz="0" w:space="0" w:color="auto"/>
      </w:divBdr>
    </w:div>
    <w:div w:id="1188986687">
      <w:bodyDiv w:val="1"/>
      <w:marLeft w:val="0"/>
      <w:marRight w:val="0"/>
      <w:marTop w:val="0"/>
      <w:marBottom w:val="0"/>
      <w:divBdr>
        <w:top w:val="none" w:sz="0" w:space="0" w:color="auto"/>
        <w:left w:val="none" w:sz="0" w:space="0" w:color="auto"/>
        <w:bottom w:val="none" w:sz="0" w:space="0" w:color="auto"/>
        <w:right w:val="none" w:sz="0" w:space="0" w:color="auto"/>
      </w:divBdr>
    </w:div>
    <w:div w:id="1189878094">
      <w:bodyDiv w:val="1"/>
      <w:marLeft w:val="0"/>
      <w:marRight w:val="0"/>
      <w:marTop w:val="0"/>
      <w:marBottom w:val="0"/>
      <w:divBdr>
        <w:top w:val="none" w:sz="0" w:space="0" w:color="auto"/>
        <w:left w:val="none" w:sz="0" w:space="0" w:color="auto"/>
        <w:bottom w:val="none" w:sz="0" w:space="0" w:color="auto"/>
        <w:right w:val="none" w:sz="0" w:space="0" w:color="auto"/>
      </w:divBdr>
    </w:div>
    <w:div w:id="1190145775">
      <w:bodyDiv w:val="1"/>
      <w:marLeft w:val="0"/>
      <w:marRight w:val="0"/>
      <w:marTop w:val="0"/>
      <w:marBottom w:val="0"/>
      <w:divBdr>
        <w:top w:val="none" w:sz="0" w:space="0" w:color="auto"/>
        <w:left w:val="none" w:sz="0" w:space="0" w:color="auto"/>
        <w:bottom w:val="none" w:sz="0" w:space="0" w:color="auto"/>
        <w:right w:val="none" w:sz="0" w:space="0" w:color="auto"/>
      </w:divBdr>
    </w:div>
    <w:div w:id="1194999381">
      <w:bodyDiv w:val="1"/>
      <w:marLeft w:val="0"/>
      <w:marRight w:val="0"/>
      <w:marTop w:val="0"/>
      <w:marBottom w:val="0"/>
      <w:divBdr>
        <w:top w:val="none" w:sz="0" w:space="0" w:color="auto"/>
        <w:left w:val="none" w:sz="0" w:space="0" w:color="auto"/>
        <w:bottom w:val="none" w:sz="0" w:space="0" w:color="auto"/>
        <w:right w:val="none" w:sz="0" w:space="0" w:color="auto"/>
      </w:divBdr>
    </w:div>
    <w:div w:id="1226407610">
      <w:bodyDiv w:val="1"/>
      <w:marLeft w:val="0"/>
      <w:marRight w:val="0"/>
      <w:marTop w:val="0"/>
      <w:marBottom w:val="0"/>
      <w:divBdr>
        <w:top w:val="none" w:sz="0" w:space="0" w:color="auto"/>
        <w:left w:val="none" w:sz="0" w:space="0" w:color="auto"/>
        <w:bottom w:val="none" w:sz="0" w:space="0" w:color="auto"/>
        <w:right w:val="none" w:sz="0" w:space="0" w:color="auto"/>
      </w:divBdr>
    </w:div>
    <w:div w:id="1227912424">
      <w:bodyDiv w:val="1"/>
      <w:marLeft w:val="0"/>
      <w:marRight w:val="0"/>
      <w:marTop w:val="0"/>
      <w:marBottom w:val="0"/>
      <w:divBdr>
        <w:top w:val="none" w:sz="0" w:space="0" w:color="auto"/>
        <w:left w:val="none" w:sz="0" w:space="0" w:color="auto"/>
        <w:bottom w:val="none" w:sz="0" w:space="0" w:color="auto"/>
        <w:right w:val="none" w:sz="0" w:space="0" w:color="auto"/>
      </w:divBdr>
    </w:div>
    <w:div w:id="1231770142">
      <w:bodyDiv w:val="1"/>
      <w:marLeft w:val="0"/>
      <w:marRight w:val="0"/>
      <w:marTop w:val="0"/>
      <w:marBottom w:val="0"/>
      <w:divBdr>
        <w:top w:val="none" w:sz="0" w:space="0" w:color="auto"/>
        <w:left w:val="none" w:sz="0" w:space="0" w:color="auto"/>
        <w:bottom w:val="none" w:sz="0" w:space="0" w:color="auto"/>
        <w:right w:val="none" w:sz="0" w:space="0" w:color="auto"/>
      </w:divBdr>
    </w:div>
    <w:div w:id="1242252877">
      <w:bodyDiv w:val="1"/>
      <w:marLeft w:val="0"/>
      <w:marRight w:val="0"/>
      <w:marTop w:val="0"/>
      <w:marBottom w:val="0"/>
      <w:divBdr>
        <w:top w:val="none" w:sz="0" w:space="0" w:color="auto"/>
        <w:left w:val="none" w:sz="0" w:space="0" w:color="auto"/>
        <w:bottom w:val="none" w:sz="0" w:space="0" w:color="auto"/>
        <w:right w:val="none" w:sz="0" w:space="0" w:color="auto"/>
      </w:divBdr>
    </w:div>
    <w:div w:id="1251036859">
      <w:bodyDiv w:val="1"/>
      <w:marLeft w:val="0"/>
      <w:marRight w:val="0"/>
      <w:marTop w:val="0"/>
      <w:marBottom w:val="0"/>
      <w:divBdr>
        <w:top w:val="none" w:sz="0" w:space="0" w:color="auto"/>
        <w:left w:val="none" w:sz="0" w:space="0" w:color="auto"/>
        <w:bottom w:val="none" w:sz="0" w:space="0" w:color="auto"/>
        <w:right w:val="none" w:sz="0" w:space="0" w:color="auto"/>
      </w:divBdr>
    </w:div>
    <w:div w:id="1251502565">
      <w:bodyDiv w:val="1"/>
      <w:marLeft w:val="0"/>
      <w:marRight w:val="0"/>
      <w:marTop w:val="0"/>
      <w:marBottom w:val="0"/>
      <w:divBdr>
        <w:top w:val="none" w:sz="0" w:space="0" w:color="auto"/>
        <w:left w:val="none" w:sz="0" w:space="0" w:color="auto"/>
        <w:bottom w:val="none" w:sz="0" w:space="0" w:color="auto"/>
        <w:right w:val="none" w:sz="0" w:space="0" w:color="auto"/>
      </w:divBdr>
    </w:div>
    <w:div w:id="1260404395">
      <w:bodyDiv w:val="1"/>
      <w:marLeft w:val="0"/>
      <w:marRight w:val="0"/>
      <w:marTop w:val="0"/>
      <w:marBottom w:val="0"/>
      <w:divBdr>
        <w:top w:val="none" w:sz="0" w:space="0" w:color="auto"/>
        <w:left w:val="none" w:sz="0" w:space="0" w:color="auto"/>
        <w:bottom w:val="none" w:sz="0" w:space="0" w:color="auto"/>
        <w:right w:val="none" w:sz="0" w:space="0" w:color="auto"/>
      </w:divBdr>
    </w:div>
    <w:div w:id="1267927132">
      <w:bodyDiv w:val="1"/>
      <w:marLeft w:val="0"/>
      <w:marRight w:val="0"/>
      <w:marTop w:val="0"/>
      <w:marBottom w:val="0"/>
      <w:divBdr>
        <w:top w:val="none" w:sz="0" w:space="0" w:color="auto"/>
        <w:left w:val="none" w:sz="0" w:space="0" w:color="auto"/>
        <w:bottom w:val="none" w:sz="0" w:space="0" w:color="auto"/>
        <w:right w:val="none" w:sz="0" w:space="0" w:color="auto"/>
      </w:divBdr>
    </w:div>
    <w:div w:id="1269004113">
      <w:bodyDiv w:val="1"/>
      <w:marLeft w:val="0"/>
      <w:marRight w:val="0"/>
      <w:marTop w:val="0"/>
      <w:marBottom w:val="0"/>
      <w:divBdr>
        <w:top w:val="none" w:sz="0" w:space="0" w:color="auto"/>
        <w:left w:val="none" w:sz="0" w:space="0" w:color="auto"/>
        <w:bottom w:val="none" w:sz="0" w:space="0" w:color="auto"/>
        <w:right w:val="none" w:sz="0" w:space="0" w:color="auto"/>
      </w:divBdr>
    </w:div>
    <w:div w:id="1271620418">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05044861">
      <w:bodyDiv w:val="1"/>
      <w:marLeft w:val="0"/>
      <w:marRight w:val="0"/>
      <w:marTop w:val="0"/>
      <w:marBottom w:val="0"/>
      <w:divBdr>
        <w:top w:val="none" w:sz="0" w:space="0" w:color="auto"/>
        <w:left w:val="none" w:sz="0" w:space="0" w:color="auto"/>
        <w:bottom w:val="none" w:sz="0" w:space="0" w:color="auto"/>
        <w:right w:val="none" w:sz="0" w:space="0" w:color="auto"/>
      </w:divBdr>
    </w:div>
    <w:div w:id="1308827471">
      <w:bodyDiv w:val="1"/>
      <w:marLeft w:val="0"/>
      <w:marRight w:val="0"/>
      <w:marTop w:val="0"/>
      <w:marBottom w:val="0"/>
      <w:divBdr>
        <w:top w:val="none" w:sz="0" w:space="0" w:color="auto"/>
        <w:left w:val="none" w:sz="0" w:space="0" w:color="auto"/>
        <w:bottom w:val="none" w:sz="0" w:space="0" w:color="auto"/>
        <w:right w:val="none" w:sz="0" w:space="0" w:color="auto"/>
      </w:divBdr>
    </w:div>
    <w:div w:id="1317492867">
      <w:bodyDiv w:val="1"/>
      <w:marLeft w:val="0"/>
      <w:marRight w:val="0"/>
      <w:marTop w:val="0"/>
      <w:marBottom w:val="0"/>
      <w:divBdr>
        <w:top w:val="none" w:sz="0" w:space="0" w:color="auto"/>
        <w:left w:val="none" w:sz="0" w:space="0" w:color="auto"/>
        <w:bottom w:val="none" w:sz="0" w:space="0" w:color="auto"/>
        <w:right w:val="none" w:sz="0" w:space="0" w:color="auto"/>
      </w:divBdr>
    </w:div>
    <w:div w:id="1341812336">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363869919">
      <w:bodyDiv w:val="1"/>
      <w:marLeft w:val="0"/>
      <w:marRight w:val="0"/>
      <w:marTop w:val="0"/>
      <w:marBottom w:val="0"/>
      <w:divBdr>
        <w:top w:val="none" w:sz="0" w:space="0" w:color="auto"/>
        <w:left w:val="none" w:sz="0" w:space="0" w:color="auto"/>
        <w:bottom w:val="none" w:sz="0" w:space="0" w:color="auto"/>
        <w:right w:val="none" w:sz="0" w:space="0" w:color="auto"/>
      </w:divBdr>
    </w:div>
    <w:div w:id="1371881930">
      <w:bodyDiv w:val="1"/>
      <w:marLeft w:val="0"/>
      <w:marRight w:val="0"/>
      <w:marTop w:val="0"/>
      <w:marBottom w:val="0"/>
      <w:divBdr>
        <w:top w:val="none" w:sz="0" w:space="0" w:color="auto"/>
        <w:left w:val="none" w:sz="0" w:space="0" w:color="auto"/>
        <w:bottom w:val="none" w:sz="0" w:space="0" w:color="auto"/>
        <w:right w:val="none" w:sz="0" w:space="0" w:color="auto"/>
      </w:divBdr>
    </w:div>
    <w:div w:id="1373574019">
      <w:bodyDiv w:val="1"/>
      <w:marLeft w:val="0"/>
      <w:marRight w:val="0"/>
      <w:marTop w:val="0"/>
      <w:marBottom w:val="0"/>
      <w:divBdr>
        <w:top w:val="none" w:sz="0" w:space="0" w:color="auto"/>
        <w:left w:val="none" w:sz="0" w:space="0" w:color="auto"/>
        <w:bottom w:val="none" w:sz="0" w:space="0" w:color="auto"/>
        <w:right w:val="none" w:sz="0" w:space="0" w:color="auto"/>
      </w:divBdr>
    </w:div>
    <w:div w:id="1381905524">
      <w:bodyDiv w:val="1"/>
      <w:marLeft w:val="0"/>
      <w:marRight w:val="0"/>
      <w:marTop w:val="0"/>
      <w:marBottom w:val="0"/>
      <w:divBdr>
        <w:top w:val="none" w:sz="0" w:space="0" w:color="auto"/>
        <w:left w:val="none" w:sz="0" w:space="0" w:color="auto"/>
        <w:bottom w:val="none" w:sz="0" w:space="0" w:color="auto"/>
        <w:right w:val="none" w:sz="0" w:space="0" w:color="auto"/>
      </w:divBdr>
    </w:div>
    <w:div w:id="1384792025">
      <w:bodyDiv w:val="1"/>
      <w:marLeft w:val="0"/>
      <w:marRight w:val="0"/>
      <w:marTop w:val="0"/>
      <w:marBottom w:val="0"/>
      <w:divBdr>
        <w:top w:val="none" w:sz="0" w:space="0" w:color="auto"/>
        <w:left w:val="none" w:sz="0" w:space="0" w:color="auto"/>
        <w:bottom w:val="none" w:sz="0" w:space="0" w:color="auto"/>
        <w:right w:val="none" w:sz="0" w:space="0" w:color="auto"/>
      </w:divBdr>
    </w:div>
    <w:div w:id="1387488841">
      <w:bodyDiv w:val="1"/>
      <w:marLeft w:val="0"/>
      <w:marRight w:val="0"/>
      <w:marTop w:val="0"/>
      <w:marBottom w:val="0"/>
      <w:divBdr>
        <w:top w:val="none" w:sz="0" w:space="0" w:color="auto"/>
        <w:left w:val="none" w:sz="0" w:space="0" w:color="auto"/>
        <w:bottom w:val="none" w:sz="0" w:space="0" w:color="auto"/>
        <w:right w:val="none" w:sz="0" w:space="0" w:color="auto"/>
      </w:divBdr>
    </w:div>
    <w:div w:id="1388458365">
      <w:bodyDiv w:val="1"/>
      <w:marLeft w:val="0"/>
      <w:marRight w:val="0"/>
      <w:marTop w:val="0"/>
      <w:marBottom w:val="0"/>
      <w:divBdr>
        <w:top w:val="none" w:sz="0" w:space="0" w:color="auto"/>
        <w:left w:val="none" w:sz="0" w:space="0" w:color="auto"/>
        <w:bottom w:val="none" w:sz="0" w:space="0" w:color="auto"/>
        <w:right w:val="none" w:sz="0" w:space="0" w:color="auto"/>
      </w:divBdr>
    </w:div>
    <w:div w:id="1390885883">
      <w:bodyDiv w:val="1"/>
      <w:marLeft w:val="0"/>
      <w:marRight w:val="0"/>
      <w:marTop w:val="0"/>
      <w:marBottom w:val="0"/>
      <w:divBdr>
        <w:top w:val="none" w:sz="0" w:space="0" w:color="auto"/>
        <w:left w:val="none" w:sz="0" w:space="0" w:color="auto"/>
        <w:bottom w:val="none" w:sz="0" w:space="0" w:color="auto"/>
        <w:right w:val="none" w:sz="0" w:space="0" w:color="auto"/>
      </w:divBdr>
    </w:div>
    <w:div w:id="1398281213">
      <w:bodyDiv w:val="1"/>
      <w:marLeft w:val="0"/>
      <w:marRight w:val="0"/>
      <w:marTop w:val="0"/>
      <w:marBottom w:val="0"/>
      <w:divBdr>
        <w:top w:val="none" w:sz="0" w:space="0" w:color="auto"/>
        <w:left w:val="none" w:sz="0" w:space="0" w:color="auto"/>
        <w:bottom w:val="none" w:sz="0" w:space="0" w:color="auto"/>
        <w:right w:val="none" w:sz="0" w:space="0" w:color="auto"/>
      </w:divBdr>
    </w:div>
    <w:div w:id="1399135438">
      <w:bodyDiv w:val="1"/>
      <w:marLeft w:val="0"/>
      <w:marRight w:val="0"/>
      <w:marTop w:val="0"/>
      <w:marBottom w:val="0"/>
      <w:divBdr>
        <w:top w:val="none" w:sz="0" w:space="0" w:color="auto"/>
        <w:left w:val="none" w:sz="0" w:space="0" w:color="auto"/>
        <w:bottom w:val="none" w:sz="0" w:space="0" w:color="auto"/>
        <w:right w:val="none" w:sz="0" w:space="0" w:color="auto"/>
      </w:divBdr>
    </w:div>
    <w:div w:id="1409956352">
      <w:bodyDiv w:val="1"/>
      <w:marLeft w:val="0"/>
      <w:marRight w:val="0"/>
      <w:marTop w:val="0"/>
      <w:marBottom w:val="0"/>
      <w:divBdr>
        <w:top w:val="none" w:sz="0" w:space="0" w:color="auto"/>
        <w:left w:val="none" w:sz="0" w:space="0" w:color="auto"/>
        <w:bottom w:val="none" w:sz="0" w:space="0" w:color="auto"/>
        <w:right w:val="none" w:sz="0" w:space="0" w:color="auto"/>
      </w:divBdr>
    </w:div>
    <w:div w:id="1418478756">
      <w:bodyDiv w:val="1"/>
      <w:marLeft w:val="0"/>
      <w:marRight w:val="0"/>
      <w:marTop w:val="0"/>
      <w:marBottom w:val="0"/>
      <w:divBdr>
        <w:top w:val="none" w:sz="0" w:space="0" w:color="auto"/>
        <w:left w:val="none" w:sz="0" w:space="0" w:color="auto"/>
        <w:bottom w:val="none" w:sz="0" w:space="0" w:color="auto"/>
        <w:right w:val="none" w:sz="0" w:space="0" w:color="auto"/>
      </w:divBdr>
    </w:div>
    <w:div w:id="1420904611">
      <w:bodyDiv w:val="1"/>
      <w:marLeft w:val="0"/>
      <w:marRight w:val="0"/>
      <w:marTop w:val="0"/>
      <w:marBottom w:val="0"/>
      <w:divBdr>
        <w:top w:val="none" w:sz="0" w:space="0" w:color="auto"/>
        <w:left w:val="none" w:sz="0" w:space="0" w:color="auto"/>
        <w:bottom w:val="none" w:sz="0" w:space="0" w:color="auto"/>
        <w:right w:val="none" w:sz="0" w:space="0" w:color="auto"/>
      </w:divBdr>
    </w:div>
    <w:div w:id="1432357081">
      <w:bodyDiv w:val="1"/>
      <w:marLeft w:val="0"/>
      <w:marRight w:val="0"/>
      <w:marTop w:val="0"/>
      <w:marBottom w:val="0"/>
      <w:divBdr>
        <w:top w:val="none" w:sz="0" w:space="0" w:color="auto"/>
        <w:left w:val="none" w:sz="0" w:space="0" w:color="auto"/>
        <w:bottom w:val="none" w:sz="0" w:space="0" w:color="auto"/>
        <w:right w:val="none" w:sz="0" w:space="0" w:color="auto"/>
      </w:divBdr>
    </w:div>
    <w:div w:id="1435439838">
      <w:bodyDiv w:val="1"/>
      <w:marLeft w:val="0"/>
      <w:marRight w:val="0"/>
      <w:marTop w:val="0"/>
      <w:marBottom w:val="0"/>
      <w:divBdr>
        <w:top w:val="none" w:sz="0" w:space="0" w:color="auto"/>
        <w:left w:val="none" w:sz="0" w:space="0" w:color="auto"/>
        <w:bottom w:val="none" w:sz="0" w:space="0" w:color="auto"/>
        <w:right w:val="none" w:sz="0" w:space="0" w:color="auto"/>
      </w:divBdr>
    </w:div>
    <w:div w:id="1436053086">
      <w:bodyDiv w:val="1"/>
      <w:marLeft w:val="0"/>
      <w:marRight w:val="0"/>
      <w:marTop w:val="0"/>
      <w:marBottom w:val="0"/>
      <w:divBdr>
        <w:top w:val="none" w:sz="0" w:space="0" w:color="auto"/>
        <w:left w:val="none" w:sz="0" w:space="0" w:color="auto"/>
        <w:bottom w:val="none" w:sz="0" w:space="0" w:color="auto"/>
        <w:right w:val="none" w:sz="0" w:space="0" w:color="auto"/>
      </w:divBdr>
    </w:div>
    <w:div w:id="1441411894">
      <w:bodyDiv w:val="1"/>
      <w:marLeft w:val="0"/>
      <w:marRight w:val="0"/>
      <w:marTop w:val="0"/>
      <w:marBottom w:val="0"/>
      <w:divBdr>
        <w:top w:val="none" w:sz="0" w:space="0" w:color="auto"/>
        <w:left w:val="none" w:sz="0" w:space="0" w:color="auto"/>
        <w:bottom w:val="none" w:sz="0" w:space="0" w:color="auto"/>
        <w:right w:val="none" w:sz="0" w:space="0" w:color="auto"/>
      </w:divBdr>
    </w:div>
    <w:div w:id="1462840352">
      <w:bodyDiv w:val="1"/>
      <w:marLeft w:val="0"/>
      <w:marRight w:val="0"/>
      <w:marTop w:val="0"/>
      <w:marBottom w:val="0"/>
      <w:divBdr>
        <w:top w:val="none" w:sz="0" w:space="0" w:color="auto"/>
        <w:left w:val="none" w:sz="0" w:space="0" w:color="auto"/>
        <w:bottom w:val="none" w:sz="0" w:space="0" w:color="auto"/>
        <w:right w:val="none" w:sz="0" w:space="0" w:color="auto"/>
      </w:divBdr>
    </w:div>
    <w:div w:id="1468208893">
      <w:bodyDiv w:val="1"/>
      <w:marLeft w:val="0"/>
      <w:marRight w:val="0"/>
      <w:marTop w:val="0"/>
      <w:marBottom w:val="0"/>
      <w:divBdr>
        <w:top w:val="none" w:sz="0" w:space="0" w:color="auto"/>
        <w:left w:val="none" w:sz="0" w:space="0" w:color="auto"/>
        <w:bottom w:val="none" w:sz="0" w:space="0" w:color="auto"/>
        <w:right w:val="none" w:sz="0" w:space="0" w:color="auto"/>
      </w:divBdr>
    </w:div>
    <w:div w:id="1472791508">
      <w:bodyDiv w:val="1"/>
      <w:marLeft w:val="0"/>
      <w:marRight w:val="0"/>
      <w:marTop w:val="0"/>
      <w:marBottom w:val="0"/>
      <w:divBdr>
        <w:top w:val="none" w:sz="0" w:space="0" w:color="auto"/>
        <w:left w:val="none" w:sz="0" w:space="0" w:color="auto"/>
        <w:bottom w:val="none" w:sz="0" w:space="0" w:color="auto"/>
        <w:right w:val="none" w:sz="0" w:space="0" w:color="auto"/>
      </w:divBdr>
    </w:div>
    <w:div w:id="1475491049">
      <w:bodyDiv w:val="1"/>
      <w:marLeft w:val="0"/>
      <w:marRight w:val="0"/>
      <w:marTop w:val="0"/>
      <w:marBottom w:val="0"/>
      <w:divBdr>
        <w:top w:val="none" w:sz="0" w:space="0" w:color="auto"/>
        <w:left w:val="none" w:sz="0" w:space="0" w:color="auto"/>
        <w:bottom w:val="none" w:sz="0" w:space="0" w:color="auto"/>
        <w:right w:val="none" w:sz="0" w:space="0" w:color="auto"/>
      </w:divBdr>
    </w:div>
    <w:div w:id="1482231951">
      <w:bodyDiv w:val="1"/>
      <w:marLeft w:val="0"/>
      <w:marRight w:val="0"/>
      <w:marTop w:val="0"/>
      <w:marBottom w:val="0"/>
      <w:divBdr>
        <w:top w:val="none" w:sz="0" w:space="0" w:color="auto"/>
        <w:left w:val="none" w:sz="0" w:space="0" w:color="auto"/>
        <w:bottom w:val="none" w:sz="0" w:space="0" w:color="auto"/>
        <w:right w:val="none" w:sz="0" w:space="0" w:color="auto"/>
      </w:divBdr>
    </w:div>
    <w:div w:id="1504391810">
      <w:bodyDiv w:val="1"/>
      <w:marLeft w:val="0"/>
      <w:marRight w:val="0"/>
      <w:marTop w:val="0"/>
      <w:marBottom w:val="0"/>
      <w:divBdr>
        <w:top w:val="none" w:sz="0" w:space="0" w:color="auto"/>
        <w:left w:val="none" w:sz="0" w:space="0" w:color="auto"/>
        <w:bottom w:val="none" w:sz="0" w:space="0" w:color="auto"/>
        <w:right w:val="none" w:sz="0" w:space="0" w:color="auto"/>
      </w:divBdr>
    </w:div>
    <w:div w:id="1508246378">
      <w:bodyDiv w:val="1"/>
      <w:marLeft w:val="0"/>
      <w:marRight w:val="0"/>
      <w:marTop w:val="0"/>
      <w:marBottom w:val="0"/>
      <w:divBdr>
        <w:top w:val="none" w:sz="0" w:space="0" w:color="auto"/>
        <w:left w:val="none" w:sz="0" w:space="0" w:color="auto"/>
        <w:bottom w:val="none" w:sz="0" w:space="0" w:color="auto"/>
        <w:right w:val="none" w:sz="0" w:space="0" w:color="auto"/>
      </w:divBdr>
    </w:div>
    <w:div w:id="1511137563">
      <w:bodyDiv w:val="1"/>
      <w:marLeft w:val="0"/>
      <w:marRight w:val="0"/>
      <w:marTop w:val="0"/>
      <w:marBottom w:val="0"/>
      <w:divBdr>
        <w:top w:val="none" w:sz="0" w:space="0" w:color="auto"/>
        <w:left w:val="none" w:sz="0" w:space="0" w:color="auto"/>
        <w:bottom w:val="none" w:sz="0" w:space="0" w:color="auto"/>
        <w:right w:val="none" w:sz="0" w:space="0" w:color="auto"/>
      </w:divBdr>
    </w:div>
    <w:div w:id="1536651552">
      <w:bodyDiv w:val="1"/>
      <w:marLeft w:val="0"/>
      <w:marRight w:val="0"/>
      <w:marTop w:val="0"/>
      <w:marBottom w:val="0"/>
      <w:divBdr>
        <w:top w:val="none" w:sz="0" w:space="0" w:color="auto"/>
        <w:left w:val="none" w:sz="0" w:space="0" w:color="auto"/>
        <w:bottom w:val="none" w:sz="0" w:space="0" w:color="auto"/>
        <w:right w:val="none" w:sz="0" w:space="0" w:color="auto"/>
      </w:divBdr>
    </w:div>
    <w:div w:id="1541358315">
      <w:bodyDiv w:val="1"/>
      <w:marLeft w:val="0"/>
      <w:marRight w:val="0"/>
      <w:marTop w:val="0"/>
      <w:marBottom w:val="0"/>
      <w:divBdr>
        <w:top w:val="none" w:sz="0" w:space="0" w:color="auto"/>
        <w:left w:val="none" w:sz="0" w:space="0" w:color="auto"/>
        <w:bottom w:val="none" w:sz="0" w:space="0" w:color="auto"/>
        <w:right w:val="none" w:sz="0" w:space="0" w:color="auto"/>
      </w:divBdr>
    </w:div>
    <w:div w:id="1547447786">
      <w:bodyDiv w:val="1"/>
      <w:marLeft w:val="0"/>
      <w:marRight w:val="0"/>
      <w:marTop w:val="0"/>
      <w:marBottom w:val="0"/>
      <w:divBdr>
        <w:top w:val="none" w:sz="0" w:space="0" w:color="auto"/>
        <w:left w:val="none" w:sz="0" w:space="0" w:color="auto"/>
        <w:bottom w:val="none" w:sz="0" w:space="0" w:color="auto"/>
        <w:right w:val="none" w:sz="0" w:space="0" w:color="auto"/>
      </w:divBdr>
    </w:div>
    <w:div w:id="1556356663">
      <w:bodyDiv w:val="1"/>
      <w:marLeft w:val="0"/>
      <w:marRight w:val="0"/>
      <w:marTop w:val="0"/>
      <w:marBottom w:val="0"/>
      <w:divBdr>
        <w:top w:val="none" w:sz="0" w:space="0" w:color="auto"/>
        <w:left w:val="none" w:sz="0" w:space="0" w:color="auto"/>
        <w:bottom w:val="none" w:sz="0" w:space="0" w:color="auto"/>
        <w:right w:val="none" w:sz="0" w:space="0" w:color="auto"/>
      </w:divBdr>
    </w:div>
    <w:div w:id="1572498150">
      <w:bodyDiv w:val="1"/>
      <w:marLeft w:val="0"/>
      <w:marRight w:val="0"/>
      <w:marTop w:val="0"/>
      <w:marBottom w:val="0"/>
      <w:divBdr>
        <w:top w:val="none" w:sz="0" w:space="0" w:color="auto"/>
        <w:left w:val="none" w:sz="0" w:space="0" w:color="auto"/>
        <w:bottom w:val="none" w:sz="0" w:space="0" w:color="auto"/>
        <w:right w:val="none" w:sz="0" w:space="0" w:color="auto"/>
      </w:divBdr>
    </w:div>
    <w:div w:id="1584948464">
      <w:bodyDiv w:val="1"/>
      <w:marLeft w:val="0"/>
      <w:marRight w:val="0"/>
      <w:marTop w:val="0"/>
      <w:marBottom w:val="0"/>
      <w:divBdr>
        <w:top w:val="none" w:sz="0" w:space="0" w:color="auto"/>
        <w:left w:val="none" w:sz="0" w:space="0" w:color="auto"/>
        <w:bottom w:val="none" w:sz="0" w:space="0" w:color="auto"/>
        <w:right w:val="none" w:sz="0" w:space="0" w:color="auto"/>
      </w:divBdr>
    </w:div>
    <w:div w:id="1584952610">
      <w:bodyDiv w:val="1"/>
      <w:marLeft w:val="0"/>
      <w:marRight w:val="0"/>
      <w:marTop w:val="0"/>
      <w:marBottom w:val="0"/>
      <w:divBdr>
        <w:top w:val="none" w:sz="0" w:space="0" w:color="auto"/>
        <w:left w:val="none" w:sz="0" w:space="0" w:color="auto"/>
        <w:bottom w:val="none" w:sz="0" w:space="0" w:color="auto"/>
        <w:right w:val="none" w:sz="0" w:space="0" w:color="auto"/>
      </w:divBdr>
    </w:div>
    <w:div w:id="1586842936">
      <w:bodyDiv w:val="1"/>
      <w:marLeft w:val="0"/>
      <w:marRight w:val="0"/>
      <w:marTop w:val="0"/>
      <w:marBottom w:val="0"/>
      <w:divBdr>
        <w:top w:val="none" w:sz="0" w:space="0" w:color="auto"/>
        <w:left w:val="none" w:sz="0" w:space="0" w:color="auto"/>
        <w:bottom w:val="none" w:sz="0" w:space="0" w:color="auto"/>
        <w:right w:val="none" w:sz="0" w:space="0" w:color="auto"/>
      </w:divBdr>
    </w:div>
    <w:div w:id="1600672367">
      <w:bodyDiv w:val="1"/>
      <w:marLeft w:val="0"/>
      <w:marRight w:val="0"/>
      <w:marTop w:val="0"/>
      <w:marBottom w:val="0"/>
      <w:divBdr>
        <w:top w:val="none" w:sz="0" w:space="0" w:color="auto"/>
        <w:left w:val="none" w:sz="0" w:space="0" w:color="auto"/>
        <w:bottom w:val="none" w:sz="0" w:space="0" w:color="auto"/>
        <w:right w:val="none" w:sz="0" w:space="0" w:color="auto"/>
      </w:divBdr>
    </w:div>
    <w:div w:id="1601327404">
      <w:bodyDiv w:val="1"/>
      <w:marLeft w:val="0"/>
      <w:marRight w:val="0"/>
      <w:marTop w:val="0"/>
      <w:marBottom w:val="0"/>
      <w:divBdr>
        <w:top w:val="none" w:sz="0" w:space="0" w:color="auto"/>
        <w:left w:val="none" w:sz="0" w:space="0" w:color="auto"/>
        <w:bottom w:val="none" w:sz="0" w:space="0" w:color="auto"/>
        <w:right w:val="none" w:sz="0" w:space="0" w:color="auto"/>
      </w:divBdr>
    </w:div>
    <w:div w:id="1603806973">
      <w:bodyDiv w:val="1"/>
      <w:marLeft w:val="0"/>
      <w:marRight w:val="0"/>
      <w:marTop w:val="0"/>
      <w:marBottom w:val="0"/>
      <w:divBdr>
        <w:top w:val="none" w:sz="0" w:space="0" w:color="auto"/>
        <w:left w:val="none" w:sz="0" w:space="0" w:color="auto"/>
        <w:bottom w:val="none" w:sz="0" w:space="0" w:color="auto"/>
        <w:right w:val="none" w:sz="0" w:space="0" w:color="auto"/>
      </w:divBdr>
    </w:div>
    <w:div w:id="1606615327">
      <w:bodyDiv w:val="1"/>
      <w:marLeft w:val="0"/>
      <w:marRight w:val="0"/>
      <w:marTop w:val="0"/>
      <w:marBottom w:val="0"/>
      <w:divBdr>
        <w:top w:val="none" w:sz="0" w:space="0" w:color="auto"/>
        <w:left w:val="none" w:sz="0" w:space="0" w:color="auto"/>
        <w:bottom w:val="none" w:sz="0" w:space="0" w:color="auto"/>
        <w:right w:val="none" w:sz="0" w:space="0" w:color="auto"/>
      </w:divBdr>
    </w:div>
    <w:div w:id="1610697786">
      <w:bodyDiv w:val="1"/>
      <w:marLeft w:val="0"/>
      <w:marRight w:val="0"/>
      <w:marTop w:val="0"/>
      <w:marBottom w:val="0"/>
      <w:divBdr>
        <w:top w:val="none" w:sz="0" w:space="0" w:color="auto"/>
        <w:left w:val="none" w:sz="0" w:space="0" w:color="auto"/>
        <w:bottom w:val="none" w:sz="0" w:space="0" w:color="auto"/>
        <w:right w:val="none" w:sz="0" w:space="0" w:color="auto"/>
      </w:divBdr>
    </w:div>
    <w:div w:id="1615938376">
      <w:bodyDiv w:val="1"/>
      <w:marLeft w:val="0"/>
      <w:marRight w:val="0"/>
      <w:marTop w:val="0"/>
      <w:marBottom w:val="0"/>
      <w:divBdr>
        <w:top w:val="none" w:sz="0" w:space="0" w:color="auto"/>
        <w:left w:val="none" w:sz="0" w:space="0" w:color="auto"/>
        <w:bottom w:val="none" w:sz="0" w:space="0" w:color="auto"/>
        <w:right w:val="none" w:sz="0" w:space="0" w:color="auto"/>
      </w:divBdr>
    </w:div>
    <w:div w:id="1622833212">
      <w:bodyDiv w:val="1"/>
      <w:marLeft w:val="0"/>
      <w:marRight w:val="0"/>
      <w:marTop w:val="0"/>
      <w:marBottom w:val="0"/>
      <w:divBdr>
        <w:top w:val="none" w:sz="0" w:space="0" w:color="auto"/>
        <w:left w:val="none" w:sz="0" w:space="0" w:color="auto"/>
        <w:bottom w:val="none" w:sz="0" w:space="0" w:color="auto"/>
        <w:right w:val="none" w:sz="0" w:space="0" w:color="auto"/>
      </w:divBdr>
    </w:div>
    <w:div w:id="1630820677">
      <w:bodyDiv w:val="1"/>
      <w:marLeft w:val="0"/>
      <w:marRight w:val="0"/>
      <w:marTop w:val="0"/>
      <w:marBottom w:val="0"/>
      <w:divBdr>
        <w:top w:val="none" w:sz="0" w:space="0" w:color="auto"/>
        <w:left w:val="none" w:sz="0" w:space="0" w:color="auto"/>
        <w:bottom w:val="none" w:sz="0" w:space="0" w:color="auto"/>
        <w:right w:val="none" w:sz="0" w:space="0" w:color="auto"/>
      </w:divBdr>
    </w:div>
    <w:div w:id="1632318810">
      <w:bodyDiv w:val="1"/>
      <w:marLeft w:val="0"/>
      <w:marRight w:val="0"/>
      <w:marTop w:val="0"/>
      <w:marBottom w:val="0"/>
      <w:divBdr>
        <w:top w:val="none" w:sz="0" w:space="0" w:color="auto"/>
        <w:left w:val="none" w:sz="0" w:space="0" w:color="auto"/>
        <w:bottom w:val="none" w:sz="0" w:space="0" w:color="auto"/>
        <w:right w:val="none" w:sz="0" w:space="0" w:color="auto"/>
      </w:divBdr>
    </w:div>
    <w:div w:id="1639148875">
      <w:bodyDiv w:val="1"/>
      <w:marLeft w:val="0"/>
      <w:marRight w:val="0"/>
      <w:marTop w:val="0"/>
      <w:marBottom w:val="0"/>
      <w:divBdr>
        <w:top w:val="none" w:sz="0" w:space="0" w:color="auto"/>
        <w:left w:val="none" w:sz="0" w:space="0" w:color="auto"/>
        <w:bottom w:val="none" w:sz="0" w:space="0" w:color="auto"/>
        <w:right w:val="none" w:sz="0" w:space="0" w:color="auto"/>
      </w:divBdr>
    </w:div>
    <w:div w:id="1654794343">
      <w:bodyDiv w:val="1"/>
      <w:marLeft w:val="0"/>
      <w:marRight w:val="0"/>
      <w:marTop w:val="0"/>
      <w:marBottom w:val="0"/>
      <w:divBdr>
        <w:top w:val="none" w:sz="0" w:space="0" w:color="auto"/>
        <w:left w:val="none" w:sz="0" w:space="0" w:color="auto"/>
        <w:bottom w:val="none" w:sz="0" w:space="0" w:color="auto"/>
        <w:right w:val="none" w:sz="0" w:space="0" w:color="auto"/>
      </w:divBdr>
    </w:div>
    <w:div w:id="1656837798">
      <w:bodyDiv w:val="1"/>
      <w:marLeft w:val="0"/>
      <w:marRight w:val="0"/>
      <w:marTop w:val="0"/>
      <w:marBottom w:val="0"/>
      <w:divBdr>
        <w:top w:val="none" w:sz="0" w:space="0" w:color="auto"/>
        <w:left w:val="none" w:sz="0" w:space="0" w:color="auto"/>
        <w:bottom w:val="none" w:sz="0" w:space="0" w:color="auto"/>
        <w:right w:val="none" w:sz="0" w:space="0" w:color="auto"/>
      </w:divBdr>
    </w:div>
    <w:div w:id="1661882647">
      <w:bodyDiv w:val="1"/>
      <w:marLeft w:val="0"/>
      <w:marRight w:val="0"/>
      <w:marTop w:val="0"/>
      <w:marBottom w:val="0"/>
      <w:divBdr>
        <w:top w:val="none" w:sz="0" w:space="0" w:color="auto"/>
        <w:left w:val="none" w:sz="0" w:space="0" w:color="auto"/>
        <w:bottom w:val="none" w:sz="0" w:space="0" w:color="auto"/>
        <w:right w:val="none" w:sz="0" w:space="0" w:color="auto"/>
      </w:divBdr>
    </w:div>
    <w:div w:id="1666277415">
      <w:bodyDiv w:val="1"/>
      <w:marLeft w:val="0"/>
      <w:marRight w:val="0"/>
      <w:marTop w:val="0"/>
      <w:marBottom w:val="0"/>
      <w:divBdr>
        <w:top w:val="none" w:sz="0" w:space="0" w:color="auto"/>
        <w:left w:val="none" w:sz="0" w:space="0" w:color="auto"/>
        <w:bottom w:val="none" w:sz="0" w:space="0" w:color="auto"/>
        <w:right w:val="none" w:sz="0" w:space="0" w:color="auto"/>
      </w:divBdr>
    </w:div>
    <w:div w:id="1676572389">
      <w:bodyDiv w:val="1"/>
      <w:marLeft w:val="0"/>
      <w:marRight w:val="0"/>
      <w:marTop w:val="0"/>
      <w:marBottom w:val="0"/>
      <w:divBdr>
        <w:top w:val="none" w:sz="0" w:space="0" w:color="auto"/>
        <w:left w:val="none" w:sz="0" w:space="0" w:color="auto"/>
        <w:bottom w:val="none" w:sz="0" w:space="0" w:color="auto"/>
        <w:right w:val="none" w:sz="0" w:space="0" w:color="auto"/>
      </w:divBdr>
    </w:div>
    <w:div w:id="1678581032">
      <w:bodyDiv w:val="1"/>
      <w:marLeft w:val="0"/>
      <w:marRight w:val="0"/>
      <w:marTop w:val="0"/>
      <w:marBottom w:val="0"/>
      <w:divBdr>
        <w:top w:val="none" w:sz="0" w:space="0" w:color="auto"/>
        <w:left w:val="none" w:sz="0" w:space="0" w:color="auto"/>
        <w:bottom w:val="none" w:sz="0" w:space="0" w:color="auto"/>
        <w:right w:val="none" w:sz="0" w:space="0" w:color="auto"/>
      </w:divBdr>
    </w:div>
    <w:div w:id="1680766389">
      <w:bodyDiv w:val="1"/>
      <w:marLeft w:val="0"/>
      <w:marRight w:val="0"/>
      <w:marTop w:val="0"/>
      <w:marBottom w:val="0"/>
      <w:divBdr>
        <w:top w:val="none" w:sz="0" w:space="0" w:color="auto"/>
        <w:left w:val="none" w:sz="0" w:space="0" w:color="auto"/>
        <w:bottom w:val="none" w:sz="0" w:space="0" w:color="auto"/>
        <w:right w:val="none" w:sz="0" w:space="0" w:color="auto"/>
      </w:divBdr>
    </w:div>
    <w:div w:id="1682004270">
      <w:bodyDiv w:val="1"/>
      <w:marLeft w:val="0"/>
      <w:marRight w:val="0"/>
      <w:marTop w:val="0"/>
      <w:marBottom w:val="0"/>
      <w:divBdr>
        <w:top w:val="none" w:sz="0" w:space="0" w:color="auto"/>
        <w:left w:val="none" w:sz="0" w:space="0" w:color="auto"/>
        <w:bottom w:val="none" w:sz="0" w:space="0" w:color="auto"/>
        <w:right w:val="none" w:sz="0" w:space="0" w:color="auto"/>
      </w:divBdr>
    </w:div>
    <w:div w:id="1688481796">
      <w:bodyDiv w:val="1"/>
      <w:marLeft w:val="0"/>
      <w:marRight w:val="0"/>
      <w:marTop w:val="0"/>
      <w:marBottom w:val="0"/>
      <w:divBdr>
        <w:top w:val="none" w:sz="0" w:space="0" w:color="auto"/>
        <w:left w:val="none" w:sz="0" w:space="0" w:color="auto"/>
        <w:bottom w:val="none" w:sz="0" w:space="0" w:color="auto"/>
        <w:right w:val="none" w:sz="0" w:space="0" w:color="auto"/>
      </w:divBdr>
    </w:div>
    <w:div w:id="1702317584">
      <w:bodyDiv w:val="1"/>
      <w:marLeft w:val="0"/>
      <w:marRight w:val="0"/>
      <w:marTop w:val="0"/>
      <w:marBottom w:val="0"/>
      <w:divBdr>
        <w:top w:val="none" w:sz="0" w:space="0" w:color="auto"/>
        <w:left w:val="none" w:sz="0" w:space="0" w:color="auto"/>
        <w:bottom w:val="none" w:sz="0" w:space="0" w:color="auto"/>
        <w:right w:val="none" w:sz="0" w:space="0" w:color="auto"/>
      </w:divBdr>
    </w:div>
    <w:div w:id="1707557204">
      <w:bodyDiv w:val="1"/>
      <w:marLeft w:val="0"/>
      <w:marRight w:val="0"/>
      <w:marTop w:val="0"/>
      <w:marBottom w:val="0"/>
      <w:divBdr>
        <w:top w:val="none" w:sz="0" w:space="0" w:color="auto"/>
        <w:left w:val="none" w:sz="0" w:space="0" w:color="auto"/>
        <w:bottom w:val="none" w:sz="0" w:space="0" w:color="auto"/>
        <w:right w:val="none" w:sz="0" w:space="0" w:color="auto"/>
      </w:divBdr>
    </w:div>
    <w:div w:id="1712874149">
      <w:bodyDiv w:val="1"/>
      <w:marLeft w:val="0"/>
      <w:marRight w:val="0"/>
      <w:marTop w:val="0"/>
      <w:marBottom w:val="0"/>
      <w:divBdr>
        <w:top w:val="none" w:sz="0" w:space="0" w:color="auto"/>
        <w:left w:val="none" w:sz="0" w:space="0" w:color="auto"/>
        <w:bottom w:val="none" w:sz="0" w:space="0" w:color="auto"/>
        <w:right w:val="none" w:sz="0" w:space="0" w:color="auto"/>
      </w:divBdr>
    </w:div>
    <w:div w:id="1716850653">
      <w:bodyDiv w:val="1"/>
      <w:marLeft w:val="0"/>
      <w:marRight w:val="0"/>
      <w:marTop w:val="0"/>
      <w:marBottom w:val="0"/>
      <w:divBdr>
        <w:top w:val="none" w:sz="0" w:space="0" w:color="auto"/>
        <w:left w:val="none" w:sz="0" w:space="0" w:color="auto"/>
        <w:bottom w:val="none" w:sz="0" w:space="0" w:color="auto"/>
        <w:right w:val="none" w:sz="0" w:space="0" w:color="auto"/>
      </w:divBdr>
    </w:div>
    <w:div w:id="1718626831">
      <w:bodyDiv w:val="1"/>
      <w:marLeft w:val="0"/>
      <w:marRight w:val="0"/>
      <w:marTop w:val="0"/>
      <w:marBottom w:val="0"/>
      <w:divBdr>
        <w:top w:val="none" w:sz="0" w:space="0" w:color="auto"/>
        <w:left w:val="none" w:sz="0" w:space="0" w:color="auto"/>
        <w:bottom w:val="none" w:sz="0" w:space="0" w:color="auto"/>
        <w:right w:val="none" w:sz="0" w:space="0" w:color="auto"/>
      </w:divBdr>
    </w:div>
    <w:div w:id="1723946151">
      <w:bodyDiv w:val="1"/>
      <w:marLeft w:val="0"/>
      <w:marRight w:val="0"/>
      <w:marTop w:val="0"/>
      <w:marBottom w:val="0"/>
      <w:divBdr>
        <w:top w:val="none" w:sz="0" w:space="0" w:color="auto"/>
        <w:left w:val="none" w:sz="0" w:space="0" w:color="auto"/>
        <w:bottom w:val="none" w:sz="0" w:space="0" w:color="auto"/>
        <w:right w:val="none" w:sz="0" w:space="0" w:color="auto"/>
      </w:divBdr>
    </w:div>
    <w:div w:id="1729187575">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31687001">
      <w:bodyDiv w:val="1"/>
      <w:marLeft w:val="0"/>
      <w:marRight w:val="0"/>
      <w:marTop w:val="0"/>
      <w:marBottom w:val="0"/>
      <w:divBdr>
        <w:top w:val="none" w:sz="0" w:space="0" w:color="auto"/>
        <w:left w:val="none" w:sz="0" w:space="0" w:color="auto"/>
        <w:bottom w:val="none" w:sz="0" w:space="0" w:color="auto"/>
        <w:right w:val="none" w:sz="0" w:space="0" w:color="auto"/>
      </w:divBdr>
    </w:div>
    <w:div w:id="1732844136">
      <w:bodyDiv w:val="1"/>
      <w:marLeft w:val="0"/>
      <w:marRight w:val="0"/>
      <w:marTop w:val="0"/>
      <w:marBottom w:val="0"/>
      <w:divBdr>
        <w:top w:val="none" w:sz="0" w:space="0" w:color="auto"/>
        <w:left w:val="none" w:sz="0" w:space="0" w:color="auto"/>
        <w:bottom w:val="none" w:sz="0" w:space="0" w:color="auto"/>
        <w:right w:val="none" w:sz="0" w:space="0" w:color="auto"/>
      </w:divBdr>
    </w:div>
    <w:div w:id="1758401643">
      <w:bodyDiv w:val="1"/>
      <w:marLeft w:val="0"/>
      <w:marRight w:val="0"/>
      <w:marTop w:val="0"/>
      <w:marBottom w:val="0"/>
      <w:divBdr>
        <w:top w:val="none" w:sz="0" w:space="0" w:color="auto"/>
        <w:left w:val="none" w:sz="0" w:space="0" w:color="auto"/>
        <w:bottom w:val="none" w:sz="0" w:space="0" w:color="auto"/>
        <w:right w:val="none" w:sz="0" w:space="0" w:color="auto"/>
      </w:divBdr>
    </w:div>
    <w:div w:id="1779566902">
      <w:bodyDiv w:val="1"/>
      <w:marLeft w:val="0"/>
      <w:marRight w:val="0"/>
      <w:marTop w:val="0"/>
      <w:marBottom w:val="0"/>
      <w:divBdr>
        <w:top w:val="none" w:sz="0" w:space="0" w:color="auto"/>
        <w:left w:val="none" w:sz="0" w:space="0" w:color="auto"/>
        <w:bottom w:val="none" w:sz="0" w:space="0" w:color="auto"/>
        <w:right w:val="none" w:sz="0" w:space="0" w:color="auto"/>
      </w:divBdr>
    </w:div>
    <w:div w:id="1791361887">
      <w:bodyDiv w:val="1"/>
      <w:marLeft w:val="0"/>
      <w:marRight w:val="0"/>
      <w:marTop w:val="0"/>
      <w:marBottom w:val="0"/>
      <w:divBdr>
        <w:top w:val="none" w:sz="0" w:space="0" w:color="auto"/>
        <w:left w:val="none" w:sz="0" w:space="0" w:color="auto"/>
        <w:bottom w:val="none" w:sz="0" w:space="0" w:color="auto"/>
        <w:right w:val="none" w:sz="0" w:space="0" w:color="auto"/>
      </w:divBdr>
    </w:div>
    <w:div w:id="1791507230">
      <w:bodyDiv w:val="1"/>
      <w:marLeft w:val="0"/>
      <w:marRight w:val="0"/>
      <w:marTop w:val="0"/>
      <w:marBottom w:val="0"/>
      <w:divBdr>
        <w:top w:val="none" w:sz="0" w:space="0" w:color="auto"/>
        <w:left w:val="none" w:sz="0" w:space="0" w:color="auto"/>
        <w:bottom w:val="none" w:sz="0" w:space="0" w:color="auto"/>
        <w:right w:val="none" w:sz="0" w:space="0" w:color="auto"/>
      </w:divBdr>
    </w:div>
    <w:div w:id="1796945639">
      <w:bodyDiv w:val="1"/>
      <w:marLeft w:val="0"/>
      <w:marRight w:val="0"/>
      <w:marTop w:val="0"/>
      <w:marBottom w:val="0"/>
      <w:divBdr>
        <w:top w:val="none" w:sz="0" w:space="0" w:color="auto"/>
        <w:left w:val="none" w:sz="0" w:space="0" w:color="auto"/>
        <w:bottom w:val="none" w:sz="0" w:space="0" w:color="auto"/>
        <w:right w:val="none" w:sz="0" w:space="0" w:color="auto"/>
      </w:divBdr>
    </w:div>
    <w:div w:id="1798601904">
      <w:bodyDiv w:val="1"/>
      <w:marLeft w:val="0"/>
      <w:marRight w:val="0"/>
      <w:marTop w:val="0"/>
      <w:marBottom w:val="0"/>
      <w:divBdr>
        <w:top w:val="none" w:sz="0" w:space="0" w:color="auto"/>
        <w:left w:val="none" w:sz="0" w:space="0" w:color="auto"/>
        <w:bottom w:val="none" w:sz="0" w:space="0" w:color="auto"/>
        <w:right w:val="none" w:sz="0" w:space="0" w:color="auto"/>
      </w:divBdr>
    </w:div>
    <w:div w:id="1804736604">
      <w:bodyDiv w:val="1"/>
      <w:marLeft w:val="0"/>
      <w:marRight w:val="0"/>
      <w:marTop w:val="0"/>
      <w:marBottom w:val="0"/>
      <w:divBdr>
        <w:top w:val="none" w:sz="0" w:space="0" w:color="auto"/>
        <w:left w:val="none" w:sz="0" w:space="0" w:color="auto"/>
        <w:bottom w:val="none" w:sz="0" w:space="0" w:color="auto"/>
        <w:right w:val="none" w:sz="0" w:space="0" w:color="auto"/>
      </w:divBdr>
    </w:div>
    <w:div w:id="1807383258">
      <w:bodyDiv w:val="1"/>
      <w:marLeft w:val="0"/>
      <w:marRight w:val="0"/>
      <w:marTop w:val="0"/>
      <w:marBottom w:val="0"/>
      <w:divBdr>
        <w:top w:val="none" w:sz="0" w:space="0" w:color="auto"/>
        <w:left w:val="none" w:sz="0" w:space="0" w:color="auto"/>
        <w:bottom w:val="none" w:sz="0" w:space="0" w:color="auto"/>
        <w:right w:val="none" w:sz="0" w:space="0" w:color="auto"/>
      </w:divBdr>
    </w:div>
    <w:div w:id="1836608447">
      <w:bodyDiv w:val="1"/>
      <w:marLeft w:val="0"/>
      <w:marRight w:val="0"/>
      <w:marTop w:val="0"/>
      <w:marBottom w:val="0"/>
      <w:divBdr>
        <w:top w:val="none" w:sz="0" w:space="0" w:color="auto"/>
        <w:left w:val="none" w:sz="0" w:space="0" w:color="auto"/>
        <w:bottom w:val="none" w:sz="0" w:space="0" w:color="auto"/>
        <w:right w:val="none" w:sz="0" w:space="0" w:color="auto"/>
      </w:divBdr>
    </w:div>
    <w:div w:id="1837308583">
      <w:bodyDiv w:val="1"/>
      <w:marLeft w:val="0"/>
      <w:marRight w:val="0"/>
      <w:marTop w:val="0"/>
      <w:marBottom w:val="0"/>
      <w:divBdr>
        <w:top w:val="none" w:sz="0" w:space="0" w:color="auto"/>
        <w:left w:val="none" w:sz="0" w:space="0" w:color="auto"/>
        <w:bottom w:val="none" w:sz="0" w:space="0" w:color="auto"/>
        <w:right w:val="none" w:sz="0" w:space="0" w:color="auto"/>
      </w:divBdr>
    </w:div>
    <w:div w:id="1846164164">
      <w:bodyDiv w:val="1"/>
      <w:marLeft w:val="0"/>
      <w:marRight w:val="0"/>
      <w:marTop w:val="0"/>
      <w:marBottom w:val="0"/>
      <w:divBdr>
        <w:top w:val="none" w:sz="0" w:space="0" w:color="auto"/>
        <w:left w:val="none" w:sz="0" w:space="0" w:color="auto"/>
        <w:bottom w:val="none" w:sz="0" w:space="0" w:color="auto"/>
        <w:right w:val="none" w:sz="0" w:space="0" w:color="auto"/>
      </w:divBdr>
    </w:div>
    <w:div w:id="1846241168">
      <w:bodyDiv w:val="1"/>
      <w:marLeft w:val="0"/>
      <w:marRight w:val="0"/>
      <w:marTop w:val="0"/>
      <w:marBottom w:val="0"/>
      <w:divBdr>
        <w:top w:val="none" w:sz="0" w:space="0" w:color="auto"/>
        <w:left w:val="none" w:sz="0" w:space="0" w:color="auto"/>
        <w:bottom w:val="none" w:sz="0" w:space="0" w:color="auto"/>
        <w:right w:val="none" w:sz="0" w:space="0" w:color="auto"/>
      </w:divBdr>
    </w:div>
    <w:div w:id="1848860334">
      <w:bodyDiv w:val="1"/>
      <w:marLeft w:val="0"/>
      <w:marRight w:val="0"/>
      <w:marTop w:val="0"/>
      <w:marBottom w:val="0"/>
      <w:divBdr>
        <w:top w:val="none" w:sz="0" w:space="0" w:color="auto"/>
        <w:left w:val="none" w:sz="0" w:space="0" w:color="auto"/>
        <w:bottom w:val="none" w:sz="0" w:space="0" w:color="auto"/>
        <w:right w:val="none" w:sz="0" w:space="0" w:color="auto"/>
      </w:divBdr>
    </w:div>
    <w:div w:id="1892764355">
      <w:bodyDiv w:val="1"/>
      <w:marLeft w:val="0"/>
      <w:marRight w:val="0"/>
      <w:marTop w:val="0"/>
      <w:marBottom w:val="0"/>
      <w:divBdr>
        <w:top w:val="none" w:sz="0" w:space="0" w:color="auto"/>
        <w:left w:val="none" w:sz="0" w:space="0" w:color="auto"/>
        <w:bottom w:val="none" w:sz="0" w:space="0" w:color="auto"/>
        <w:right w:val="none" w:sz="0" w:space="0" w:color="auto"/>
      </w:divBdr>
    </w:div>
    <w:div w:id="1904560926">
      <w:bodyDiv w:val="1"/>
      <w:marLeft w:val="0"/>
      <w:marRight w:val="0"/>
      <w:marTop w:val="0"/>
      <w:marBottom w:val="0"/>
      <w:divBdr>
        <w:top w:val="none" w:sz="0" w:space="0" w:color="auto"/>
        <w:left w:val="none" w:sz="0" w:space="0" w:color="auto"/>
        <w:bottom w:val="none" w:sz="0" w:space="0" w:color="auto"/>
        <w:right w:val="none" w:sz="0" w:space="0" w:color="auto"/>
      </w:divBdr>
    </w:div>
    <w:div w:id="1907255535">
      <w:bodyDiv w:val="1"/>
      <w:marLeft w:val="0"/>
      <w:marRight w:val="0"/>
      <w:marTop w:val="0"/>
      <w:marBottom w:val="0"/>
      <w:divBdr>
        <w:top w:val="none" w:sz="0" w:space="0" w:color="auto"/>
        <w:left w:val="none" w:sz="0" w:space="0" w:color="auto"/>
        <w:bottom w:val="none" w:sz="0" w:space="0" w:color="auto"/>
        <w:right w:val="none" w:sz="0" w:space="0" w:color="auto"/>
      </w:divBdr>
    </w:div>
    <w:div w:id="1907450966">
      <w:bodyDiv w:val="1"/>
      <w:marLeft w:val="0"/>
      <w:marRight w:val="0"/>
      <w:marTop w:val="0"/>
      <w:marBottom w:val="0"/>
      <w:divBdr>
        <w:top w:val="none" w:sz="0" w:space="0" w:color="auto"/>
        <w:left w:val="none" w:sz="0" w:space="0" w:color="auto"/>
        <w:bottom w:val="none" w:sz="0" w:space="0" w:color="auto"/>
        <w:right w:val="none" w:sz="0" w:space="0" w:color="auto"/>
      </w:divBdr>
    </w:div>
    <w:div w:id="1913268332">
      <w:bodyDiv w:val="1"/>
      <w:marLeft w:val="0"/>
      <w:marRight w:val="0"/>
      <w:marTop w:val="0"/>
      <w:marBottom w:val="0"/>
      <w:divBdr>
        <w:top w:val="none" w:sz="0" w:space="0" w:color="auto"/>
        <w:left w:val="none" w:sz="0" w:space="0" w:color="auto"/>
        <w:bottom w:val="none" w:sz="0" w:space="0" w:color="auto"/>
        <w:right w:val="none" w:sz="0" w:space="0" w:color="auto"/>
      </w:divBdr>
    </w:div>
    <w:div w:id="1921790432">
      <w:bodyDiv w:val="1"/>
      <w:marLeft w:val="0"/>
      <w:marRight w:val="0"/>
      <w:marTop w:val="0"/>
      <w:marBottom w:val="0"/>
      <w:divBdr>
        <w:top w:val="none" w:sz="0" w:space="0" w:color="auto"/>
        <w:left w:val="none" w:sz="0" w:space="0" w:color="auto"/>
        <w:bottom w:val="none" w:sz="0" w:space="0" w:color="auto"/>
        <w:right w:val="none" w:sz="0" w:space="0" w:color="auto"/>
      </w:divBdr>
    </w:div>
    <w:div w:id="1930432171">
      <w:bodyDiv w:val="1"/>
      <w:marLeft w:val="0"/>
      <w:marRight w:val="0"/>
      <w:marTop w:val="0"/>
      <w:marBottom w:val="0"/>
      <w:divBdr>
        <w:top w:val="none" w:sz="0" w:space="0" w:color="auto"/>
        <w:left w:val="none" w:sz="0" w:space="0" w:color="auto"/>
        <w:bottom w:val="none" w:sz="0" w:space="0" w:color="auto"/>
        <w:right w:val="none" w:sz="0" w:space="0" w:color="auto"/>
      </w:divBdr>
    </w:div>
    <w:div w:id="1953511822">
      <w:bodyDiv w:val="1"/>
      <w:marLeft w:val="0"/>
      <w:marRight w:val="0"/>
      <w:marTop w:val="0"/>
      <w:marBottom w:val="0"/>
      <w:divBdr>
        <w:top w:val="none" w:sz="0" w:space="0" w:color="auto"/>
        <w:left w:val="none" w:sz="0" w:space="0" w:color="auto"/>
        <w:bottom w:val="none" w:sz="0" w:space="0" w:color="auto"/>
        <w:right w:val="none" w:sz="0" w:space="0" w:color="auto"/>
      </w:divBdr>
    </w:div>
    <w:div w:id="1960795828">
      <w:bodyDiv w:val="1"/>
      <w:marLeft w:val="0"/>
      <w:marRight w:val="0"/>
      <w:marTop w:val="0"/>
      <w:marBottom w:val="0"/>
      <w:divBdr>
        <w:top w:val="none" w:sz="0" w:space="0" w:color="auto"/>
        <w:left w:val="none" w:sz="0" w:space="0" w:color="auto"/>
        <w:bottom w:val="none" w:sz="0" w:space="0" w:color="auto"/>
        <w:right w:val="none" w:sz="0" w:space="0" w:color="auto"/>
      </w:divBdr>
    </w:div>
    <w:div w:id="1961953385">
      <w:bodyDiv w:val="1"/>
      <w:marLeft w:val="0"/>
      <w:marRight w:val="0"/>
      <w:marTop w:val="0"/>
      <w:marBottom w:val="0"/>
      <w:divBdr>
        <w:top w:val="none" w:sz="0" w:space="0" w:color="auto"/>
        <w:left w:val="none" w:sz="0" w:space="0" w:color="auto"/>
        <w:bottom w:val="none" w:sz="0" w:space="0" w:color="auto"/>
        <w:right w:val="none" w:sz="0" w:space="0" w:color="auto"/>
      </w:divBdr>
    </w:div>
    <w:div w:id="1962422075">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2131947">
      <w:bodyDiv w:val="1"/>
      <w:marLeft w:val="0"/>
      <w:marRight w:val="0"/>
      <w:marTop w:val="0"/>
      <w:marBottom w:val="0"/>
      <w:divBdr>
        <w:top w:val="none" w:sz="0" w:space="0" w:color="auto"/>
        <w:left w:val="none" w:sz="0" w:space="0" w:color="auto"/>
        <w:bottom w:val="none" w:sz="0" w:space="0" w:color="auto"/>
        <w:right w:val="none" w:sz="0" w:space="0" w:color="auto"/>
      </w:divBdr>
    </w:div>
    <w:div w:id="1973703826">
      <w:bodyDiv w:val="1"/>
      <w:marLeft w:val="0"/>
      <w:marRight w:val="0"/>
      <w:marTop w:val="0"/>
      <w:marBottom w:val="0"/>
      <w:divBdr>
        <w:top w:val="none" w:sz="0" w:space="0" w:color="auto"/>
        <w:left w:val="none" w:sz="0" w:space="0" w:color="auto"/>
        <w:bottom w:val="none" w:sz="0" w:space="0" w:color="auto"/>
        <w:right w:val="none" w:sz="0" w:space="0" w:color="auto"/>
      </w:divBdr>
    </w:div>
    <w:div w:id="1988585305">
      <w:bodyDiv w:val="1"/>
      <w:marLeft w:val="0"/>
      <w:marRight w:val="0"/>
      <w:marTop w:val="0"/>
      <w:marBottom w:val="0"/>
      <w:divBdr>
        <w:top w:val="none" w:sz="0" w:space="0" w:color="auto"/>
        <w:left w:val="none" w:sz="0" w:space="0" w:color="auto"/>
        <w:bottom w:val="none" w:sz="0" w:space="0" w:color="auto"/>
        <w:right w:val="none" w:sz="0" w:space="0" w:color="auto"/>
      </w:divBdr>
    </w:div>
    <w:div w:id="1992713474">
      <w:bodyDiv w:val="1"/>
      <w:marLeft w:val="0"/>
      <w:marRight w:val="0"/>
      <w:marTop w:val="0"/>
      <w:marBottom w:val="0"/>
      <w:divBdr>
        <w:top w:val="none" w:sz="0" w:space="0" w:color="auto"/>
        <w:left w:val="none" w:sz="0" w:space="0" w:color="auto"/>
        <w:bottom w:val="none" w:sz="0" w:space="0" w:color="auto"/>
        <w:right w:val="none" w:sz="0" w:space="0" w:color="auto"/>
      </w:divBdr>
    </w:div>
    <w:div w:id="1998146587">
      <w:bodyDiv w:val="1"/>
      <w:marLeft w:val="0"/>
      <w:marRight w:val="0"/>
      <w:marTop w:val="0"/>
      <w:marBottom w:val="0"/>
      <w:divBdr>
        <w:top w:val="none" w:sz="0" w:space="0" w:color="auto"/>
        <w:left w:val="none" w:sz="0" w:space="0" w:color="auto"/>
        <w:bottom w:val="none" w:sz="0" w:space="0" w:color="auto"/>
        <w:right w:val="none" w:sz="0" w:space="0" w:color="auto"/>
      </w:divBdr>
    </w:div>
    <w:div w:id="1998875551">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15451937">
      <w:bodyDiv w:val="1"/>
      <w:marLeft w:val="0"/>
      <w:marRight w:val="0"/>
      <w:marTop w:val="0"/>
      <w:marBottom w:val="0"/>
      <w:divBdr>
        <w:top w:val="none" w:sz="0" w:space="0" w:color="auto"/>
        <w:left w:val="none" w:sz="0" w:space="0" w:color="auto"/>
        <w:bottom w:val="none" w:sz="0" w:space="0" w:color="auto"/>
        <w:right w:val="none" w:sz="0" w:space="0" w:color="auto"/>
      </w:divBdr>
    </w:div>
    <w:div w:id="2039743642">
      <w:bodyDiv w:val="1"/>
      <w:marLeft w:val="0"/>
      <w:marRight w:val="0"/>
      <w:marTop w:val="0"/>
      <w:marBottom w:val="0"/>
      <w:divBdr>
        <w:top w:val="none" w:sz="0" w:space="0" w:color="auto"/>
        <w:left w:val="none" w:sz="0" w:space="0" w:color="auto"/>
        <w:bottom w:val="none" w:sz="0" w:space="0" w:color="auto"/>
        <w:right w:val="none" w:sz="0" w:space="0" w:color="auto"/>
      </w:divBdr>
    </w:div>
    <w:div w:id="2053339899">
      <w:bodyDiv w:val="1"/>
      <w:marLeft w:val="0"/>
      <w:marRight w:val="0"/>
      <w:marTop w:val="0"/>
      <w:marBottom w:val="0"/>
      <w:divBdr>
        <w:top w:val="none" w:sz="0" w:space="0" w:color="auto"/>
        <w:left w:val="none" w:sz="0" w:space="0" w:color="auto"/>
        <w:bottom w:val="none" w:sz="0" w:space="0" w:color="auto"/>
        <w:right w:val="none" w:sz="0" w:space="0" w:color="auto"/>
      </w:divBdr>
    </w:div>
    <w:div w:id="2058314578">
      <w:bodyDiv w:val="1"/>
      <w:marLeft w:val="0"/>
      <w:marRight w:val="0"/>
      <w:marTop w:val="0"/>
      <w:marBottom w:val="0"/>
      <w:divBdr>
        <w:top w:val="none" w:sz="0" w:space="0" w:color="auto"/>
        <w:left w:val="none" w:sz="0" w:space="0" w:color="auto"/>
        <w:bottom w:val="none" w:sz="0" w:space="0" w:color="auto"/>
        <w:right w:val="none" w:sz="0" w:space="0" w:color="auto"/>
      </w:divBdr>
    </w:div>
    <w:div w:id="2059697719">
      <w:bodyDiv w:val="1"/>
      <w:marLeft w:val="0"/>
      <w:marRight w:val="0"/>
      <w:marTop w:val="0"/>
      <w:marBottom w:val="0"/>
      <w:divBdr>
        <w:top w:val="none" w:sz="0" w:space="0" w:color="auto"/>
        <w:left w:val="none" w:sz="0" w:space="0" w:color="auto"/>
        <w:bottom w:val="none" w:sz="0" w:space="0" w:color="auto"/>
        <w:right w:val="none" w:sz="0" w:space="0" w:color="auto"/>
      </w:divBdr>
    </w:div>
    <w:div w:id="2062437822">
      <w:bodyDiv w:val="1"/>
      <w:marLeft w:val="0"/>
      <w:marRight w:val="0"/>
      <w:marTop w:val="0"/>
      <w:marBottom w:val="0"/>
      <w:divBdr>
        <w:top w:val="none" w:sz="0" w:space="0" w:color="auto"/>
        <w:left w:val="none" w:sz="0" w:space="0" w:color="auto"/>
        <w:bottom w:val="none" w:sz="0" w:space="0" w:color="auto"/>
        <w:right w:val="none" w:sz="0" w:space="0" w:color="auto"/>
      </w:divBdr>
    </w:div>
    <w:div w:id="2065910212">
      <w:bodyDiv w:val="1"/>
      <w:marLeft w:val="0"/>
      <w:marRight w:val="0"/>
      <w:marTop w:val="0"/>
      <w:marBottom w:val="0"/>
      <w:divBdr>
        <w:top w:val="none" w:sz="0" w:space="0" w:color="auto"/>
        <w:left w:val="none" w:sz="0" w:space="0" w:color="auto"/>
        <w:bottom w:val="none" w:sz="0" w:space="0" w:color="auto"/>
        <w:right w:val="none" w:sz="0" w:space="0" w:color="auto"/>
      </w:divBdr>
    </w:div>
    <w:div w:id="2097552861">
      <w:bodyDiv w:val="1"/>
      <w:marLeft w:val="0"/>
      <w:marRight w:val="0"/>
      <w:marTop w:val="0"/>
      <w:marBottom w:val="0"/>
      <w:divBdr>
        <w:top w:val="none" w:sz="0" w:space="0" w:color="auto"/>
        <w:left w:val="none" w:sz="0" w:space="0" w:color="auto"/>
        <w:bottom w:val="none" w:sz="0" w:space="0" w:color="auto"/>
        <w:right w:val="none" w:sz="0" w:space="0" w:color="auto"/>
      </w:divBdr>
    </w:div>
    <w:div w:id="2104564753">
      <w:bodyDiv w:val="1"/>
      <w:marLeft w:val="0"/>
      <w:marRight w:val="0"/>
      <w:marTop w:val="0"/>
      <w:marBottom w:val="0"/>
      <w:divBdr>
        <w:top w:val="none" w:sz="0" w:space="0" w:color="auto"/>
        <w:left w:val="none" w:sz="0" w:space="0" w:color="auto"/>
        <w:bottom w:val="none" w:sz="0" w:space="0" w:color="auto"/>
        <w:right w:val="none" w:sz="0" w:space="0" w:color="auto"/>
      </w:divBdr>
    </w:div>
    <w:div w:id="2108648924">
      <w:bodyDiv w:val="1"/>
      <w:marLeft w:val="0"/>
      <w:marRight w:val="0"/>
      <w:marTop w:val="0"/>
      <w:marBottom w:val="0"/>
      <w:divBdr>
        <w:top w:val="none" w:sz="0" w:space="0" w:color="auto"/>
        <w:left w:val="none" w:sz="0" w:space="0" w:color="auto"/>
        <w:bottom w:val="none" w:sz="0" w:space="0" w:color="auto"/>
        <w:right w:val="none" w:sz="0" w:space="0" w:color="auto"/>
      </w:divBdr>
    </w:div>
    <w:div w:id="2118985536">
      <w:bodyDiv w:val="1"/>
      <w:marLeft w:val="0"/>
      <w:marRight w:val="0"/>
      <w:marTop w:val="0"/>
      <w:marBottom w:val="0"/>
      <w:divBdr>
        <w:top w:val="none" w:sz="0" w:space="0" w:color="auto"/>
        <w:left w:val="none" w:sz="0" w:space="0" w:color="auto"/>
        <w:bottom w:val="none" w:sz="0" w:space="0" w:color="auto"/>
        <w:right w:val="none" w:sz="0" w:space="0" w:color="auto"/>
      </w:divBdr>
    </w:div>
    <w:div w:id="2121951809">
      <w:bodyDiv w:val="1"/>
      <w:marLeft w:val="0"/>
      <w:marRight w:val="0"/>
      <w:marTop w:val="0"/>
      <w:marBottom w:val="0"/>
      <w:divBdr>
        <w:top w:val="none" w:sz="0" w:space="0" w:color="auto"/>
        <w:left w:val="none" w:sz="0" w:space="0" w:color="auto"/>
        <w:bottom w:val="none" w:sz="0" w:space="0" w:color="auto"/>
        <w:right w:val="none" w:sz="0" w:space="0" w:color="auto"/>
      </w:divBdr>
    </w:div>
    <w:div w:id="2122995781">
      <w:bodyDiv w:val="1"/>
      <w:marLeft w:val="0"/>
      <w:marRight w:val="0"/>
      <w:marTop w:val="0"/>
      <w:marBottom w:val="0"/>
      <w:divBdr>
        <w:top w:val="none" w:sz="0" w:space="0" w:color="auto"/>
        <w:left w:val="none" w:sz="0" w:space="0" w:color="auto"/>
        <w:bottom w:val="none" w:sz="0" w:space="0" w:color="auto"/>
        <w:right w:val="none" w:sz="0" w:space="0" w:color="auto"/>
      </w:divBdr>
    </w:div>
    <w:div w:id="2124617152">
      <w:bodyDiv w:val="1"/>
      <w:marLeft w:val="0"/>
      <w:marRight w:val="0"/>
      <w:marTop w:val="0"/>
      <w:marBottom w:val="0"/>
      <w:divBdr>
        <w:top w:val="none" w:sz="0" w:space="0" w:color="auto"/>
        <w:left w:val="none" w:sz="0" w:space="0" w:color="auto"/>
        <w:bottom w:val="none" w:sz="0" w:space="0" w:color="auto"/>
        <w:right w:val="none" w:sz="0" w:space="0" w:color="auto"/>
      </w:divBdr>
    </w:div>
    <w:div w:id="2126652814">
      <w:bodyDiv w:val="1"/>
      <w:marLeft w:val="0"/>
      <w:marRight w:val="0"/>
      <w:marTop w:val="0"/>
      <w:marBottom w:val="0"/>
      <w:divBdr>
        <w:top w:val="none" w:sz="0" w:space="0" w:color="auto"/>
        <w:left w:val="none" w:sz="0" w:space="0" w:color="auto"/>
        <w:bottom w:val="none" w:sz="0" w:space="0" w:color="auto"/>
        <w:right w:val="none" w:sz="0" w:space="0" w:color="auto"/>
      </w:divBdr>
    </w:div>
    <w:div w:id="2130278025">
      <w:bodyDiv w:val="1"/>
      <w:marLeft w:val="0"/>
      <w:marRight w:val="0"/>
      <w:marTop w:val="0"/>
      <w:marBottom w:val="0"/>
      <w:divBdr>
        <w:top w:val="none" w:sz="0" w:space="0" w:color="auto"/>
        <w:left w:val="none" w:sz="0" w:space="0" w:color="auto"/>
        <w:bottom w:val="none" w:sz="0" w:space="0" w:color="auto"/>
        <w:right w:val="none" w:sz="0" w:space="0" w:color="auto"/>
      </w:divBdr>
    </w:div>
    <w:div w:id="2133866671">
      <w:bodyDiv w:val="1"/>
      <w:marLeft w:val="0"/>
      <w:marRight w:val="0"/>
      <w:marTop w:val="0"/>
      <w:marBottom w:val="0"/>
      <w:divBdr>
        <w:top w:val="none" w:sz="0" w:space="0" w:color="auto"/>
        <w:left w:val="none" w:sz="0" w:space="0" w:color="auto"/>
        <w:bottom w:val="none" w:sz="0" w:space="0" w:color="auto"/>
        <w:right w:val="none" w:sz="0" w:space="0" w:color="auto"/>
      </w:divBdr>
    </w:div>
    <w:div w:id="2135178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105V2XNotes</b:Tag>
    <b:SourceType>ConferenceProceedings</b:SourceType>
    <b:Guid>{205D3344-869D-4120-9944-1A3FE9BE9851}</b:Guid>
    <b:Title>RAN2#105, NR V2X: Chairman Notes</b:Title>
    <b:RefOrder>1</b:RefOrder>
  </b:Source>
  <b:Source>
    <b:Tag>105QoSEmail</b:Tag>
    <b:SourceType>ConferenceProceedings</b:SourceType>
    <b:Guid>{685EE851-F64C-412B-A376-A06A8C5DE087}</b:Guid>
    <b:Title>R2-1900370, Summary of Email Discussion [104#58][NR V2X] - QoS support for NR V2X (Huawei)</b:Title>
    <b:RefOrder>2</b:RefOrder>
  </b:Source>
  <b:Source>
    <b:Tag>TR23786</b:Tag>
    <b:SourceType>ConferenceProceedings</b:SourceType>
    <b:Guid>{A0C506AC-976C-4BB5-895C-FB12137254BD}</b:Guid>
    <b:Title>TR 23.786, Study on architecture enhancements for the Evolved Packet System (EPS) and the 5G System (5GS) to support advanced V2X services</b:Title>
    <b:RefOrder>3</b:RefOrder>
  </b:Source>
</b:Sources>
</file>

<file path=customXml/itemProps1.xml><?xml version="1.0" encoding="utf-8"?>
<ds:datastoreItem xmlns:ds="http://schemas.openxmlformats.org/officeDocument/2006/customXml" ds:itemID="{52E45ED7-F430-455A-ABBA-DDC3F1956582}">
  <ds:schemaRefs>
    <ds:schemaRef ds:uri="http://schemas.microsoft.com/sharepoint/v3/contenttype/forms"/>
  </ds:schemaRefs>
</ds:datastoreItem>
</file>

<file path=customXml/itemProps2.xml><?xml version="1.0" encoding="utf-8"?>
<ds:datastoreItem xmlns:ds="http://schemas.openxmlformats.org/officeDocument/2006/customXml" ds:itemID="{6D06806D-42AB-488E-91C7-4779DD2ED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D69657C-909D-4954-AC96-438360CAA015}">
  <ds:schemaRefs>
    <ds:schemaRef ds:uri="http://purl.org/dc/terms/"/>
    <ds:schemaRef ds:uri="http://schemas.openxmlformats.org/package/2006/metadata/core-properties"/>
    <ds:schemaRef ds:uri="http://purl.org/dc/elements/1.1/"/>
    <ds:schemaRef ds:uri="http://purl.org/dc/dcmitype/"/>
    <ds:schemaRef ds:uri="http://schemas.microsoft.com/office/infopath/2007/PartnerControls"/>
    <ds:schemaRef ds:uri="http://schemas.microsoft.com/office/2006/metadata/properties"/>
    <ds:schemaRef ds:uri="http://schemas.microsoft.com/office/2006/documentManagement/types"/>
    <ds:schemaRef ds:uri="http://www.w3.org/XML/1998/namespace"/>
  </ds:schemaRefs>
</ds:datastoreItem>
</file>

<file path=customXml/itemProps4.xml><?xml version="1.0" encoding="utf-8"?>
<ds:datastoreItem xmlns:ds="http://schemas.openxmlformats.org/officeDocument/2006/customXml" ds:itemID="{38420FC7-83F7-45B7-8E71-6A91005E7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11157</TotalTime>
  <Pages>4</Pages>
  <Words>2075</Words>
  <Characters>10545</Characters>
  <Application>Microsoft Office Word</Application>
  <DocSecurity>0</DocSecurity>
  <Lines>169</Lines>
  <Paragraphs>53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12582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Ansab</dc:creator>
  <cp:keywords>CTPClassification=CTP_IC:VisualMarkings=, CTPClassification=CTP_PUBLIC:VisualMarkings=, CTPClassification=CTP_NT</cp:keywords>
  <dc:description/>
  <cp:lastModifiedBy>Intel-AA</cp:lastModifiedBy>
  <cp:revision>362</cp:revision>
  <dcterms:created xsi:type="dcterms:W3CDTF">2017-08-12T02:26:00Z</dcterms:created>
  <dcterms:modified xsi:type="dcterms:W3CDTF">2019-05-03T02:07:00Z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08f9ee45-0c89-4297-b96f-04f24c7e39ee</vt:lpwstr>
  </property>
  <property fmtid="{D5CDD505-2E9C-101B-9397-08002B2CF9AE}" pid="4" name="CTP_BU">
    <vt:lpwstr>NA</vt:lpwstr>
  </property>
  <property fmtid="{D5CDD505-2E9C-101B-9397-08002B2CF9AE}" pid="5" name="CTP_TimeStamp">
    <vt:lpwstr>2019-05-03 02:07:28Z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