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EDC" w:rsidRDefault="00A91EDC" w:rsidP="00A91EDC">
      <w:pPr>
        <w:widowControl w:val="0"/>
        <w:tabs>
          <w:tab w:val="left" w:pos="1701"/>
          <w:tab w:val="right" w:pos="9639"/>
        </w:tabs>
        <w:spacing w:before="120" w:after="0"/>
        <w:rPr>
          <w:rFonts w:ascii="Arial" w:eastAsia="MS Mincho" w:hAnsi="Arial"/>
          <w:b/>
          <w:sz w:val="24"/>
          <w:szCs w:val="24"/>
        </w:rPr>
      </w:pPr>
      <w:bookmarkStart w:id="0" w:name="_Toc193024528"/>
      <w:r>
        <w:rPr>
          <w:rFonts w:ascii="Arial" w:eastAsia="MS Mincho" w:hAnsi="Arial"/>
          <w:b/>
          <w:sz w:val="24"/>
          <w:szCs w:val="24"/>
        </w:rPr>
        <w:t>3GPP TSG-RAN WG2 Meeting #105</w:t>
      </w:r>
      <w:r>
        <w:rPr>
          <w:rFonts w:ascii="Arial" w:eastAsia="MS Mincho" w:hAnsi="Arial"/>
          <w:b/>
          <w:sz w:val="24"/>
          <w:szCs w:val="24"/>
        </w:rPr>
        <w:tab/>
      </w:r>
      <w:r w:rsidR="00E32581" w:rsidRPr="00E32581">
        <w:rPr>
          <w:rFonts w:ascii="Arial" w:eastAsia="MS Mincho" w:hAnsi="Arial"/>
          <w:b/>
          <w:sz w:val="24"/>
          <w:szCs w:val="24"/>
        </w:rPr>
        <w:t>R2-1901520</w:t>
      </w:r>
    </w:p>
    <w:p w:rsidR="00A91EDC" w:rsidRDefault="00A91EDC" w:rsidP="00A91ED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</w:rPr>
      </w:pPr>
      <w:r>
        <w:rPr>
          <w:rFonts w:ascii="Arial" w:eastAsia="MS Mincho" w:hAnsi="Arial"/>
          <w:b/>
          <w:sz w:val="24"/>
          <w:szCs w:val="24"/>
        </w:rPr>
        <w:t>Athens, Greece, 25</w:t>
      </w:r>
      <w:r w:rsidRPr="00A91EDC">
        <w:rPr>
          <w:rFonts w:ascii="Arial" w:eastAsia="MS Mincho" w:hAnsi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sz w:val="24"/>
          <w:szCs w:val="24"/>
        </w:rPr>
        <w:t xml:space="preserve"> February-1</w:t>
      </w:r>
      <w:r w:rsidRPr="00A91EDC">
        <w:rPr>
          <w:rFonts w:ascii="Arial" w:eastAsia="MS Mincho" w:hAnsi="Arial"/>
          <w:b/>
          <w:sz w:val="24"/>
          <w:szCs w:val="24"/>
          <w:vertAlign w:val="superscript"/>
        </w:rPr>
        <w:t>st</w:t>
      </w:r>
      <w:r>
        <w:rPr>
          <w:rFonts w:ascii="Arial" w:eastAsia="MS Mincho" w:hAnsi="Arial"/>
          <w:b/>
          <w:sz w:val="24"/>
          <w:szCs w:val="24"/>
        </w:rPr>
        <w:t xml:space="preserve"> March 2019 </w:t>
      </w:r>
    </w:p>
    <w:p w:rsidR="001A2AA4" w:rsidRDefault="001A2AA4" w:rsidP="00A91EDC">
      <w:pPr>
        <w:tabs>
          <w:tab w:val="left" w:pos="1843"/>
        </w:tabs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 w:hint="eastAsia"/>
          <w:noProof/>
          <w:sz w:val="3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168177</wp:posOffset>
                </wp:positionV>
                <wp:extent cx="5371856" cy="0"/>
                <wp:effectExtent l="0" t="0" r="1968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7185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74044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25pt" to="42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YWXygEAANIDAAAOAAAAZHJzL2Uyb0RvYy54bWysU8lu2zAQvRfoPxC815JdOE0Eyzk4SC5F&#10;azRt7gw1tIhyw5C15L/vkLLVoNuh6IUgZ3kz781wcztaw46AUXvX8uWi5gyc9J12h5Z/+Xz/5pqz&#10;mITrhPEOWn6CyG+3r19thtDAyvfedICMQFxshtDyPqXQVFWUPVgRFz6AI6fyaEWiJx6qDsVA6NZU&#10;q7q+qgaPXUAvIUay3k1Ovi34SoFMH5WKkJhpOfWWyonlfM5ntd2I5oAi9Fqe2xD/0IUV2lHRGepO&#10;JMG+of4FymqJPnqVFtLbyiulJRQOxGZZ/8TmsRcBChcSJ4ZZpvj/YOWH4x6Z7mh2nDlhaUSPCYU+&#10;9IntvHMkoEe2zDoNITYUvnN7PL9i2GMmPSq0TBkdnjJMthAxNhaVT7PKMCYmybh++255vb7iTF58&#10;1QSREwPG9ADesnxpudEuCyAacXwfE5Wl0EtINhvHBqp5U6/LKKvc49RVuaWTgSnsEyhiSdVXBa7s&#10;F+wMsqOgzei+FoYEbhxF5hSljZmT6r8nnWNzGpSdmxMnNf5YbY4uFb1Lc6LVzuPvqqbx0qqa4kmT&#10;F1zz9dl3pzKj4qDFKbKdlzxv5st3Sf/xFbffAQAA//8DAFBLAwQUAAYACAAAACEAqSRMQtoAAAAG&#10;AQAADwAAAGRycy9kb3ducmV2LnhtbEyPwU7DMBBE70j8g7WVuFGnUYmqEKeqoIhLORD4ADde4qjx&#10;OrLdJv17FnGA48ysZt5W29kN4oIh9p4UrJYZCKTWm546BZ8fL/cbEDFpMnrwhAquGGFb395UujR+&#10;one8NKkTXEKx1ApsSmMpZWwtOh2XfkTi7MsHpxPL0EkT9MTlbpB5lhXS6Z54weoRnyy2p+bsFLzm&#10;60Nud+Gtic/XeUqHvd/TSam7xbx7BJFwTn/H8IPP6FAz09GfyUQxKOBHkoK8eADB6WZdsHH8NWRd&#10;yf/49TcAAAD//wMAUEsBAi0AFAAGAAgAAAAhALaDOJL+AAAA4QEAABMAAAAAAAAAAAAAAAAAAAAA&#10;AFtDb250ZW50X1R5cGVzXS54bWxQSwECLQAUAAYACAAAACEAOP0h/9YAAACUAQAACwAAAAAAAAAA&#10;AAAAAAAvAQAAX3JlbHMvLnJlbHNQSwECLQAUAAYACAAAACEAQm2Fl8oBAADSAwAADgAAAAAAAAAA&#10;AAAAAAAuAgAAZHJzL2Uyb0RvYy54bWxQSwECLQAUAAYACAAAACEAqSRMQtoAAAAGAQAADwAAAAAA&#10;AAAAAAAAAAAkBAAAZHJzL2Rvd25yZXYueG1sUEsFBgAAAAAEAAQA8wAAACsFAAAAAA==&#10;" strokecolor="black [3200]" strokeweight="1.5pt">
                <v:stroke joinstyle="miter"/>
              </v:line>
            </w:pict>
          </mc:Fallback>
        </mc:AlternateContent>
      </w:r>
    </w:p>
    <w:p w:rsidR="00A91EDC" w:rsidRDefault="00A91EDC" w:rsidP="00A91EDC">
      <w:pPr>
        <w:tabs>
          <w:tab w:val="left" w:pos="1843"/>
        </w:tabs>
        <w:rPr>
          <w:rFonts w:ascii="Arial" w:eastAsia="SimSun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="00E32581" w:rsidRPr="00E32581">
        <w:rPr>
          <w:rFonts w:ascii="Arial" w:eastAsia="SimSun" w:hAnsi="Arial" w:cs="Arial"/>
          <w:b/>
          <w:color w:val="000000" w:themeColor="text1"/>
          <w:sz w:val="24"/>
          <w:lang w:val="en-US" w:eastAsia="zh-CN"/>
        </w:rPr>
        <w:t>11.4.1</w:t>
      </w:r>
      <w:r w:rsidRPr="00E32581">
        <w:rPr>
          <w:rFonts w:ascii="Arial" w:eastAsia="SimSun" w:hAnsi="Arial" w:cs="Arial"/>
          <w:b/>
          <w:color w:val="000000" w:themeColor="text1"/>
          <w:sz w:val="24"/>
          <w:lang w:val="en-US" w:eastAsia="zh-CN"/>
        </w:rPr>
        <w:t xml:space="preserve"> </w:t>
      </w:r>
    </w:p>
    <w:p w:rsidR="00A91EDC" w:rsidRDefault="00A91EDC" w:rsidP="00A91EDC">
      <w:pPr>
        <w:tabs>
          <w:tab w:val="left" w:pos="1843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  <w:t>Vodafone</w:t>
      </w:r>
    </w:p>
    <w:p w:rsidR="00A91EDC" w:rsidRPr="001A2AA4" w:rsidRDefault="00A91EDC" w:rsidP="001A2AA4">
      <w:pPr>
        <w:rPr>
          <w:rFonts w:ascii="Arial" w:hAnsi="Arial" w:cs="Arial"/>
          <w:b/>
          <w:sz w:val="24"/>
          <w:lang w:val="en-US"/>
        </w:rPr>
      </w:pPr>
      <w:r w:rsidRPr="001A2AA4">
        <w:rPr>
          <w:rFonts w:ascii="Arial" w:hAnsi="Arial" w:cs="Arial"/>
          <w:b/>
          <w:sz w:val="24"/>
          <w:lang w:val="en-US"/>
        </w:rPr>
        <w:t xml:space="preserve">Title: </w:t>
      </w:r>
      <w:r w:rsidRPr="001A2AA4">
        <w:rPr>
          <w:rFonts w:ascii="Arial" w:hAnsi="Arial" w:cs="Arial"/>
          <w:b/>
          <w:sz w:val="24"/>
          <w:lang w:val="en-US"/>
        </w:rPr>
        <w:tab/>
        <w:t xml:space="preserve">Prioritization of </w:t>
      </w:r>
      <w:r w:rsidR="001A1931">
        <w:rPr>
          <w:rFonts w:ascii="Arial" w:eastAsia="SimSun" w:hAnsi="Arial" w:cs="Arial"/>
          <w:b/>
          <w:sz w:val="24"/>
          <w:lang w:val="en-US" w:eastAsia="zh-CN"/>
        </w:rPr>
        <w:t xml:space="preserve">V2X Scenarios 3 and 4 </w:t>
      </w:r>
      <w:r w:rsidRPr="001A2AA4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</w:p>
    <w:p w:rsidR="00A91EDC" w:rsidRDefault="00A91EDC" w:rsidP="00A91EDC">
      <w:pPr>
        <w:tabs>
          <w:tab w:val="left" w:pos="1843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b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b/>
          <w:sz w:val="24"/>
          <w:lang w:val="en-US"/>
        </w:rPr>
        <w:t>Discussion and Decision</w:t>
      </w:r>
    </w:p>
    <w:p w:rsidR="00A91EDC" w:rsidRDefault="00A91EDC" w:rsidP="001A2AA4">
      <w:pPr>
        <w:pStyle w:val="Heading1"/>
        <w:rPr>
          <w:rFonts w:eastAsia="Calibri Light"/>
        </w:rPr>
      </w:pPr>
      <w:r>
        <w:rPr>
          <w:rFonts w:eastAsia="Calibri Light"/>
        </w:rPr>
        <w:t>Introduction</w:t>
      </w:r>
      <w:bookmarkEnd w:id="0"/>
    </w:p>
    <w:p w:rsidR="00A91EDC" w:rsidRDefault="00A91EDC" w:rsidP="00A91EDC">
      <w:pPr>
        <w:rPr>
          <w:rFonts w:eastAsia="Calibri Light"/>
        </w:rPr>
      </w:pPr>
      <w:r>
        <w:rPr>
          <w:rFonts w:eastAsia="Calibri Light"/>
        </w:rPr>
        <w:t>In previous RAN 2 e-mail discussion, a number of V2X scenarios were discussed and two scenarios, Sce</w:t>
      </w:r>
      <w:r w:rsidR="00F552A6">
        <w:rPr>
          <w:rFonts w:eastAsia="Calibri Light"/>
        </w:rPr>
        <w:t xml:space="preserve">nario 1 and 2 were prioritised and decision was taken to de-priorities Scenario 3 and Scenario 4. </w:t>
      </w:r>
    </w:p>
    <w:p w:rsidR="00A91EDC" w:rsidRPr="00A91EDC" w:rsidRDefault="00A91EDC" w:rsidP="00A91EDC">
      <w:pPr>
        <w:rPr>
          <w:rFonts w:eastAsia="Calibri Light"/>
        </w:rPr>
      </w:pPr>
      <w:r>
        <w:rPr>
          <w:rFonts w:eastAsia="Calibri Light"/>
        </w:rPr>
        <w:t>In this contribution we discuss the need to re-consider prioritising Scenario</w:t>
      </w:r>
      <w:r w:rsidR="00CA1E14">
        <w:rPr>
          <w:rFonts w:eastAsia="Calibri Light"/>
        </w:rPr>
        <w:t>3 and Scenario 4.</w:t>
      </w:r>
      <w:r w:rsidR="00E47ECA">
        <w:rPr>
          <w:rFonts w:eastAsia="Calibri Light"/>
        </w:rPr>
        <w:t xml:space="preserve"> </w:t>
      </w:r>
      <w:r w:rsidR="00E47ECA">
        <w:rPr>
          <w:color w:val="000000"/>
          <w:szCs w:val="22"/>
          <w:lang w:val="en-US"/>
        </w:rPr>
        <w:t xml:space="preserve">See following </w:t>
      </w:r>
      <w:r w:rsidR="00E47ECA">
        <w:rPr>
          <w:color w:val="000000"/>
          <w:szCs w:val="22"/>
          <w:lang w:val="en-US"/>
        </w:rPr>
        <w:fldChar w:fldCharType="begin"/>
      </w:r>
      <w:r w:rsidR="00E47ECA">
        <w:rPr>
          <w:color w:val="000000"/>
          <w:szCs w:val="22"/>
          <w:lang w:val="en-US"/>
        </w:rPr>
        <w:instrText xml:space="preserve"> REF _Ref536006216 \h </w:instrText>
      </w:r>
      <w:r w:rsidR="00E47ECA">
        <w:rPr>
          <w:color w:val="000000"/>
          <w:szCs w:val="22"/>
          <w:lang w:val="en-US"/>
        </w:rPr>
      </w:r>
      <w:r w:rsidR="00E47ECA">
        <w:rPr>
          <w:color w:val="000000"/>
          <w:szCs w:val="22"/>
          <w:lang w:val="en-US"/>
        </w:rPr>
        <w:fldChar w:fldCharType="separate"/>
      </w:r>
      <w:r w:rsidR="00E47ECA">
        <w:t xml:space="preserve">Figure </w:t>
      </w:r>
      <w:r w:rsidR="00E47ECA">
        <w:rPr>
          <w:noProof/>
        </w:rPr>
        <w:t>1</w:t>
      </w:r>
      <w:r w:rsidR="00E47ECA">
        <w:rPr>
          <w:color w:val="000000"/>
          <w:szCs w:val="22"/>
          <w:lang w:val="en-US"/>
        </w:rPr>
        <w:fldChar w:fldCharType="end"/>
      </w:r>
      <w:r w:rsidR="00E47ECA">
        <w:rPr>
          <w:color w:val="000000"/>
          <w:szCs w:val="22"/>
          <w:lang w:val="en-US"/>
        </w:rPr>
        <w:t xml:space="preserve"> and </w:t>
      </w:r>
      <w:r w:rsidR="00E47ECA">
        <w:rPr>
          <w:color w:val="000000"/>
          <w:szCs w:val="22"/>
          <w:lang w:val="en-US"/>
        </w:rPr>
        <w:fldChar w:fldCharType="begin"/>
      </w:r>
      <w:r w:rsidR="00E47ECA">
        <w:rPr>
          <w:color w:val="000000"/>
          <w:szCs w:val="22"/>
          <w:lang w:val="en-US"/>
        </w:rPr>
        <w:instrText xml:space="preserve"> REF _Ref536006222 \h </w:instrText>
      </w:r>
      <w:r w:rsidR="00E47ECA">
        <w:rPr>
          <w:color w:val="000000"/>
          <w:szCs w:val="22"/>
          <w:lang w:val="en-US"/>
        </w:rPr>
      </w:r>
      <w:r w:rsidR="00E47ECA">
        <w:rPr>
          <w:color w:val="000000"/>
          <w:szCs w:val="22"/>
          <w:lang w:val="en-US"/>
        </w:rPr>
        <w:fldChar w:fldCharType="separate"/>
      </w:r>
      <w:r w:rsidR="00E47ECA">
        <w:t xml:space="preserve">Figure </w:t>
      </w:r>
      <w:r w:rsidR="00E47ECA">
        <w:rPr>
          <w:noProof/>
        </w:rPr>
        <w:t>2</w:t>
      </w:r>
      <w:r w:rsidR="00E47ECA">
        <w:rPr>
          <w:color w:val="000000"/>
          <w:szCs w:val="22"/>
          <w:lang w:val="en-US"/>
        </w:rPr>
        <w:fldChar w:fldCharType="end"/>
      </w:r>
      <w:r w:rsidR="00E47ECA">
        <w:rPr>
          <w:color w:val="000000"/>
          <w:szCs w:val="22"/>
          <w:lang w:val="en-US"/>
        </w:rPr>
        <w:t>.</w:t>
      </w:r>
    </w:p>
    <w:p w:rsidR="00A91EDC" w:rsidRDefault="00A91EDC" w:rsidP="001A2AA4">
      <w:pPr>
        <w:pStyle w:val="Heading1"/>
      </w:pPr>
      <w:r w:rsidRPr="001A2AA4">
        <w:t>Discussions</w:t>
      </w:r>
    </w:p>
    <w:p w:rsidR="006D1656" w:rsidRDefault="006D1656" w:rsidP="00CA1E14">
      <w:pPr>
        <w:rPr>
          <w:color w:val="000000"/>
          <w:szCs w:val="22"/>
          <w:lang w:val="en-US"/>
        </w:rPr>
      </w:pPr>
      <w:r>
        <w:t xml:space="preserve">At the RAN2 </w:t>
      </w:r>
      <w:r w:rsidR="007D7634">
        <w:t>#</w:t>
      </w:r>
      <w:r>
        <w:t>103bis meet</w:t>
      </w:r>
      <w:r w:rsidR="00465E11">
        <w:t xml:space="preserve">ing that took place in Chengdu </w:t>
      </w:r>
      <w:r>
        <w:t xml:space="preserve">a brief </w:t>
      </w:r>
      <w:r w:rsidR="00E47ECA">
        <w:t xml:space="preserve">discussion </w:t>
      </w:r>
      <w:r>
        <w:t>took place</w:t>
      </w:r>
      <w:r w:rsidR="00465E11">
        <w:t xml:space="preserve"> at the main </w:t>
      </w:r>
      <w:r w:rsidR="007D7634">
        <w:t>plenary [1] and</w:t>
      </w:r>
      <w:r w:rsidR="00465E11">
        <w:t xml:space="preserve"> later on the RAN2 e-mail reflector</w:t>
      </w:r>
      <w:r w:rsidR="007D7634">
        <w:t xml:space="preserve"> [2]</w:t>
      </w:r>
      <w:r w:rsidR="00465E11">
        <w:t xml:space="preserve"> on the topic of V2X Scenarios. During the discussions </w:t>
      </w:r>
      <w:r w:rsidR="00E34233">
        <w:t>a</w:t>
      </w:r>
      <w:r>
        <w:t xml:space="preserve"> number of companies took the view that Scenario 3 and S</w:t>
      </w:r>
      <w:r w:rsidR="00465E11">
        <w:t xml:space="preserve">cenario 4 must be deprioritised and a limited feature such as the </w:t>
      </w:r>
      <w:r w:rsidR="00465E11">
        <w:rPr>
          <w:color w:val="000000"/>
          <w:szCs w:val="22"/>
          <w:lang w:val="en-US"/>
        </w:rPr>
        <w:t xml:space="preserve">Master Node controlling/configuring both NR and LTE sidelinks </w:t>
      </w:r>
      <w:r w:rsidR="00E47ECA">
        <w:rPr>
          <w:color w:val="000000"/>
          <w:szCs w:val="22"/>
          <w:lang w:val="en-US"/>
        </w:rPr>
        <w:t xml:space="preserve">that is necessary in </w:t>
      </w:r>
      <w:r w:rsidR="00465E11">
        <w:rPr>
          <w:color w:val="000000"/>
          <w:szCs w:val="22"/>
          <w:lang w:val="en-US"/>
        </w:rPr>
        <w:t>Scenario 4 would be covered by Scenario 1 and 2</w:t>
      </w:r>
      <w:r w:rsidR="00E47ECA">
        <w:rPr>
          <w:color w:val="000000"/>
          <w:szCs w:val="22"/>
          <w:lang w:val="en-US"/>
        </w:rPr>
        <w:t xml:space="preserve"> cases</w:t>
      </w:r>
      <w:r w:rsidR="00465E11">
        <w:rPr>
          <w:color w:val="000000"/>
          <w:szCs w:val="22"/>
          <w:lang w:val="en-US"/>
        </w:rPr>
        <w:t xml:space="preserve">. </w:t>
      </w:r>
    </w:p>
    <w:p w:rsidR="00465E11" w:rsidRDefault="00465E11" w:rsidP="00465E11">
      <w:pPr>
        <w:keepNext/>
        <w:jc w:val="center"/>
      </w:pPr>
      <w:r>
        <w:rPr>
          <w:rFonts w:eastAsia="SimSun"/>
          <w:kern w:val="2"/>
          <w:szCs w:val="22"/>
          <w:lang w:eastAsia="zh-CN"/>
        </w:rPr>
        <w:object w:dxaOrig="3318" w:dyaOrig="3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style="width:130.6pt;height:138.9pt;mso-position-horizontal-relative:page;mso-position-vertical-relative:page" o:ole="">
            <v:imagedata r:id="rId8" o:title=""/>
          </v:shape>
          <o:OLEObject Type="Embed" ProgID="Visio.Drawing.15" ShapeID="对象 3" DrawAspect="Content" ObjectID="_1611673270" r:id="rId9"/>
        </w:object>
      </w:r>
    </w:p>
    <w:p w:rsidR="00465E11" w:rsidRDefault="00465E11" w:rsidP="00465E11">
      <w:pPr>
        <w:pStyle w:val="Caption"/>
        <w:jc w:val="center"/>
      </w:pPr>
      <w:bookmarkStart w:id="3" w:name="_Ref5360062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Scenario 3 Bothe LTE and NR sidelinks are managed and controlled by the EPC</w:t>
      </w:r>
    </w:p>
    <w:p w:rsidR="00465E11" w:rsidRDefault="00465E11" w:rsidP="00465E11">
      <w:bookmarkStart w:id="4" w:name="_GoBack"/>
      <w:bookmarkEnd w:id="4"/>
    </w:p>
    <w:p w:rsidR="00465E11" w:rsidRDefault="00465E11" w:rsidP="00E47ECA">
      <w:pPr>
        <w:keepNext/>
        <w:jc w:val="center"/>
      </w:pPr>
      <w:r>
        <w:rPr>
          <w:rFonts w:eastAsia="SimSun"/>
          <w:kern w:val="2"/>
          <w:szCs w:val="22"/>
          <w:lang w:eastAsia="zh-CN"/>
        </w:rPr>
        <w:object w:dxaOrig="3316" w:dyaOrig="3545">
          <v:shape id="对象 4" o:spid="_x0000_i1026" type="#_x0000_t75" style="width:130.6pt;height:138.9pt;mso-position-horizontal-relative:page;mso-position-vertical-relative:page" o:ole="">
            <v:imagedata r:id="rId10" o:title=""/>
          </v:shape>
          <o:OLEObject Type="Embed" ProgID="Visio.Drawing.15" ShapeID="对象 4" DrawAspect="Content" ObjectID="_1611673271" r:id="rId11"/>
        </w:object>
      </w:r>
    </w:p>
    <w:p w:rsidR="00465E11" w:rsidRPr="00465E11" w:rsidRDefault="00465E11" w:rsidP="00465E11">
      <w:pPr>
        <w:pStyle w:val="Caption"/>
        <w:jc w:val="left"/>
      </w:pPr>
      <w:bookmarkStart w:id="5" w:name="_Ref53600622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 Scenario 4 LTE and NR Sidelinks are controlled Dual Connected Nodes controlled by the EPC Core</w:t>
      </w:r>
    </w:p>
    <w:p w:rsidR="006D1656" w:rsidRDefault="00E34233" w:rsidP="006D1656">
      <w:r>
        <w:t>In our view the decisions to de-prioritise</w:t>
      </w:r>
      <w:r w:rsidR="00E47ECA">
        <w:t xml:space="preserve"> Scenarios 3 and 4 </w:t>
      </w:r>
      <w:r w:rsidR="00F552A6">
        <w:t>is</w:t>
      </w:r>
      <w:r w:rsidR="00E47ECA">
        <w:t xml:space="preserve"> short sited </w:t>
      </w:r>
      <w:r w:rsidR="006D1656">
        <w:t xml:space="preserve">as both Scenarios 3 and 4 are essential for operators who </w:t>
      </w:r>
      <w:r>
        <w:t xml:space="preserve">are still using the </w:t>
      </w:r>
      <w:r w:rsidR="00A669F9">
        <w:t>LTE</w:t>
      </w:r>
      <w:r>
        <w:t>/EPC Core</w:t>
      </w:r>
      <w:r w:rsidR="00E47ECA">
        <w:t xml:space="preserve"> and wish to run a V2X service</w:t>
      </w:r>
      <w:r w:rsidR="007D7634">
        <w:t>.</w:t>
      </w:r>
    </w:p>
    <w:p w:rsidR="007D7634" w:rsidRDefault="00F552A6" w:rsidP="006D165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417830</wp:posOffset>
                </wp:positionV>
                <wp:extent cx="5451475" cy="1117600"/>
                <wp:effectExtent l="0" t="0" r="15875" b="254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1475" cy="1117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D3ADDF" id="Rectangle 3" o:spid="_x0000_s1026" style="position:absolute;margin-left:-2.65pt;margin-top:32.9pt;width:429.25pt;height:88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EgpnwIAAK0FAAAOAAAAZHJzL2Uyb0RvYy54bWysVFFv2yAQfp+0/4B4X22nSbNFcaqoVadJ&#10;XRu1nfpMMMSWgGNA4mS/fgd23Kyt9jDtBXNw933c57ubX+61IjvhfAOmpMVZTokwHKrGbEr64+nm&#10;02dKfGCmYgqMKOlBeHq5+Phh3tqZGEENqhKOIIjxs9aWtA7BzrLM81po5s/ACoOXEpxmAU23ySrH&#10;WkTXKhvl+UXWgqusAy68x9Pr7pIuEr6Ugod7Kb0IRJUU3xbS6tK6jmu2mLPZxjFbN7x/BvuHV2jW&#10;GCQdoK5ZYGTrmjdQuuEOPMhwxkFnIGXDRcoBsynyV9k81syKlAuK4+0gk/9/sPxut3KkqUp6Tolh&#10;Gn/RA4rGzEYJch7laa2fodejXbne8riNue6l0/GLWZB9kvQwSCr2gXA8nIwnxXg6oYTjXVEU04s8&#10;iZ69hFvnw1cBmsRNSR3SJynZ7tYHpETXo0tkM3DTKJX+mzLxwINqqniWjFg44ko5smP4yxnnwoQi&#10;4amt/g5Vdz6d5MM7Uq3FkER1gobEkSGLCnQ5p104KBGplHkQEqXDLEeJYAB6y+1rVonuODIfJRgi&#10;EnUCjMgSkxmwu8cPnn9id/L0/jFUpJofgvO/PawLHiISM5gwBOvGgHsPQKGiPXPnfxSpkyaqtIbq&#10;gIXloOs4b/lNg7/3lvmwYg5bDJsRx0a4x0UqaEsK/Y6SGtyv986jP1Y+3lLSYsuW1P/cMicoUd8M&#10;9sSXYjyOPZ6M8WQ6QsOd3qxPb8xWXwGWSIEDyvK0jf5BHbfSgX7G6bKMrHjFDEfukvLgjsZV6EYJ&#10;ziculsvkhn1tWbg1j5ZH8KhqLN+n/TNztq/xgO1xB8f2ZrNXpd75xkgDy20A2aQ+eNG11xtnQiqc&#10;fn7FoXNqJ6+XKbv4DQAA//8DAFBLAwQUAAYACAAAACEAtUVXqd8AAAAJAQAADwAAAGRycy9kb3du&#10;cmV2LnhtbEyPQUvDQBSE74L/YXmCt3bTtCkh5qVUQU8iWBV63CbPJJp9G7PbJvbX+zzpcZhh5pt8&#10;M9lOnWjwrWOExTwCRVy6quUa4fXlfpaC8sFwZTrHhPBNHjbF5UVussqN/EynXaiVlLDPDEITQp9p&#10;7cuGrPFz1xOL9+4Ga4LIodbVYEYpt52Oo2itrWlZFhrT011D5efuaBH47eF2/xSN4bzd6xVNdObH&#10;rw/E66tpewMq0BT+wvCLL+hQCNPBHbnyqkOYJUtJIqwTeSB+mixjUAeEeLVIQRe5/v+g+AEAAP//&#10;AwBQSwECLQAUAAYACAAAACEAtoM4kv4AAADhAQAAEwAAAAAAAAAAAAAAAAAAAAAAW0NvbnRlbnRf&#10;VHlwZXNdLnhtbFBLAQItABQABgAIAAAAIQA4/SH/1gAAAJQBAAALAAAAAAAAAAAAAAAAAC8BAABf&#10;cmVscy8ucmVsc1BLAQItABQABgAIAAAAIQC7lEgpnwIAAK0FAAAOAAAAAAAAAAAAAAAAAC4CAABk&#10;cnMvZTJvRG9jLnhtbFBLAQItABQABgAIAAAAIQC1RVep3wAAAAkBAAAPAAAAAAAAAAAAAAAAAPkE&#10;AABkcnMvZG93bnJldi54bWxQSwUGAAAAAAQABADzAAAABQYAAAAA&#10;" filled="f" strokecolor="#2e74b5 [2404]" strokeweight="1pt"/>
            </w:pict>
          </mc:Fallback>
        </mc:AlternateContent>
      </w:r>
      <w:r w:rsidR="007D7634">
        <w:t xml:space="preserve">Furthermore, the agreed SI </w:t>
      </w:r>
      <w:r>
        <w:t xml:space="preserve">[3] </w:t>
      </w:r>
      <w:r w:rsidR="007D7634">
        <w:t xml:space="preserve">indicates clearly </w:t>
      </w:r>
      <w:r>
        <w:t xml:space="preserve">that LTE should also to be considered for controlling sideling, see following Objective 3 extract from </w:t>
      </w:r>
      <w:r w:rsidRPr="00F552A6">
        <w:t>RP-182491</w:t>
      </w:r>
      <w:r>
        <w:t>:</w:t>
      </w:r>
    </w:p>
    <w:p w:rsidR="00F552A6" w:rsidRPr="00721DE0" w:rsidRDefault="00F552A6" w:rsidP="00F552A6">
      <w:pPr>
        <w:rPr>
          <w:lang w:eastAsia="zh-CN"/>
        </w:rPr>
      </w:pPr>
      <w:r>
        <w:rPr>
          <w:b/>
          <w:bCs/>
          <w:lang w:eastAsia="zh-CN"/>
        </w:rPr>
        <w:t xml:space="preserve">Objective </w:t>
      </w:r>
      <w:r w:rsidRPr="00721DE0">
        <w:rPr>
          <w:b/>
          <w:bCs/>
          <w:lang w:eastAsia="zh-CN"/>
        </w:rPr>
        <w:t>3: Uu-based sidelink resource allocation/configuration (LTE V2X Mode3-like and Mode4-like) [RAN1, RAN2]:</w:t>
      </w:r>
    </w:p>
    <w:p w:rsidR="00F552A6" w:rsidRPr="00721DE0" w:rsidRDefault="00F552A6" w:rsidP="00F552A6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sz w:val="20"/>
          <w:lang w:eastAsia="ko-KR"/>
        </w:rPr>
      </w:pPr>
      <w:r w:rsidRPr="00721DE0">
        <w:rPr>
          <w:sz w:val="20"/>
          <w:lang w:eastAsia="zh-CN"/>
        </w:rPr>
        <w:t xml:space="preserve">Identify necessary enhancements of </w:t>
      </w:r>
      <w:r w:rsidRPr="00721DE0">
        <w:rPr>
          <w:sz w:val="20"/>
          <w:lang w:eastAsia="ko-KR"/>
        </w:rPr>
        <w:t xml:space="preserve">LTE Uu and NR Uu to control NR sidelink from the cellular network </w:t>
      </w:r>
    </w:p>
    <w:p w:rsidR="00F552A6" w:rsidRPr="00721DE0" w:rsidRDefault="00F552A6" w:rsidP="00F552A6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sz w:val="20"/>
          <w:lang w:val="en-US"/>
        </w:rPr>
      </w:pPr>
      <w:r w:rsidRPr="00721DE0">
        <w:rPr>
          <w:sz w:val="20"/>
          <w:lang w:eastAsia="zh-CN"/>
        </w:rPr>
        <w:t xml:space="preserve">Identify necessary enhancements of NR Uu to control LTE sidelink from the cellular network </w:t>
      </w:r>
    </w:p>
    <w:p w:rsidR="00F552A6" w:rsidRDefault="00F552A6" w:rsidP="006D1656"/>
    <w:p w:rsidR="00E34233" w:rsidRDefault="00E34233" w:rsidP="006D1656">
      <w:r>
        <w:t xml:space="preserve">In our view, for a V2X Connectivity and applications, it </w:t>
      </w:r>
      <w:r w:rsidR="0092274F">
        <w:t>is essential to</w:t>
      </w:r>
      <w:r>
        <w:t xml:space="preserve"> have connectivity to the </w:t>
      </w:r>
      <w:r w:rsidR="00A669F9">
        <w:t>LTE</w:t>
      </w:r>
      <w:r>
        <w:t>/EPC core as:</w:t>
      </w:r>
    </w:p>
    <w:p w:rsidR="00E47ECA" w:rsidRDefault="00E47ECA" w:rsidP="00E47ECA">
      <w:pPr>
        <w:pStyle w:val="ListParagraph"/>
        <w:numPr>
          <w:ilvl w:val="0"/>
          <w:numId w:val="13"/>
        </w:numPr>
      </w:pPr>
      <w:r>
        <w:t>For the foreseeable future, operators would be using the Option 3X Architecture where EPC Core controls the LTE and NR Nodes</w:t>
      </w:r>
    </w:p>
    <w:p w:rsidR="00E34233" w:rsidRDefault="0092274F" w:rsidP="00E34233">
      <w:pPr>
        <w:pStyle w:val="ListParagraph"/>
        <w:numPr>
          <w:ilvl w:val="0"/>
          <w:numId w:val="13"/>
        </w:numPr>
      </w:pPr>
      <w:r>
        <w:t xml:space="preserve">Operators have much wider </w:t>
      </w:r>
      <w:r w:rsidR="00A669F9">
        <w:t>LTE</w:t>
      </w:r>
      <w:r>
        <w:t xml:space="preserve"> Coverage than </w:t>
      </w:r>
      <w:r w:rsidR="00A669F9">
        <w:t>NR</w:t>
      </w:r>
      <w:r>
        <w:t xml:space="preserve"> and this is evident in semi-urban and rural environments</w:t>
      </w:r>
      <w:r w:rsidR="00326506">
        <w:t>,</w:t>
      </w:r>
      <w:r>
        <w:t xml:space="preserve"> where </w:t>
      </w:r>
      <w:r w:rsidR="00A669F9">
        <w:t>NR</w:t>
      </w:r>
      <w:r>
        <w:t xml:space="preserve"> coverage may not be available for years to come</w:t>
      </w:r>
    </w:p>
    <w:p w:rsidR="0092274F" w:rsidRDefault="0092274F" w:rsidP="00E34233">
      <w:pPr>
        <w:pStyle w:val="ListParagraph"/>
        <w:numPr>
          <w:ilvl w:val="0"/>
          <w:numId w:val="13"/>
        </w:numPr>
      </w:pPr>
      <w:r>
        <w:t xml:space="preserve">In the absence of </w:t>
      </w:r>
      <w:r w:rsidR="00A669F9">
        <w:t>NR</w:t>
      </w:r>
      <w:r>
        <w:t xml:space="preserve"> Core, operators can still use the EPC Core to run V2X Services </w:t>
      </w:r>
    </w:p>
    <w:p w:rsidR="00A669F9" w:rsidRDefault="00CA1E14" w:rsidP="00CA1E14">
      <w:r>
        <w:t xml:space="preserve">The focus to date has been on </w:t>
      </w:r>
      <w:r w:rsidR="00A669F9" w:rsidRPr="00A669F9">
        <w:t xml:space="preserve">5GC connectivity to enable </w:t>
      </w:r>
      <w:r w:rsidR="00A669F9">
        <w:t xml:space="preserve">the </w:t>
      </w:r>
      <w:r w:rsidR="00A669F9" w:rsidRPr="00A669F9">
        <w:t xml:space="preserve">RAN to control </w:t>
      </w:r>
      <w:r w:rsidR="00A669F9">
        <w:t xml:space="preserve">the </w:t>
      </w:r>
      <w:r w:rsidR="00A669F9" w:rsidRPr="00A669F9">
        <w:t>NR sidelink</w:t>
      </w:r>
    </w:p>
    <w:p w:rsidR="00CA1E14" w:rsidRPr="00CA1E14" w:rsidRDefault="001D0022" w:rsidP="00CA1E14">
      <w:r>
        <w:t>H</w:t>
      </w:r>
      <w:r w:rsidR="00CA1E14">
        <w:t>owever</w:t>
      </w:r>
      <w:r>
        <w:t>,</w:t>
      </w:r>
      <w:r w:rsidR="00CA1E14">
        <w:t xml:space="preserve"> in the interim period whe</w:t>
      </w:r>
      <w:r w:rsidR="0092274F">
        <w:t xml:space="preserve">n the </w:t>
      </w:r>
      <w:r w:rsidR="00A669F9">
        <w:t>NR</w:t>
      </w:r>
      <w:r>
        <w:t xml:space="preserve"> Core</w:t>
      </w:r>
      <w:r w:rsidR="00E47ECA">
        <w:t xml:space="preserve"> </w:t>
      </w:r>
      <w:r w:rsidR="00A669F9" w:rsidRPr="00A669F9">
        <w:t>is not connected to all LTE network nodes</w:t>
      </w:r>
      <w:r>
        <w:t xml:space="preserve">, </w:t>
      </w:r>
      <w:r w:rsidR="00E47ECA">
        <w:t>and operators are using 3X RAN Architecture, the operators</w:t>
      </w:r>
      <w:r>
        <w:t xml:space="preserve"> must have the option to run V2X</w:t>
      </w:r>
      <w:r w:rsidR="00E47ECA">
        <w:t xml:space="preserve"> Service</w:t>
      </w:r>
      <w:r>
        <w:t>s</w:t>
      </w:r>
      <w:r w:rsidR="00E47ECA">
        <w:t xml:space="preserve"> on the existing RAN and Core infrastructure.  </w:t>
      </w:r>
    </w:p>
    <w:p w:rsidR="00CA1E14" w:rsidRDefault="00A91EDC" w:rsidP="00CA1E14">
      <w:pPr>
        <w:pStyle w:val="Heading1"/>
      </w:pPr>
      <w:r w:rsidRPr="001A2AA4">
        <w:t>Proposal and Conclusions</w:t>
      </w:r>
    </w:p>
    <w:p w:rsidR="00CA1E14" w:rsidRDefault="00CA1E14" w:rsidP="00CA1E14">
      <w:r>
        <w:t xml:space="preserve">In addition to Scenarios 1 and 2, from operator’s perspective, in the short and medium term it is essential to use the LTE EPC Core for sidelink scheduling </w:t>
      </w:r>
      <w:r w:rsidR="0092274F">
        <w:t xml:space="preserve">and for V2X Services </w:t>
      </w:r>
      <w:r>
        <w:t>for the early application.</w:t>
      </w:r>
    </w:p>
    <w:p w:rsidR="00F552A6" w:rsidRDefault="00F552A6" w:rsidP="00CA1E14">
      <w:r>
        <w:t xml:space="preserve">Moreover, the de-prioritisation of LTE based Scenario 3 and Scenario 4 are against the agreed objectives of the agreed SI. </w:t>
      </w:r>
    </w:p>
    <w:p w:rsidR="00CA1E14" w:rsidRPr="004E0FCD" w:rsidRDefault="00CA1E14" w:rsidP="00CA1E14">
      <w:pPr>
        <w:rPr>
          <w:u w:val="single"/>
        </w:rPr>
      </w:pPr>
      <w:r w:rsidRPr="004E0FCD">
        <w:rPr>
          <w:u w:val="single"/>
        </w:rPr>
        <w:t>Therefore</w:t>
      </w:r>
      <w:r w:rsidR="0092274F" w:rsidRPr="004E0FCD">
        <w:rPr>
          <w:u w:val="single"/>
        </w:rPr>
        <w:t>,</w:t>
      </w:r>
      <w:r w:rsidRPr="004E0FCD">
        <w:rPr>
          <w:u w:val="single"/>
        </w:rPr>
        <w:t xml:space="preserve"> we propose to prioritise</w:t>
      </w:r>
      <w:r w:rsidR="004E0FCD">
        <w:rPr>
          <w:u w:val="single"/>
        </w:rPr>
        <w:t xml:space="preserve"> </w:t>
      </w:r>
      <w:r w:rsidR="002E0982" w:rsidRPr="004E0FCD">
        <w:rPr>
          <w:u w:val="single"/>
        </w:rPr>
        <w:t>Scenario</w:t>
      </w:r>
      <w:r w:rsidR="00465E11" w:rsidRPr="004E0FCD">
        <w:rPr>
          <w:u w:val="single"/>
        </w:rPr>
        <w:t xml:space="preserve"> 3 and Scenario 4 for further study.</w:t>
      </w:r>
    </w:p>
    <w:p w:rsidR="00A91EDC" w:rsidRDefault="001A2AA4" w:rsidP="001A2AA4">
      <w:pPr>
        <w:pStyle w:val="Heading1"/>
      </w:pPr>
      <w:r>
        <w:lastRenderedPageBreak/>
        <w:t xml:space="preserve">References </w:t>
      </w:r>
      <w:r w:rsidR="00A91EDC">
        <w:t xml:space="preserve"> </w:t>
      </w:r>
      <w:r w:rsidR="00CA1E14">
        <w:t xml:space="preserve"> </w:t>
      </w:r>
    </w:p>
    <w:p w:rsidR="007D7634" w:rsidRDefault="007D7634" w:rsidP="007D7634">
      <w:pPr>
        <w:pStyle w:val="ListParagraph"/>
        <w:numPr>
          <w:ilvl w:val="0"/>
          <w:numId w:val="14"/>
        </w:numPr>
      </w:pPr>
      <w:r>
        <w:t xml:space="preserve">R2-1813933 </w:t>
      </w:r>
      <w:r w:rsidRPr="007D7634">
        <w:t>Scenarios for NR V2X SL communication</w:t>
      </w:r>
    </w:p>
    <w:p w:rsidR="00CA1E14" w:rsidRDefault="00CA1E14" w:rsidP="007D7634">
      <w:pPr>
        <w:pStyle w:val="ListParagraph"/>
        <w:numPr>
          <w:ilvl w:val="0"/>
          <w:numId w:val="14"/>
        </w:numPr>
      </w:pPr>
      <w:r w:rsidRPr="00CA1E14">
        <w:t>R2-1818737</w:t>
      </w:r>
      <w:r>
        <w:t xml:space="preserve"> </w:t>
      </w:r>
      <w:r w:rsidRPr="00CA1E14">
        <w:t>Email discussion-[103bis#35]</w:t>
      </w:r>
      <w:r w:rsidR="00481C59">
        <w:t xml:space="preserve"> </w:t>
      </w:r>
      <w:r w:rsidRPr="00CA1E14">
        <w:t>[NR/V2X] V2X agreements</w:t>
      </w:r>
    </w:p>
    <w:p w:rsidR="00F552A6" w:rsidRPr="00CA1E14" w:rsidRDefault="00F552A6" w:rsidP="00F552A6">
      <w:pPr>
        <w:pStyle w:val="ListParagraph"/>
        <w:numPr>
          <w:ilvl w:val="0"/>
          <w:numId w:val="14"/>
        </w:numPr>
      </w:pPr>
      <w:r w:rsidRPr="00F552A6">
        <w:t>RP-182491</w:t>
      </w:r>
      <w:r>
        <w:t xml:space="preserve"> </w:t>
      </w:r>
      <w:r w:rsidRPr="00F552A6">
        <w:t>Revised SID: Study on NR V2X</w:t>
      </w:r>
    </w:p>
    <w:sectPr w:rsidR="00F552A6" w:rsidRPr="00CA1E14"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BFC" w:rsidRDefault="00611BFC" w:rsidP="001A2AA4">
      <w:pPr>
        <w:spacing w:after="0"/>
      </w:pPr>
      <w:r>
        <w:separator/>
      </w:r>
    </w:p>
  </w:endnote>
  <w:endnote w:type="continuationSeparator" w:id="0">
    <w:p w:rsidR="00611BFC" w:rsidRDefault="00611BFC" w:rsidP="001A2A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4247"/>
    </w:tblGrid>
    <w:tr w:rsidR="00E32581" w:rsidTr="00E32581">
      <w:tc>
        <w:tcPr>
          <w:tcW w:w="4247" w:type="dxa"/>
        </w:tcPr>
        <w:p w:rsidR="00E32581" w:rsidRDefault="00E32581" w:rsidP="00E32581">
          <w:pPr>
            <w:pStyle w:val="Footer"/>
            <w:jc w:val="left"/>
          </w:pPr>
          <w:r w:rsidRPr="00E32581">
            <w:t>R2-1901520</w:t>
          </w:r>
        </w:p>
      </w:tc>
      <w:tc>
        <w:tcPr>
          <w:tcW w:w="4247" w:type="dxa"/>
        </w:tcPr>
        <w:p w:rsidR="00E32581" w:rsidRDefault="00E32581" w:rsidP="00E32581">
          <w:pPr>
            <w:pStyle w:val="Footer"/>
            <w:jc w:val="right"/>
          </w:pPr>
          <w:r>
            <w:rPr>
              <w:noProof w:val="0"/>
            </w:rPr>
            <w:fldChar w:fldCharType="begin"/>
          </w:r>
          <w:r>
            <w:instrText xml:space="preserve"> PAGE   \* MERGEFORMAT </w:instrText>
          </w:r>
          <w:r>
            <w:rPr>
              <w:noProof w:val="0"/>
            </w:rPr>
            <w:fldChar w:fldCharType="separate"/>
          </w:r>
          <w:r w:rsidR="008F19C2">
            <w:t>1</w:t>
          </w:r>
          <w:r>
            <w:fldChar w:fldCharType="end"/>
          </w:r>
        </w:p>
      </w:tc>
    </w:tr>
  </w:tbl>
  <w:p w:rsidR="001A2AA4" w:rsidRDefault="001A2AA4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0ae84775a8018c6630c373a6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1A2AA4" w:rsidRPr="001A2AA4" w:rsidRDefault="001A2AA4" w:rsidP="00E47ECA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0ae84775a8018c6630c373a6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qBWHAMAADgGAAAOAAAAZHJzL2Uyb0RvYy54bWysVFFv2jAQfp+0/2D5YU+jSSAEwhoqSsVW&#10;ibZIdOqzcRxiLbFT25Swqv99ZyehpdvDNO3FPt+dz3fffb7zi7os0BNTmkuR4ODMx4gJKlMutgn+&#10;fr/ojTHShoiUFFKwBB+YxhfTjx/O99WE9WUui5QpBEGEnuyrBOfGVBPP0zRnJdFnsmICjJlUJTFw&#10;VFsvVWQP0cvC6/t+5O2lSislKdMatFeNEU9d/Cxj1NxlmWYGFQmG3IxblVs3dvWm52SyVaTKOW3T&#10;IP+QRUm4gEePoa6IIWin+G+hSk6V1DIzZ1SWnswyTpmrAaoJ/HfVrHNSMVcLgKOrI0z6/4Wlt08r&#10;hXia4D5GgpTQopv19Wp+4xM2DkejIRn7wZhG0cCng9GARBilTFNA8PnT406aL9+IzucyZc1p0gui&#10;OB6Owv4g+Nw6ML7NTWseh0CR1vDAU5O3+mE8POpXBaGsZKK707gspDRMNXIb4FqkrG4DNNtK8ZKo&#10;w4nXGjgA5Gz9uqzuZdVq/OPDS5Z1b4LyxXJjX+kJQLSuACRTX8oaON7pNShty+tMlXaHZiKwA8sO&#10;R2ax2iAKytEw8gcBmCjY+qOBP3TU815vV0qbr0yWyAoJVpC1IxR5WmoDmYBr52IfE3LBi8KxtxBo&#10;n+BoACFPLHCjEFYDSUCMVmpY+RwH/dC/7Me9RTQe9cJFOOzFI3/c84P4Mo78MA6vFi82XhBOcp6m&#10;TCy5YN0PCcK/Y2D7Vxtuuz9ykqqWBU9tHTY3W928UOiJwFfdAAd+WKChiDde3mk6zgzVdbur0rM9&#10;a3pjJVNv6raRG5keoI9KAr7QCl3RBYdHl0SbFVHw7UEJo8zcwZIVEkCVrYRRLtXPP+mtP2ABVoz2&#10;MEYSrB93RDGMimsB/7Q/DH0f4hp3AkE5IQ7CEA6bTit25VxC3YFLy4nW1xSdmClZPsCom9nnwEQE&#10;hUcBqE6cGziBAUYlZbOZk2HEVMQsxbqiNnSH8n39QFTVEs0AfreymzRk8o5vja+9KeRsZ2TGHRkt&#10;sg2cgL09wHhyXWhHqZ1/b8/O63XgT38B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AkuoFYcAwAAOA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:rsidR="001A2AA4" w:rsidRPr="001A2AA4" w:rsidRDefault="001A2AA4" w:rsidP="00E47ECA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BFC" w:rsidRDefault="00611BFC" w:rsidP="001A2AA4">
      <w:pPr>
        <w:spacing w:after="0"/>
      </w:pPr>
      <w:r>
        <w:separator/>
      </w:r>
    </w:p>
  </w:footnote>
  <w:footnote w:type="continuationSeparator" w:id="0">
    <w:p w:rsidR="00611BFC" w:rsidRDefault="00611BFC" w:rsidP="001A2A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A875C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Arial"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8" w15:restartNumberingAfterBreak="0">
    <w:nsid w:val="33337823"/>
    <w:multiLevelType w:val="multilevel"/>
    <w:tmpl w:val="60667D1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cs="Arial" w:hint="default"/>
        <w:sz w:val="28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51B56362"/>
    <w:multiLevelType w:val="hybridMultilevel"/>
    <w:tmpl w:val="1354B9EC"/>
    <w:lvl w:ilvl="0" w:tplc="4350B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54502"/>
    <w:multiLevelType w:val="hybridMultilevel"/>
    <w:tmpl w:val="72B27F76"/>
    <w:lvl w:ilvl="0" w:tplc="A5A685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150A3"/>
    <w:multiLevelType w:val="hybridMultilevel"/>
    <w:tmpl w:val="5B067D58"/>
    <w:lvl w:ilvl="0" w:tplc="422869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B065F4"/>
    <w:multiLevelType w:val="hybridMultilevel"/>
    <w:tmpl w:val="66AC676C"/>
    <w:lvl w:ilvl="0" w:tplc="59DCB3C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13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2"/>
  </w:num>
  <w:num w:numId="13">
    <w:abstractNumId w:val="11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F03"/>
    <w:rsid w:val="00137CCB"/>
    <w:rsid w:val="001A1931"/>
    <w:rsid w:val="001A2AA4"/>
    <w:rsid w:val="001D0022"/>
    <w:rsid w:val="002E0982"/>
    <w:rsid w:val="00326506"/>
    <w:rsid w:val="00465E11"/>
    <w:rsid w:val="00481C59"/>
    <w:rsid w:val="004B22DE"/>
    <w:rsid w:val="004E0FCD"/>
    <w:rsid w:val="004F353B"/>
    <w:rsid w:val="005E0F03"/>
    <w:rsid w:val="00611BFC"/>
    <w:rsid w:val="006D1656"/>
    <w:rsid w:val="007D7634"/>
    <w:rsid w:val="00887B70"/>
    <w:rsid w:val="008F19C2"/>
    <w:rsid w:val="0092274F"/>
    <w:rsid w:val="00942207"/>
    <w:rsid w:val="00A669F9"/>
    <w:rsid w:val="00A91EDC"/>
    <w:rsid w:val="00B71CD8"/>
    <w:rsid w:val="00CA1E14"/>
    <w:rsid w:val="00E32581"/>
    <w:rsid w:val="00E34233"/>
    <w:rsid w:val="00E47ECA"/>
    <w:rsid w:val="00F552A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9B3DD1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ECA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numPr>
        <w:numId w:val="0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link w:val="HeaderChar"/>
    <w:qFormat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numPr>
        <w:ilvl w:val="0"/>
        <w:numId w:val="0"/>
      </w:num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5E0F03"/>
    <w:rPr>
      <w:b/>
    </w:rPr>
  </w:style>
  <w:style w:type="character" w:customStyle="1" w:styleId="TAHCar">
    <w:name w:val="TAH Car"/>
    <w:link w:val="TAH"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ListParagraph">
    <w:name w:val="List Paragraph"/>
    <w:basedOn w:val="Normal"/>
    <w:uiPriority w:val="34"/>
    <w:qFormat/>
    <w:rsid w:val="001A2A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6DD83-23A3-493E-8E32-A01BA3E7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Normal_Blank.dotm</Template>
  <TotalTime>0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Soghomonian, Manook, Vodafone Group</cp:lastModifiedBy>
  <cp:revision>2</cp:revision>
  <dcterms:created xsi:type="dcterms:W3CDTF">2019-02-14T18:15:00Z</dcterms:created>
  <dcterms:modified xsi:type="dcterms:W3CDTF">2019-02-14T18:15:00Z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manook.soghomonian@vodafone.com</vt:lpwstr>
  </property>
  <property fmtid="{D5CDD505-2E9C-101B-9397-08002B2CF9AE}" pid="5" name="MSIP_Label_17da11e7-ad83-4459-98c6-12a88e2eac78_SetDate">
    <vt:lpwstr>2019-02-14T18:12:47.2572470Z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