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4A4B6" w14:textId="1590FADC" w:rsidR="00543D38" w:rsidRPr="00543D38" w:rsidRDefault="00E5482F" w:rsidP="00543D38">
      <w:pPr>
        <w:tabs>
          <w:tab w:val="left" w:pos="1701"/>
          <w:tab w:val="right" w:pos="9639"/>
        </w:tabs>
        <w:spacing w:after="60"/>
        <w:rPr>
          <w:b/>
          <w:sz w:val="32"/>
          <w:szCs w:val="32"/>
          <w:highlight w:val="yellow"/>
        </w:rPr>
      </w:pPr>
      <w:bookmarkStart w:id="0" w:name="_GoBack"/>
      <w:bookmarkEnd w:id="0"/>
      <w:r w:rsidRPr="00E5482F">
        <w:rPr>
          <w:b/>
          <w:sz w:val="24"/>
        </w:rPr>
        <w:t>3GPP TSG-RAN WG2#10</w:t>
      </w:r>
      <w:r w:rsidR="00795B62">
        <w:rPr>
          <w:b/>
          <w:sz w:val="24"/>
        </w:rPr>
        <w:t>4</w:t>
      </w:r>
      <w:r w:rsidR="00543D38" w:rsidRPr="00543D38">
        <w:rPr>
          <w:b/>
          <w:sz w:val="24"/>
        </w:rPr>
        <w:tab/>
      </w:r>
      <w:proofErr w:type="spellStart"/>
      <w:r w:rsidR="00543D38" w:rsidRPr="00543D38">
        <w:rPr>
          <w:b/>
          <w:sz w:val="32"/>
          <w:szCs w:val="32"/>
        </w:rPr>
        <w:t>Tdoc</w:t>
      </w:r>
      <w:proofErr w:type="spellEnd"/>
      <w:r w:rsidR="00543D38" w:rsidRPr="00543D38">
        <w:rPr>
          <w:b/>
          <w:sz w:val="32"/>
          <w:szCs w:val="32"/>
        </w:rPr>
        <w:t xml:space="preserve"> </w:t>
      </w:r>
      <w:r w:rsidR="0054037E">
        <w:rPr>
          <w:b/>
          <w:sz w:val="32"/>
          <w:szCs w:val="32"/>
        </w:rPr>
        <w:t>R2-1817295</w:t>
      </w:r>
    </w:p>
    <w:p w14:paraId="257F8906" w14:textId="67BA4CBA" w:rsidR="00543D38" w:rsidRPr="00543D38" w:rsidRDefault="004E7EBC" w:rsidP="004E7EBC">
      <w:pPr>
        <w:pStyle w:val="CRCoverPage"/>
        <w:tabs>
          <w:tab w:val="right" w:pos="9639"/>
        </w:tabs>
        <w:rPr>
          <w:b/>
          <w:noProof/>
          <w:sz w:val="24"/>
        </w:rPr>
      </w:pPr>
      <w:r>
        <w:rPr>
          <w:b/>
          <w:noProof/>
          <w:sz w:val="24"/>
        </w:rPr>
        <w:t>Spokane, USA, 2018-11-12 to 2018-11-16</w:t>
      </w:r>
      <w:r w:rsidR="00543D38">
        <w:rPr>
          <w:b/>
          <w:sz w:val="24"/>
        </w:rPr>
        <w:tab/>
      </w:r>
    </w:p>
    <w:p w14:paraId="30288D36" w14:textId="77777777" w:rsidR="00E90E49" w:rsidRPr="00CE0424" w:rsidRDefault="00E90E49" w:rsidP="00357380">
      <w:pPr>
        <w:pStyle w:val="3GPPHeader"/>
      </w:pPr>
    </w:p>
    <w:p w14:paraId="1EBE0A8A" w14:textId="0B4DE417" w:rsidR="00E90E49" w:rsidRPr="004E7EBC" w:rsidRDefault="00E90E49" w:rsidP="00311702">
      <w:pPr>
        <w:pStyle w:val="3GPPHeader"/>
        <w:rPr>
          <w:sz w:val="22"/>
          <w:szCs w:val="22"/>
          <w:lang w:val="en-US"/>
        </w:rPr>
      </w:pPr>
      <w:r w:rsidRPr="004E7EBC">
        <w:rPr>
          <w:sz w:val="22"/>
          <w:szCs w:val="22"/>
          <w:lang w:val="en-US"/>
        </w:rPr>
        <w:t>Agenda Item:</w:t>
      </w:r>
      <w:r w:rsidRPr="004E7EBC">
        <w:rPr>
          <w:sz w:val="22"/>
          <w:szCs w:val="22"/>
          <w:lang w:val="en-US"/>
        </w:rPr>
        <w:tab/>
      </w:r>
      <w:r w:rsidR="00C8759D" w:rsidRPr="00C8759D">
        <w:rPr>
          <w:sz w:val="22"/>
          <w:szCs w:val="22"/>
          <w:lang w:val="en-US"/>
        </w:rPr>
        <w:t>10</w:t>
      </w:r>
      <w:r w:rsidR="000F5980" w:rsidRPr="00C8759D">
        <w:rPr>
          <w:sz w:val="22"/>
          <w:szCs w:val="22"/>
          <w:lang w:val="en-US"/>
        </w:rPr>
        <w:t>.</w:t>
      </w:r>
      <w:r w:rsidR="00C8759D" w:rsidRPr="00C8759D">
        <w:rPr>
          <w:sz w:val="22"/>
          <w:szCs w:val="22"/>
          <w:lang w:val="en-US"/>
        </w:rPr>
        <w:t>4</w:t>
      </w:r>
      <w:r w:rsidR="000F5980" w:rsidRPr="00C8759D">
        <w:rPr>
          <w:sz w:val="22"/>
          <w:szCs w:val="22"/>
          <w:lang w:val="en-US"/>
        </w:rPr>
        <w:t>.</w:t>
      </w:r>
      <w:r w:rsidR="00C8759D" w:rsidRPr="00C8759D">
        <w:rPr>
          <w:sz w:val="22"/>
          <w:szCs w:val="22"/>
          <w:lang w:val="en-US"/>
        </w:rPr>
        <w:t>2</w:t>
      </w:r>
      <w:r w:rsidR="000F5980" w:rsidRPr="00C8759D">
        <w:rPr>
          <w:sz w:val="22"/>
          <w:szCs w:val="22"/>
          <w:lang w:val="en-US"/>
        </w:rPr>
        <w:t>.</w:t>
      </w:r>
      <w:r w:rsidR="00C8759D" w:rsidRPr="00C8759D">
        <w:rPr>
          <w:sz w:val="22"/>
          <w:szCs w:val="22"/>
          <w:lang w:val="en-US"/>
        </w:rPr>
        <w:t>2</w:t>
      </w:r>
    </w:p>
    <w:p w14:paraId="7BA7134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39B0E50" w14:textId="269A254F" w:rsidR="00E90E49" w:rsidRPr="00CE0424" w:rsidRDefault="003D3C45" w:rsidP="00311702">
      <w:pPr>
        <w:pStyle w:val="3GPPHeader"/>
        <w:rPr>
          <w:sz w:val="22"/>
          <w:szCs w:val="22"/>
        </w:rPr>
      </w:pPr>
      <w:r w:rsidRPr="0003501F">
        <w:rPr>
          <w:sz w:val="22"/>
          <w:szCs w:val="22"/>
        </w:rPr>
        <w:t>Title:</w:t>
      </w:r>
      <w:r w:rsidR="00E90E49" w:rsidRPr="0003501F">
        <w:rPr>
          <w:sz w:val="22"/>
          <w:szCs w:val="22"/>
        </w:rPr>
        <w:tab/>
      </w:r>
      <w:r w:rsidR="00795B62" w:rsidRPr="00795B62">
        <w:rPr>
          <w:sz w:val="22"/>
          <w:szCs w:val="22"/>
        </w:rPr>
        <w:t>Support of inter-system HO from NR to E</w:t>
      </w:r>
      <w:r w:rsidR="003B281B">
        <w:rPr>
          <w:sz w:val="22"/>
          <w:szCs w:val="22"/>
        </w:rPr>
        <w:t>N-DC</w:t>
      </w:r>
    </w:p>
    <w:p w14:paraId="7E810194"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B840A3">
        <w:rPr>
          <w:sz w:val="22"/>
          <w:szCs w:val="22"/>
        </w:rPr>
        <w:t>Discussion, Decision</w:t>
      </w:r>
    </w:p>
    <w:p w14:paraId="0B1687F5" w14:textId="77777777" w:rsidR="00C24345" w:rsidRDefault="00E90E49" w:rsidP="00A2052C">
      <w:pPr>
        <w:pStyle w:val="Heading1"/>
      </w:pPr>
      <w:r w:rsidRPr="00CE0424">
        <w:t>Introduction</w:t>
      </w:r>
    </w:p>
    <w:p w14:paraId="2B1C1BAB" w14:textId="2A344B54" w:rsidR="00804E9D" w:rsidRDefault="00804E9D" w:rsidP="00804E9D">
      <w:r>
        <w:t>Currently, there is an FFS in TS 36.331 whether setup of EN-DC (or MR-DC) would be supported upon inter-RAT and/or inter-system handover:</w:t>
      </w:r>
    </w:p>
    <w:p w14:paraId="705E43A3" w14:textId="77777777" w:rsidR="00804E9D" w:rsidRDefault="00804E9D" w:rsidP="00804E9D">
      <w:r>
        <w:rPr>
          <w:noProof/>
        </w:rPr>
        <mc:AlternateContent>
          <mc:Choice Requires="wps">
            <w:drawing>
              <wp:inline distT="0" distB="0" distL="0" distR="0" wp14:anchorId="0CA454A3" wp14:editId="174FA49E">
                <wp:extent cx="1828800" cy="1828800"/>
                <wp:effectExtent l="0" t="0" r="26035" b="16510"/>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F6CF2C9" w14:textId="77777777" w:rsidR="00804E9D" w:rsidRPr="00A808AF" w:rsidRDefault="00804E9D" w:rsidP="00804E9D">
                            <w:pPr>
                              <w:pStyle w:val="EditorsNote"/>
                            </w:pPr>
                            <w:r w:rsidRPr="00FE7D68">
                              <w:t>Editor's note: It is FFS whether setup of EN-DC or MR-DC can be performed upon inter-RAT (inter-system or intra-system) HO from NR, or for inter-system intra-LTE HO.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0CA454A3" id="_x0000_t202" coordsize="21600,21600" o:spt="202" path="m,l,21600r21600,l21600,xe">
                <v:stroke joinstyle="miter"/>
                <v:path gradientshapeok="t" o:connecttype="rect"/>
              </v:shapetype>
              <v:shape id="Text Box 3"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G3cVME6AgAAeAQAAA4AAAAAAAAAAAAA&#13;&#10;AAAALgIAAGRycy9lMm9Eb2MueG1sUEsBAi0AFAAGAAgAAAAhAAUyY4naAAAACgEAAA8AAAAAAAAA&#13;&#10;AAAAAAAAlAQAAGRycy9kb3ducmV2LnhtbFBLBQYAAAAABAAEAPMAAACbBQAAAAA=&#13;&#10;" filled="f" strokeweight=".5pt">
                <v:textbox style="mso-fit-shape-to-text:t">
                  <w:txbxContent>
                    <w:p w14:paraId="1F6CF2C9" w14:textId="77777777" w:rsidR="00804E9D" w:rsidRPr="00A808AF" w:rsidRDefault="00804E9D" w:rsidP="00804E9D">
                      <w:pPr>
                        <w:pStyle w:val="EditorsNote"/>
                      </w:pPr>
                      <w:r w:rsidRPr="00FE7D68">
                        <w:t>Editor's note: It is FFS whether setup of EN-DC or MR-DC can be performed upon inter-RAT (inter-system or intra-system) HO from NR, or for inter-system intra-LTE HO.</w:t>
                      </w:r>
                    </w:p>
                  </w:txbxContent>
                </v:textbox>
                <w10:anchorlock/>
              </v:shape>
            </w:pict>
          </mc:Fallback>
        </mc:AlternateContent>
      </w:r>
    </w:p>
    <w:p w14:paraId="6B55C038" w14:textId="77777777" w:rsidR="00804E9D" w:rsidRDefault="00804E9D" w:rsidP="00804E9D">
      <w:pPr>
        <w:rPr>
          <w:lang w:val="en-US"/>
        </w:rPr>
      </w:pPr>
      <w:r w:rsidRPr="0097723B">
        <w:rPr>
          <w:lang w:val="en-US"/>
        </w:rPr>
        <w:t>For intra-system handover, it is currently possible to perform a ha</w:t>
      </w:r>
      <w:r>
        <w:rPr>
          <w:lang w:val="en-US"/>
        </w:rPr>
        <w:t xml:space="preserve">ndover and setup EN-DC at the same time, as noted in TS 37.340 section 10.9.1: </w:t>
      </w:r>
    </w:p>
    <w:p w14:paraId="53BC15DC" w14:textId="77777777" w:rsidR="00804E9D" w:rsidRDefault="00804E9D" w:rsidP="00804E9D">
      <w:pPr>
        <w:rPr>
          <w:lang w:val="en-US"/>
        </w:rPr>
      </w:pPr>
      <w:r>
        <w:rPr>
          <w:noProof/>
        </w:rPr>
        <mc:AlternateContent>
          <mc:Choice Requires="wps">
            <w:drawing>
              <wp:inline distT="0" distB="0" distL="0" distR="0" wp14:anchorId="656B0C1A" wp14:editId="56BC1EF4">
                <wp:extent cx="1828800" cy="1828800"/>
                <wp:effectExtent l="0" t="0" r="26035" b="10160"/>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13E8116" w14:textId="77777777" w:rsidR="00804E9D" w:rsidRPr="00DB4590" w:rsidRDefault="00804E9D" w:rsidP="00804E9D">
                            <w:r>
                              <w:t>The eNB to Master Node change procedure is used to transfer context data from a source eNB to a target MN that adds an SN during the handover.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56B0C1A" id="Text Box 4"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" filled="f" strokeweight=".5pt">
                <v:textbox style="mso-fit-shape-to-text:t">
                  <w:txbxContent>
                    <w:p w14:paraId="013E8116" w14:textId="77777777" w:rsidR="00804E9D" w:rsidRPr="00DB4590" w:rsidRDefault="00804E9D" w:rsidP="00804E9D">
                      <w:r>
                        <w:t>The eNB to Master Node change procedure is used to transfer context data from a source eNB to a target MN that adds an SN during the handover.</w:t>
                      </w:r>
                    </w:p>
                  </w:txbxContent>
                </v:textbox>
                <w10:anchorlock/>
              </v:shape>
            </w:pict>
          </mc:Fallback>
        </mc:AlternateContent>
      </w:r>
    </w:p>
    <w:p w14:paraId="0E16681A" w14:textId="77777777" w:rsidR="00804E9D" w:rsidRPr="0097723B" w:rsidRDefault="00804E9D" w:rsidP="00804E9D">
      <w:pPr>
        <w:rPr>
          <w:lang w:val="en-US"/>
        </w:rPr>
      </w:pPr>
      <w:r>
        <w:rPr>
          <w:lang w:val="en-US"/>
        </w:rPr>
        <w:t>Similarly, in LTE/5GC, it is similarly possible to perform an intra-RAT/intra-system handover and add an NR or LTE/5GC at the same time.</w:t>
      </w:r>
    </w:p>
    <w:p w14:paraId="1CA39E82" w14:textId="6D9FB66F" w:rsidR="00162517" w:rsidRPr="00A2052C" w:rsidRDefault="003B281B" w:rsidP="00A2052C">
      <w:r>
        <w:t>During RAN2#103bis</w:t>
      </w:r>
      <w:r w:rsidR="00804E9D">
        <w:t xml:space="preserve"> (offline #40)</w:t>
      </w:r>
      <w:r>
        <w:t>, it was discussed whether inter-RAT handover from NR to EN-DC would be supported.</w:t>
      </w:r>
      <w:r w:rsidR="0097723B">
        <w:t xml:space="preserve"> This contribution discusses the benefits of supporting this, as well as the changes required to achieve it.</w:t>
      </w:r>
      <w:r>
        <w:t xml:space="preserve"> </w:t>
      </w:r>
    </w:p>
    <w:p w14:paraId="639C6529" w14:textId="30FF29D7" w:rsidR="004000E8" w:rsidRDefault="004000E8" w:rsidP="00CE0424">
      <w:pPr>
        <w:pStyle w:val="Heading1"/>
      </w:pPr>
      <w:bookmarkStart w:id="1" w:name="_Ref178064866"/>
      <w:r w:rsidRPr="00CE0424">
        <w:t>Discussion</w:t>
      </w:r>
      <w:bookmarkEnd w:id="1"/>
    </w:p>
    <w:p w14:paraId="3E0A7F65" w14:textId="33C62D3E" w:rsidR="00B80F15" w:rsidRDefault="00B80F15" w:rsidP="00B80F15">
      <w:pPr>
        <w:pStyle w:val="Heading2"/>
      </w:pPr>
      <w:r>
        <w:t>Use case for inter-system mobility from NR to EN-DC</w:t>
      </w:r>
    </w:p>
    <w:p w14:paraId="79C7656E" w14:textId="1C4FD77C" w:rsidR="00A00616" w:rsidRDefault="00804E9D" w:rsidP="00246D77">
      <w:r>
        <w:t xml:space="preserve">The main driver for employing EN-DC, is to utilize the extended bandwidth provided by NR spectrum, while keeping the control signalling on </w:t>
      </w:r>
      <w:r w:rsidR="000876BD">
        <w:t>LTE</w:t>
      </w:r>
      <w:r>
        <w:t>. As NR will be further deployed, it will eventually support NR SA, where the UE is directly connected to the gNBs, possibly employing NR-DC. As some deployments may not upgrade the E-UTRAN to connect to 5GC, the MR-DC options of NE-DC or NGEN-DC will not be available.</w:t>
      </w:r>
      <w:r w:rsidR="000876BD">
        <w:t xml:space="preserve"> </w:t>
      </w:r>
    </w:p>
    <w:p w14:paraId="7402DB97" w14:textId="12271E1D" w:rsidR="00A00616" w:rsidRDefault="00A00616" w:rsidP="00A00616">
      <w:pPr>
        <w:pStyle w:val="Observation"/>
      </w:pPr>
      <w:bookmarkStart w:id="2" w:name="_Toc528149751"/>
      <w:bookmarkStart w:id="3" w:name="_Toc528150258"/>
      <w:bookmarkStart w:id="4" w:name="_Toc528151279"/>
      <w:bookmarkStart w:id="5" w:name="_Toc528158979"/>
      <w:bookmarkStart w:id="6" w:name="_Toc528839340"/>
      <w:bookmarkStart w:id="7" w:name="_Toc528850673"/>
      <w:r>
        <w:t>Some network may only deploy NR SA and EN-DC to avoid costly upgrades of eNBs to connect to 5GC</w:t>
      </w:r>
      <w:bookmarkEnd w:id="2"/>
      <w:bookmarkEnd w:id="3"/>
      <w:bookmarkEnd w:id="4"/>
      <w:bookmarkEnd w:id="5"/>
      <w:bookmarkEnd w:id="6"/>
      <w:bookmarkEnd w:id="7"/>
    </w:p>
    <w:p w14:paraId="1BE84D8C" w14:textId="6E0C96D2" w:rsidR="00D8476D" w:rsidRDefault="000876BD" w:rsidP="00246D77">
      <w:r>
        <w:t>In those scenarios, a UE would use NR SA when there is good coverage and large NR bandwidths. If the UE loses the NR coverage, or is only covered by a narrow bandwidth NR at low frequencies, it would be beneficial to aggregate spectrum with LTE and would then need to handover to EN-DC.</w:t>
      </w:r>
    </w:p>
    <w:p w14:paraId="710B89D9" w14:textId="4C2601B3" w:rsidR="000876BD" w:rsidRDefault="000876BD" w:rsidP="000876BD">
      <w:pPr>
        <w:pStyle w:val="Observation"/>
      </w:pPr>
      <w:bookmarkStart w:id="8" w:name="_Toc528149752"/>
      <w:bookmarkStart w:id="9" w:name="_Toc528150259"/>
      <w:bookmarkStart w:id="10" w:name="_Toc528151280"/>
      <w:bookmarkStart w:id="11" w:name="_Toc528158980"/>
      <w:bookmarkStart w:id="12" w:name="_Toc528839341"/>
      <w:bookmarkStart w:id="13" w:name="_Toc528850674"/>
      <w:r>
        <w:t xml:space="preserve">A network with small NR bandwidth </w:t>
      </w:r>
      <w:r w:rsidR="00C37C05">
        <w:t>c</w:t>
      </w:r>
      <w:r>
        <w:t>ould need to aggregate NR and LTE spectr</w:t>
      </w:r>
      <w:r w:rsidR="000A0CDD">
        <w:t>um</w:t>
      </w:r>
      <w:r>
        <w:t xml:space="preserve"> when NR coverage is poor</w:t>
      </w:r>
      <w:bookmarkEnd w:id="8"/>
      <w:bookmarkEnd w:id="9"/>
      <w:bookmarkEnd w:id="10"/>
      <w:bookmarkEnd w:id="11"/>
      <w:bookmarkEnd w:id="12"/>
      <w:bookmarkEnd w:id="13"/>
    </w:p>
    <w:p w14:paraId="598D87ED" w14:textId="121778B8" w:rsidR="000876BD" w:rsidRDefault="000876BD" w:rsidP="00246D77">
      <w:r>
        <w:t>In addition, the UE may have a good NR DL coverage, thanks to DL beamforming, whereas NR UL coverage may be poorer due to less UL beamforming and lower transmission power at the UE. In that case, when a UE initiates a service requiring large UL bandwidth, the NR UL coverage may not be able to handle this.</w:t>
      </w:r>
      <w:r w:rsidR="00A00616">
        <w:t xml:space="preserve"> In this </w:t>
      </w:r>
      <w:r w:rsidR="00A00616">
        <w:lastRenderedPageBreak/>
        <w:t>case, it would be beneficial to employ EN-DC, where UL heavy traffic is serviced by LTE while DL heavy traffic is serviced by NR.</w:t>
      </w:r>
    </w:p>
    <w:p w14:paraId="297EE810" w14:textId="11BDD46D" w:rsidR="00A00616" w:rsidRDefault="00A00616" w:rsidP="00C37C05">
      <w:pPr>
        <w:pStyle w:val="Observation"/>
      </w:pPr>
      <w:bookmarkStart w:id="14" w:name="_Toc528149753"/>
      <w:bookmarkStart w:id="15" w:name="_Toc528150260"/>
      <w:bookmarkStart w:id="16" w:name="_Toc528151281"/>
      <w:bookmarkStart w:id="17" w:name="_Toc528158981"/>
      <w:bookmarkStart w:id="18" w:name="_Toc528839342"/>
      <w:bookmarkStart w:id="19" w:name="_Toc528850675"/>
      <w:r>
        <w:t>NR may have</w:t>
      </w:r>
      <w:r w:rsidR="00C37C05">
        <w:t xml:space="preserve"> good DL coverage but</w:t>
      </w:r>
      <w:r>
        <w:t xml:space="preserve"> poor UL coverage, where </w:t>
      </w:r>
      <w:r w:rsidR="00C37C05">
        <w:t>a UE need to handover to LTE for UL heavy traffic</w:t>
      </w:r>
      <w:bookmarkEnd w:id="14"/>
      <w:bookmarkEnd w:id="15"/>
      <w:bookmarkEnd w:id="16"/>
      <w:bookmarkEnd w:id="17"/>
      <w:bookmarkEnd w:id="18"/>
      <w:bookmarkEnd w:id="19"/>
    </w:p>
    <w:p w14:paraId="205E90AC" w14:textId="74A20310" w:rsidR="00804E9D" w:rsidRDefault="00235479" w:rsidP="00246D77">
      <w:r>
        <w:t>If setup of EN-DC during inter-RAT handover is not supported, the UE would first need to handover to LTE and then need to perform subsequent reconfigurations, resulting in at least one additional message round-trip which would result in a larger service interruption for traffic which is best served by the NR node.</w:t>
      </w:r>
    </w:p>
    <w:p w14:paraId="065C76F3" w14:textId="575DFB09" w:rsidR="00235479" w:rsidRDefault="006C010B" w:rsidP="006C010B">
      <w:pPr>
        <w:pStyle w:val="Observation"/>
      </w:pPr>
      <w:bookmarkStart w:id="20" w:name="_Toc528149754"/>
      <w:bookmarkStart w:id="21" w:name="_Toc528150261"/>
      <w:bookmarkStart w:id="22" w:name="_Toc528151282"/>
      <w:bookmarkStart w:id="23" w:name="_Toc528158982"/>
      <w:bookmarkStart w:id="24" w:name="_Toc528839343"/>
      <w:bookmarkStart w:id="25" w:name="_Toc528850676"/>
      <w:r>
        <w:t>If direct configuration of EN-DC during inter-system handover is not supported, the service interruption of the NR traffic will be aggr</w:t>
      </w:r>
      <w:r w:rsidR="00991489">
        <w:t>a</w:t>
      </w:r>
      <w:r>
        <w:t>vated.</w:t>
      </w:r>
      <w:bookmarkEnd w:id="20"/>
      <w:bookmarkEnd w:id="21"/>
      <w:bookmarkEnd w:id="22"/>
      <w:bookmarkEnd w:id="23"/>
      <w:bookmarkEnd w:id="24"/>
      <w:bookmarkEnd w:id="25"/>
    </w:p>
    <w:p w14:paraId="0D1E6494" w14:textId="4FFF32C9" w:rsidR="00246D77" w:rsidRDefault="00246D77" w:rsidP="00246D77"/>
    <w:p w14:paraId="0C4C27CF" w14:textId="389D4D3F" w:rsidR="00B80F15" w:rsidRDefault="005128E1" w:rsidP="00B80F15">
      <w:pPr>
        <w:pStyle w:val="Heading2"/>
      </w:pPr>
      <w:r>
        <w:t>S</w:t>
      </w:r>
      <w:r w:rsidR="00B80F15">
        <w:t xml:space="preserve">upport </w:t>
      </w:r>
      <w:r>
        <w:t xml:space="preserve">for delta configuration during </w:t>
      </w:r>
      <w:r w:rsidR="00B80F15">
        <w:t>setup of EN-DC during inter-system handover</w:t>
      </w:r>
      <w:r w:rsidR="00254609">
        <w:t xml:space="preserve"> from NR</w:t>
      </w:r>
    </w:p>
    <w:p w14:paraId="340651DB" w14:textId="197B8ABE" w:rsidR="00B80F15" w:rsidRDefault="00254609" w:rsidP="00B80F15">
      <w:r>
        <w:t xml:space="preserve">In order to blindly setup EN-DC during inter-system handover from NR, the </w:t>
      </w:r>
      <w:r w:rsidRPr="00254609">
        <w:rPr>
          <w:i/>
        </w:rPr>
        <w:t>RRCConnectionReconfiguration</w:t>
      </w:r>
      <w:r>
        <w:t xml:space="preserve"> message included in the </w:t>
      </w:r>
      <w:proofErr w:type="spellStart"/>
      <w:r w:rsidRPr="00254609">
        <w:rPr>
          <w:i/>
        </w:rPr>
        <w:t>MobilityFromNRCommand</w:t>
      </w:r>
      <w:proofErr w:type="spellEnd"/>
      <w:r>
        <w:t xml:space="preserve"> message would need to contain the fields </w:t>
      </w:r>
      <w:proofErr w:type="spellStart"/>
      <w:r w:rsidR="00546B2F">
        <w:rPr>
          <w:i/>
        </w:rPr>
        <w:t>nr-SecondaryCellGroupConfig</w:t>
      </w:r>
      <w:proofErr w:type="spellEnd"/>
      <w:r w:rsidR="00546B2F">
        <w:rPr>
          <w:i/>
        </w:rPr>
        <w:t xml:space="preserve"> </w:t>
      </w:r>
      <w:r w:rsidR="00546B2F">
        <w:t xml:space="preserve">and the </w:t>
      </w:r>
      <w:proofErr w:type="spellStart"/>
      <w:r w:rsidR="00546B2F">
        <w:rPr>
          <w:i/>
        </w:rPr>
        <w:t>sk</w:t>
      </w:r>
      <w:proofErr w:type="spellEnd"/>
      <w:r w:rsidR="00546B2F">
        <w:rPr>
          <w:i/>
        </w:rPr>
        <w:t>-Counter</w:t>
      </w:r>
      <w:r w:rsidR="00546B2F">
        <w:t xml:space="preserve"> in order to configure the NR SCG and to derive the S-</w:t>
      </w:r>
      <w:proofErr w:type="spellStart"/>
      <w:r w:rsidR="00546B2F">
        <w:t>K</w:t>
      </w:r>
      <w:r w:rsidR="00546B2F" w:rsidRPr="00546B2F">
        <w:rPr>
          <w:vertAlign w:val="subscript"/>
        </w:rPr>
        <w:t>gNB</w:t>
      </w:r>
      <w:proofErr w:type="spellEnd"/>
      <w:r w:rsidR="00546B2F" w:rsidRPr="00546B2F">
        <w:rPr>
          <w:vertAlign w:val="subscript"/>
        </w:rPr>
        <w:t xml:space="preserve"> </w:t>
      </w:r>
      <w:r w:rsidR="00546B2F">
        <w:t xml:space="preserve">respectively. As it is already supported to include the </w:t>
      </w:r>
      <w:r w:rsidR="00546B2F">
        <w:rPr>
          <w:i/>
        </w:rPr>
        <w:t>nr-RadioBearerConfig1/2</w:t>
      </w:r>
      <w:r w:rsidR="00546B2F">
        <w:t>, the configuration of NR PDCP is already supported.</w:t>
      </w:r>
    </w:p>
    <w:p w14:paraId="338658FD" w14:textId="3E5F8B1D" w:rsidR="001F4E96" w:rsidRPr="00546B2F" w:rsidRDefault="001F4E96" w:rsidP="00B80F15">
      <w:r>
        <w:t xml:space="preserve">Since the configuration of EN-DC during intra-system handover in LTE is already supported, the </w:t>
      </w:r>
      <w:r>
        <w:rPr>
          <w:i/>
        </w:rPr>
        <w:t>RRCConnectionReconfiguration</w:t>
      </w:r>
      <w:r>
        <w:t xml:space="preserve"> message already contain the required fields</w:t>
      </w:r>
      <w:r w:rsidR="007F3CB3">
        <w:t xml:space="preserve"> and it would only be the inter-RAT procedures which would need to be extended</w:t>
      </w:r>
      <w:r>
        <w:t xml:space="preserve">. </w:t>
      </w:r>
    </w:p>
    <w:p w14:paraId="30A49796" w14:textId="7870793F" w:rsidR="00B80F15" w:rsidRDefault="007F3CB3" w:rsidP="007F3CB3">
      <w:pPr>
        <w:pStyle w:val="Observation"/>
      </w:pPr>
      <w:bookmarkStart w:id="26" w:name="_Toc528149755"/>
      <w:bookmarkStart w:id="27" w:name="_Toc528150262"/>
      <w:bookmarkStart w:id="28" w:name="_Toc528151283"/>
      <w:bookmarkStart w:id="29" w:name="_Toc528158983"/>
      <w:bookmarkStart w:id="30" w:name="_Toc528839344"/>
      <w:bookmarkStart w:id="31" w:name="_Toc528850677"/>
      <w:r>
        <w:t>As the RRCConnectionReconfiguration message already may contain EN-DC configurations, it is only the inter-RAT procedures which would need to be extended to enable configuration of EN-DC during inter-system handover.</w:t>
      </w:r>
      <w:bookmarkEnd w:id="26"/>
      <w:bookmarkEnd w:id="27"/>
      <w:bookmarkEnd w:id="28"/>
      <w:bookmarkEnd w:id="29"/>
      <w:bookmarkEnd w:id="30"/>
      <w:bookmarkEnd w:id="31"/>
    </w:p>
    <w:p w14:paraId="019C2959" w14:textId="5EEADE79" w:rsidR="00CC1B41" w:rsidRDefault="00CC1B41" w:rsidP="005A763E"/>
    <w:p w14:paraId="7365A910" w14:textId="211CFB44" w:rsidR="00CC1B41" w:rsidRDefault="00CC1B41" w:rsidP="005A763E">
      <w:r>
        <w:t xml:space="preserve">During the email discussion (103bis#40), it was discussed whether delta configurations would be supported for handover from NR to EN-DC, where the UE would keep the NR configurations and apply these for the </w:t>
      </w:r>
      <w:proofErr w:type="spellStart"/>
      <w:r>
        <w:t>SgNB</w:t>
      </w:r>
      <w:proofErr w:type="spellEnd"/>
      <w:r>
        <w:t>.</w:t>
      </w:r>
    </w:p>
    <w:p w14:paraId="6FE02D8D" w14:textId="16836F78" w:rsidR="003570BC" w:rsidRDefault="003570BC" w:rsidP="005A763E">
      <w:r>
        <w:t>Since this is not supported in any other MR-DC case, where the UE stores the old MN configurations and applies these as the SN configurations after the handover, there is no need to support this optimization for inter-system handover.</w:t>
      </w:r>
    </w:p>
    <w:p w14:paraId="4B5803CB" w14:textId="0261A674" w:rsidR="003570BC" w:rsidRDefault="003570BC" w:rsidP="003570BC">
      <w:pPr>
        <w:pStyle w:val="Proposal"/>
      </w:pPr>
      <w:bookmarkStart w:id="32" w:name="_Toc528149757"/>
      <w:bookmarkStart w:id="33" w:name="_Toc528150264"/>
      <w:bookmarkStart w:id="34" w:name="_Toc528151275"/>
      <w:bookmarkStart w:id="35" w:name="_Toc528158985"/>
      <w:bookmarkStart w:id="36" w:name="_Toc528839346"/>
      <w:bookmarkStart w:id="37" w:name="_Toc528850679"/>
      <w:bookmarkStart w:id="38" w:name="_Toc528850683"/>
      <w:r>
        <w:t>Delta configuration is not supported for inter-system handover</w:t>
      </w:r>
      <w:bookmarkEnd w:id="32"/>
      <w:bookmarkEnd w:id="33"/>
      <w:bookmarkEnd w:id="34"/>
      <w:bookmarkEnd w:id="35"/>
      <w:bookmarkEnd w:id="36"/>
      <w:bookmarkEnd w:id="37"/>
      <w:bookmarkEnd w:id="38"/>
    </w:p>
    <w:p w14:paraId="2CBCD7E4" w14:textId="77777777" w:rsidR="00452CB7" w:rsidRDefault="00452CB7" w:rsidP="00452CB7">
      <w:pPr>
        <w:pStyle w:val="Heading2"/>
      </w:pPr>
      <w:r>
        <w:t xml:space="preserve">Inter-node messages during inter-system mobility from NR to EN-DC </w:t>
      </w:r>
    </w:p>
    <w:p w14:paraId="76AE1DA6" w14:textId="2C2BC428" w:rsidR="00CC1B41" w:rsidRDefault="008026EF" w:rsidP="005A763E">
      <w:r>
        <w:t>Since the inter-system handover relies on full configuration, there is no need to transfer the configurations between the source gNB and the target eNB during inter-system handover from NR to LTE/EPC.</w:t>
      </w:r>
    </w:p>
    <w:p w14:paraId="50EF7E56" w14:textId="77C7A400" w:rsidR="00216E4B" w:rsidRDefault="00216E4B" w:rsidP="005A763E">
      <w:r>
        <w:t xml:space="preserve">However, the target eNB, may benefit from receiving the measurements which the UE obtained in NR prior to the handover. The target node may then decide that the source gNB or another gNB would be suitable to add as </w:t>
      </w:r>
      <w:proofErr w:type="spellStart"/>
      <w:r>
        <w:t>SgNB</w:t>
      </w:r>
      <w:proofErr w:type="spellEnd"/>
      <w:r>
        <w:t xml:space="preserve"> in EN-DC at the handover.</w:t>
      </w:r>
    </w:p>
    <w:p w14:paraId="40EB909B" w14:textId="2FEE44B5" w:rsidR="002D2D31" w:rsidRDefault="002D2D31" w:rsidP="005A763E">
      <w:r>
        <w:t xml:space="preserve">For instance, the UE may detect that the serving NR cell becomes worse, but a neighbour NR cell is slightly better, while a neighbour LTE cell is much better. The source gNB could then handover to the neighbour LTE cell which could add the neighbour NR cell as </w:t>
      </w:r>
      <w:proofErr w:type="spellStart"/>
      <w:r>
        <w:t>SgNB</w:t>
      </w:r>
      <w:proofErr w:type="spellEnd"/>
      <w:r>
        <w:t>.</w:t>
      </w:r>
      <w:r w:rsidR="0040224E">
        <w:t xml:space="preserve"> Thus, it should be possible to include the measurement results even when performing inter-system handover. For intra-system handover, both NR and LTE measurements can be included in the RRM-Config IE in the inter-node </w:t>
      </w:r>
      <w:proofErr w:type="spellStart"/>
      <w:r w:rsidR="0040224E">
        <w:t>HandoverPreparationInformation</w:t>
      </w:r>
      <w:proofErr w:type="spellEnd"/>
      <w:r w:rsidR="0040224E">
        <w:t xml:space="preserve"> </w:t>
      </w:r>
      <w:r w:rsidR="00B038E9">
        <w:t>IE</w:t>
      </w:r>
      <w:r w:rsidR="0040224E">
        <w:t>.</w:t>
      </w:r>
    </w:p>
    <w:p w14:paraId="62CEA32D" w14:textId="285577E3" w:rsidR="00B038E9" w:rsidRDefault="00B038E9" w:rsidP="005A763E">
      <w:r>
        <w:t xml:space="preserve">As it was agreed (in principle) during RAN2#103bis that the RRM-Config could be included in the </w:t>
      </w:r>
      <w:proofErr w:type="spellStart"/>
      <w:r>
        <w:t>HandoverPreparationInformation</w:t>
      </w:r>
      <w:proofErr w:type="spellEnd"/>
      <w:r>
        <w:t xml:space="preserve"> IE in case of intra-system handover from NR to LTE/5GC, the change required would be to allow this IE also in case of inter-system handover to LTE/EPC. </w:t>
      </w:r>
    </w:p>
    <w:p w14:paraId="1E578D04" w14:textId="5D30B074" w:rsidR="0040224E" w:rsidRDefault="0040224E" w:rsidP="00302BAF">
      <w:pPr>
        <w:pStyle w:val="Proposal"/>
      </w:pPr>
      <w:bookmarkStart w:id="39" w:name="_Toc528149758"/>
      <w:bookmarkStart w:id="40" w:name="_Toc528150265"/>
      <w:bookmarkStart w:id="41" w:name="_Toc528151276"/>
      <w:bookmarkStart w:id="42" w:name="_Toc528158986"/>
      <w:bookmarkStart w:id="43" w:name="_Toc528839347"/>
      <w:bookmarkStart w:id="44" w:name="_Toc528850680"/>
      <w:bookmarkStart w:id="45" w:name="_Toc528850684"/>
      <w:r>
        <w:t xml:space="preserve">The RRM-Config IE is allowed to include in the inter-node </w:t>
      </w:r>
      <w:proofErr w:type="spellStart"/>
      <w:r>
        <w:t>HandoverPreparationInformation</w:t>
      </w:r>
      <w:proofErr w:type="spellEnd"/>
      <w:r>
        <w:t xml:space="preserve"> </w:t>
      </w:r>
      <w:r w:rsidR="00B038E9">
        <w:t>IE even for inter-system handover.</w:t>
      </w:r>
      <w:bookmarkEnd w:id="39"/>
      <w:bookmarkEnd w:id="40"/>
      <w:bookmarkEnd w:id="41"/>
      <w:bookmarkEnd w:id="42"/>
      <w:bookmarkEnd w:id="43"/>
      <w:bookmarkEnd w:id="44"/>
      <w:bookmarkEnd w:id="45"/>
    </w:p>
    <w:p w14:paraId="47795969" w14:textId="4F95277C" w:rsidR="00D47014" w:rsidRDefault="008026EF" w:rsidP="00D47014">
      <w:r>
        <w:lastRenderedPageBreak/>
        <w:t xml:space="preserve">In addition, </w:t>
      </w:r>
      <w:r w:rsidR="00FD2C4C">
        <w:t xml:space="preserve">it will be necessary to provide the UE capabilities in the </w:t>
      </w:r>
      <w:proofErr w:type="spellStart"/>
      <w:r w:rsidR="00FD2C4C" w:rsidRPr="00607883">
        <w:rPr>
          <w:i/>
        </w:rPr>
        <w:t>HandoverPreparationInformation</w:t>
      </w:r>
      <w:proofErr w:type="spellEnd"/>
      <w:r w:rsidR="00FD2C4C">
        <w:t xml:space="preserve"> message, to indicate whether the UE supports EN-DC or not.</w:t>
      </w:r>
      <w:r w:rsidR="00321050">
        <w:t xml:space="preserve"> </w:t>
      </w:r>
      <w:r w:rsidR="00D47014">
        <w:t>Since it is already supported in LTE to indicate the UE MR-DC capabilities during handover from NR, there is no need to further extend the inter-node messages to include further UE capabilities.</w:t>
      </w:r>
    </w:p>
    <w:p w14:paraId="56860440" w14:textId="34D39FB9" w:rsidR="00D47014" w:rsidRDefault="00140862" w:rsidP="00140862">
      <w:pPr>
        <w:pStyle w:val="Observation"/>
      </w:pPr>
      <w:bookmarkStart w:id="46" w:name="_Toc528149756"/>
      <w:bookmarkStart w:id="47" w:name="_Toc528150263"/>
      <w:bookmarkStart w:id="48" w:name="_Toc528151284"/>
      <w:bookmarkStart w:id="49" w:name="_Toc528158984"/>
      <w:bookmarkStart w:id="50" w:name="_Toc528839345"/>
      <w:bookmarkStart w:id="51" w:name="_Toc528850678"/>
      <w:r>
        <w:t>Transferring UE MR-DC capabilities during handover from NR to LTE/EPC is already supported in TS 36.331</w:t>
      </w:r>
      <w:bookmarkEnd w:id="46"/>
      <w:bookmarkEnd w:id="47"/>
      <w:bookmarkEnd w:id="48"/>
      <w:bookmarkEnd w:id="49"/>
      <w:bookmarkEnd w:id="50"/>
      <w:bookmarkEnd w:id="51"/>
    </w:p>
    <w:p w14:paraId="0AB0BF5E" w14:textId="7C872A7D" w:rsidR="00E04FBE" w:rsidRDefault="00A56BCE" w:rsidP="005A763E">
      <w:r>
        <w:t xml:space="preserve">However, </w:t>
      </w:r>
      <w:r w:rsidR="00321050">
        <w:t xml:space="preserve">as the reconfiguration from NR to EN-DC may be very cumbersome for the UE, it is desirable for the UEs to indicate whether or not they support this procedure </w:t>
      </w:r>
      <w:r w:rsidR="00371E00">
        <w:t>and a new UE capability should be introduced.</w:t>
      </w:r>
    </w:p>
    <w:p w14:paraId="24B75F93" w14:textId="337D5A50" w:rsidR="001C7705" w:rsidRDefault="001C7705" w:rsidP="001C7705">
      <w:pPr>
        <w:pStyle w:val="Proposal"/>
      </w:pPr>
      <w:bookmarkStart w:id="52" w:name="_Toc528150266"/>
      <w:bookmarkStart w:id="53" w:name="_Toc528151277"/>
      <w:bookmarkStart w:id="54" w:name="_Toc528158987"/>
      <w:bookmarkStart w:id="55" w:name="_Toc528839348"/>
      <w:bookmarkStart w:id="56" w:name="_Toc528850681"/>
      <w:bookmarkStart w:id="57" w:name="_Toc528850685"/>
      <w:r>
        <w:t>Introduce a new UE capability to indicate support EN-DC</w:t>
      </w:r>
      <w:bookmarkEnd w:id="52"/>
      <w:bookmarkEnd w:id="53"/>
      <w:r w:rsidR="00371E00">
        <w:t xml:space="preserve"> setup</w:t>
      </w:r>
      <w:bookmarkEnd w:id="54"/>
      <w:r w:rsidR="00DF1A1B">
        <w:t xml:space="preserve"> during inter-system handover from NR</w:t>
      </w:r>
      <w:bookmarkEnd w:id="55"/>
      <w:bookmarkEnd w:id="56"/>
      <w:bookmarkEnd w:id="57"/>
    </w:p>
    <w:p w14:paraId="58E8B4F4" w14:textId="7326F9C4" w:rsidR="003F1CE3" w:rsidRDefault="001C7705" w:rsidP="005A763E">
      <w:r>
        <w:t>We have provided a CR for TS 36.331 to support the configuration of EN-DC during inter-system handover from NR</w:t>
      </w:r>
      <w:r w:rsidR="00787547">
        <w:t xml:space="preserve"> </w:t>
      </w:r>
      <w:r w:rsidR="00787547">
        <w:fldChar w:fldCharType="begin"/>
      </w:r>
      <w:r w:rsidR="00787547">
        <w:instrText xml:space="preserve"> REF _Ref528150216 \r \h </w:instrText>
      </w:r>
      <w:r w:rsidR="00787547">
        <w:fldChar w:fldCharType="separate"/>
      </w:r>
      <w:r w:rsidR="00787547">
        <w:t>[1]</w:t>
      </w:r>
      <w:r w:rsidR="00787547">
        <w:fldChar w:fldCharType="end"/>
      </w:r>
      <w:r>
        <w:t xml:space="preserve">, as well as CRs to 38.331 and 38.306 to include the UE capability for support of EN-DC </w:t>
      </w:r>
      <w:r w:rsidR="00787547">
        <w:fldChar w:fldCharType="begin"/>
      </w:r>
      <w:r w:rsidR="00787547">
        <w:instrText xml:space="preserve"> REF _Ref528150220 \r \h </w:instrText>
      </w:r>
      <w:r w:rsidR="00787547">
        <w:fldChar w:fldCharType="separate"/>
      </w:r>
      <w:r w:rsidR="00787547">
        <w:t>[2]</w:t>
      </w:r>
      <w:r w:rsidR="00787547">
        <w:fldChar w:fldCharType="end"/>
      </w:r>
      <w:r w:rsidR="00787547">
        <w:fldChar w:fldCharType="begin"/>
      </w:r>
      <w:r w:rsidR="00787547">
        <w:instrText xml:space="preserve"> REF _Ref528150221 \r \h </w:instrText>
      </w:r>
      <w:r w:rsidR="00787547">
        <w:fldChar w:fldCharType="separate"/>
      </w:r>
      <w:r w:rsidR="00787547">
        <w:t>[3]</w:t>
      </w:r>
      <w:r w:rsidR="00787547">
        <w:fldChar w:fldCharType="end"/>
      </w:r>
      <w:r>
        <w:t>.</w:t>
      </w:r>
    </w:p>
    <w:p w14:paraId="3C2296EE" w14:textId="52B633F9" w:rsidR="003F1CE3" w:rsidRPr="00FE27CF" w:rsidRDefault="00787547" w:rsidP="00787547">
      <w:pPr>
        <w:pStyle w:val="Proposal"/>
      </w:pPr>
      <w:bookmarkStart w:id="58" w:name="_Toc528150267"/>
      <w:bookmarkStart w:id="59" w:name="_Toc528151278"/>
      <w:bookmarkStart w:id="60" w:name="_Toc528158988"/>
      <w:bookmarkStart w:id="61" w:name="_Toc528839349"/>
      <w:bookmarkStart w:id="62" w:name="_Toc528850682"/>
      <w:bookmarkStart w:id="63" w:name="_Toc528850686"/>
      <w:r w:rsidRPr="00FE27CF">
        <w:t xml:space="preserve">Agree to the CRs in </w:t>
      </w:r>
      <w:r w:rsidR="00FE27CF" w:rsidRPr="00FE27CF">
        <w:t>R2-1817296</w:t>
      </w:r>
      <w:r w:rsidRPr="00FE27CF">
        <w:t xml:space="preserve">, </w:t>
      </w:r>
      <w:r w:rsidR="00FE27CF" w:rsidRPr="00FE27CF">
        <w:t xml:space="preserve">R2-1817297 </w:t>
      </w:r>
      <w:r w:rsidRPr="00FE27CF">
        <w:t xml:space="preserve">and </w:t>
      </w:r>
      <w:bookmarkEnd w:id="58"/>
      <w:bookmarkEnd w:id="59"/>
      <w:bookmarkEnd w:id="60"/>
      <w:r w:rsidR="00FE27CF" w:rsidRPr="00FE27CF">
        <w:t>R2-1817298</w:t>
      </w:r>
      <w:bookmarkEnd w:id="61"/>
      <w:bookmarkEnd w:id="62"/>
      <w:bookmarkEnd w:id="63"/>
    </w:p>
    <w:p w14:paraId="11D7908A" w14:textId="77777777" w:rsidR="00C667B6" w:rsidRPr="00CE0424" w:rsidRDefault="00C667B6" w:rsidP="00246D77"/>
    <w:p w14:paraId="6446FB68" w14:textId="77777777" w:rsidR="00E81D45" w:rsidRDefault="00E81D45" w:rsidP="00CE0424">
      <w:pPr>
        <w:pStyle w:val="Heading1"/>
        <w:sectPr w:rsidR="00E81D45">
          <w:headerReference w:type="even" r:id="rId14"/>
          <w:footerReference w:type="default" r:id="rId15"/>
          <w:footnotePr>
            <w:numRestart w:val="eachSect"/>
          </w:footnotePr>
          <w:pgSz w:w="11907" w:h="16840" w:code="9"/>
          <w:pgMar w:top="1418" w:right="1134" w:bottom="1134" w:left="1134" w:header="680" w:footer="567" w:gutter="0"/>
          <w:cols w:space="720"/>
        </w:sectPr>
      </w:pPr>
      <w:bookmarkStart w:id="64" w:name="_Ref189046994"/>
    </w:p>
    <w:bookmarkEnd w:id="64"/>
    <w:p w14:paraId="783704AA" w14:textId="1227AFB5" w:rsidR="00C01F33" w:rsidRPr="00CE0424" w:rsidRDefault="00C01F33" w:rsidP="00CE0424">
      <w:pPr>
        <w:pStyle w:val="Heading1"/>
      </w:pPr>
      <w:r w:rsidRPr="00CE0424">
        <w:lastRenderedPageBreak/>
        <w:t>Conclusion</w:t>
      </w:r>
    </w:p>
    <w:p w14:paraId="60B31F5E" w14:textId="77777777" w:rsidR="008B5FBD"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E2D89">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2C74472" w14:textId="77777777" w:rsidR="008B5FBD" w:rsidRDefault="008B5FBD">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Some network may only deploy NR SA and EN-DC to avoid costly upgrades of eNBs to connect to 5GC</w:t>
      </w:r>
    </w:p>
    <w:p w14:paraId="4199A773" w14:textId="77777777" w:rsidR="008B5FBD" w:rsidRDefault="008B5FBD">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A network with small NR bandwidth could need to aggregate NR and LTE spectrum when NR coverage is poor</w:t>
      </w:r>
    </w:p>
    <w:p w14:paraId="3EB9BF0B" w14:textId="77777777" w:rsidR="008B5FBD" w:rsidRDefault="008B5FBD">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NR may have good DL coverage but poor UL coverage, where a UE need to handover to LTE for UL heavy traffic</w:t>
      </w:r>
    </w:p>
    <w:p w14:paraId="76E2E1C8" w14:textId="77777777" w:rsidR="008B5FBD" w:rsidRDefault="008B5FBD">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If direct configuration of EN-DC during inter-system handover is not supported, the service interruption of the NR traffic will be aggravated.</w:t>
      </w:r>
    </w:p>
    <w:p w14:paraId="78FCBF39" w14:textId="77777777" w:rsidR="008B5FBD" w:rsidRDefault="008B5FBD">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As the RRCConnectionReconfiguration message already may contain EN-DC configurations, it is only the inter-RAT procedures which would need to be extended to enable configuration of EN-DC during inter-system handover.</w:t>
      </w:r>
    </w:p>
    <w:p w14:paraId="1340DA6E" w14:textId="77777777" w:rsidR="008B5FBD" w:rsidRDefault="008B5FBD">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Transferring UE MR-DC capabilities during handover from NR to LTE/EPC is already supported in TS 36.331</w:t>
      </w:r>
    </w:p>
    <w:p w14:paraId="35BB5BAD" w14:textId="740D4CFD" w:rsidR="008E065E" w:rsidRDefault="008E065E" w:rsidP="003E327A">
      <w:pPr>
        <w:pStyle w:val="TOC1"/>
        <w:rPr>
          <w:b w:val="0"/>
          <w:bCs/>
        </w:rPr>
      </w:pPr>
      <w:r>
        <w:rPr>
          <w:b w:val="0"/>
          <w:bCs/>
        </w:rPr>
        <w:fldChar w:fldCharType="end"/>
      </w:r>
    </w:p>
    <w:p w14:paraId="4EF55934" w14:textId="77777777" w:rsidR="008B5FBD"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E2D89">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56C0EA3" w14:textId="77777777" w:rsidR="008B5FBD" w:rsidRDefault="008B5FBD">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Delta configuration is not supported for inter-system handover</w:t>
      </w:r>
    </w:p>
    <w:p w14:paraId="0D7A4887" w14:textId="77777777" w:rsidR="008B5FBD" w:rsidRDefault="008B5FBD">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RRM-Config IE is allowed to include in the inter-node HandoverPreparationInformation IE even for inter-system handover.</w:t>
      </w:r>
    </w:p>
    <w:p w14:paraId="273D1732" w14:textId="77777777" w:rsidR="008B5FBD" w:rsidRDefault="008B5FBD">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Introduce a new UE capability to indicate support EN-DC setup during inter-system handover from NR</w:t>
      </w:r>
    </w:p>
    <w:p w14:paraId="6DAF9CD2" w14:textId="77777777" w:rsidR="008B5FBD" w:rsidRDefault="008B5FBD">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Agree to the CRs in R2-1817296, R2-1817297 and R2-1817298</w:t>
      </w:r>
    </w:p>
    <w:p w14:paraId="092B694F" w14:textId="49505588" w:rsidR="00C01F33" w:rsidRPr="003E327A" w:rsidRDefault="008E065E" w:rsidP="006E062C">
      <w:pPr>
        <w:rPr>
          <w:b/>
          <w:bCs/>
        </w:rPr>
      </w:pPr>
      <w:r>
        <w:rPr>
          <w:b/>
          <w:bCs/>
        </w:rPr>
        <w:fldChar w:fldCharType="end"/>
      </w:r>
    </w:p>
    <w:p w14:paraId="6173B47E" w14:textId="77777777" w:rsidR="00F507D1" w:rsidRPr="00CE0424" w:rsidRDefault="00F507D1" w:rsidP="00CE0424">
      <w:pPr>
        <w:pStyle w:val="Heading1"/>
      </w:pPr>
      <w:bookmarkStart w:id="65" w:name="_In-sequence_SDU_delivery"/>
      <w:bookmarkEnd w:id="65"/>
      <w:r w:rsidRPr="00CE0424">
        <w:t>References</w:t>
      </w:r>
    </w:p>
    <w:p w14:paraId="068C0DE1" w14:textId="552FC140" w:rsidR="003A7EF3" w:rsidRDefault="00D37745" w:rsidP="00CD783B">
      <w:pPr>
        <w:pStyle w:val="Reference"/>
      </w:pPr>
      <w:bookmarkStart w:id="66" w:name="_Ref501550497"/>
      <w:bookmarkStart w:id="67" w:name="_Ref174151459"/>
      <w:bookmarkStart w:id="68" w:name="_Ref189809556"/>
      <w:bookmarkStart w:id="69" w:name="_Ref528150216"/>
      <w:r w:rsidRPr="00D37745">
        <w:t>R2-1817298</w:t>
      </w:r>
      <w:r w:rsidR="003E327A" w:rsidRPr="0088264C">
        <w:t xml:space="preserve">, </w:t>
      </w:r>
      <w:bookmarkEnd w:id="66"/>
      <w:bookmarkEnd w:id="67"/>
      <w:bookmarkEnd w:id="68"/>
      <w:r w:rsidR="00787547">
        <w:t>36331_CR3631, Setup of EN-DC or NGEN-DC during inter-RAT handover to E-UTRA, Ericsson, RAN2#104, Spokane, USA, 12</w:t>
      </w:r>
      <w:r w:rsidR="00787547" w:rsidRPr="00787547">
        <w:rPr>
          <w:vertAlign w:val="superscript"/>
        </w:rPr>
        <w:t>th</w:t>
      </w:r>
      <w:r w:rsidR="00787547">
        <w:t>-16</w:t>
      </w:r>
      <w:r w:rsidR="00787547" w:rsidRPr="00787547">
        <w:rPr>
          <w:vertAlign w:val="superscript"/>
        </w:rPr>
        <w:t>th</w:t>
      </w:r>
      <w:r w:rsidR="00787547">
        <w:t xml:space="preserve"> November 2018</w:t>
      </w:r>
      <w:bookmarkEnd w:id="69"/>
    </w:p>
    <w:p w14:paraId="4D04A263" w14:textId="13CC08CB" w:rsidR="00787547" w:rsidRPr="003E327A" w:rsidRDefault="0000576E" w:rsidP="00787547">
      <w:pPr>
        <w:pStyle w:val="Reference"/>
      </w:pPr>
      <w:bookmarkStart w:id="70" w:name="_Ref528150220"/>
      <w:r w:rsidRPr="0000576E">
        <w:t>R2-1817296</w:t>
      </w:r>
      <w:r w:rsidR="00787547" w:rsidRPr="0000576E">
        <w:t>, 38331_CR</w:t>
      </w:r>
      <w:r w:rsidRPr="0000576E">
        <w:t>0630</w:t>
      </w:r>
      <w:r w:rsidR="00787547">
        <w:t xml:space="preserve">, Introduction of UE capability for </w:t>
      </w:r>
      <w:r w:rsidR="0080714D">
        <w:t xml:space="preserve">inter-system </w:t>
      </w:r>
      <w:r w:rsidR="00787547">
        <w:t>EN-DC</w:t>
      </w:r>
      <w:r w:rsidR="0080714D">
        <w:t xml:space="preserve"> setup</w:t>
      </w:r>
      <w:r w:rsidR="0058105C">
        <w:t xml:space="preserve"> during handover from NR</w:t>
      </w:r>
      <w:r w:rsidR="00787547">
        <w:t>, Ericsson, RAN2#104, Spokane, USA, 12</w:t>
      </w:r>
      <w:r w:rsidR="00787547" w:rsidRPr="00787547">
        <w:rPr>
          <w:vertAlign w:val="superscript"/>
        </w:rPr>
        <w:t>th</w:t>
      </w:r>
      <w:r w:rsidR="00787547">
        <w:t>-16</w:t>
      </w:r>
      <w:r w:rsidR="00787547" w:rsidRPr="00787547">
        <w:rPr>
          <w:vertAlign w:val="superscript"/>
        </w:rPr>
        <w:t>th</w:t>
      </w:r>
      <w:r w:rsidR="00787547">
        <w:t xml:space="preserve"> November 2018</w:t>
      </w:r>
      <w:bookmarkEnd w:id="70"/>
    </w:p>
    <w:p w14:paraId="45D69E2F" w14:textId="20143D19" w:rsidR="00787547" w:rsidRPr="003E327A" w:rsidRDefault="009B4E9F" w:rsidP="00787547">
      <w:pPr>
        <w:pStyle w:val="Reference"/>
      </w:pPr>
      <w:bookmarkStart w:id="71" w:name="_Ref528150221"/>
      <w:r w:rsidRPr="009B4E9F">
        <w:t>R2-1817297</w:t>
      </w:r>
      <w:r w:rsidR="00787547" w:rsidRPr="009B4E9F">
        <w:t>, 38306_CR</w:t>
      </w:r>
      <w:r w:rsidRPr="009B4E9F">
        <w:t>0056</w:t>
      </w:r>
      <w:r w:rsidR="00787547">
        <w:t>, Introduction of UE capability</w:t>
      </w:r>
      <w:r w:rsidR="0080714D">
        <w:t xml:space="preserve"> for inter-system EN-DC setup</w:t>
      </w:r>
      <w:r w:rsidR="0058105C" w:rsidRPr="0058105C">
        <w:t xml:space="preserve"> </w:t>
      </w:r>
      <w:r w:rsidR="0058105C">
        <w:t>during handover from NR</w:t>
      </w:r>
      <w:r w:rsidR="00787547">
        <w:t>, Ericsson, RAN2#104, Spokane, USA, 12</w:t>
      </w:r>
      <w:r w:rsidR="00787547" w:rsidRPr="00787547">
        <w:rPr>
          <w:vertAlign w:val="superscript"/>
        </w:rPr>
        <w:t>th</w:t>
      </w:r>
      <w:r w:rsidR="00787547">
        <w:t>-16</w:t>
      </w:r>
      <w:r w:rsidR="00787547" w:rsidRPr="00787547">
        <w:rPr>
          <w:vertAlign w:val="superscript"/>
        </w:rPr>
        <w:t>th</w:t>
      </w:r>
      <w:r w:rsidR="00787547">
        <w:t xml:space="preserve"> November 2018</w:t>
      </w:r>
      <w:bookmarkEnd w:id="71"/>
    </w:p>
    <w:p w14:paraId="36BB5DA7" w14:textId="77777777" w:rsidR="00787547" w:rsidRPr="003E327A" w:rsidRDefault="00787547" w:rsidP="00787547">
      <w:pPr>
        <w:pStyle w:val="Reference"/>
        <w:numPr>
          <w:ilvl w:val="0"/>
          <w:numId w:val="0"/>
        </w:numPr>
        <w:ind w:left="567" w:hanging="567"/>
      </w:pPr>
    </w:p>
    <w:sectPr w:rsidR="00787547" w:rsidRPr="003E327A" w:rsidSect="00E81D4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4F964" w14:textId="77777777" w:rsidR="00BD2316" w:rsidRDefault="00BD2316">
      <w:r>
        <w:separator/>
      </w:r>
    </w:p>
  </w:endnote>
  <w:endnote w:type="continuationSeparator" w:id="0">
    <w:p w14:paraId="0F29389D" w14:textId="77777777" w:rsidR="00BD2316" w:rsidRDefault="00BD2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37896"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EA71D" w14:textId="77777777" w:rsidR="00BD2316" w:rsidRDefault="00BD2316">
      <w:r>
        <w:separator/>
      </w:r>
    </w:p>
  </w:footnote>
  <w:footnote w:type="continuationSeparator" w:id="0">
    <w:p w14:paraId="07778B00" w14:textId="77777777" w:rsidR="00BD2316" w:rsidRDefault="00BD2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114F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YyA5JmRgYGRuYmlko6SsGpxcWZ+XkgBZa1ALngvEgsAAAA"/>
  </w:docVars>
  <w:rsids>
    <w:rsidRoot w:val="004E2D89"/>
    <w:rsid w:val="000006E1"/>
    <w:rsid w:val="00002A37"/>
    <w:rsid w:val="000039F4"/>
    <w:rsid w:val="0000576E"/>
    <w:rsid w:val="00006446"/>
    <w:rsid w:val="00006896"/>
    <w:rsid w:val="00007CDC"/>
    <w:rsid w:val="00011B28"/>
    <w:rsid w:val="000136A8"/>
    <w:rsid w:val="000151AE"/>
    <w:rsid w:val="00015D15"/>
    <w:rsid w:val="0002564D"/>
    <w:rsid w:val="00025ECA"/>
    <w:rsid w:val="000325B8"/>
    <w:rsid w:val="00033524"/>
    <w:rsid w:val="00034C15"/>
    <w:rsid w:val="0003501F"/>
    <w:rsid w:val="00036BA1"/>
    <w:rsid w:val="000422E2"/>
    <w:rsid w:val="00042F22"/>
    <w:rsid w:val="00043A18"/>
    <w:rsid w:val="000444EF"/>
    <w:rsid w:val="00044C53"/>
    <w:rsid w:val="00052A07"/>
    <w:rsid w:val="000534E3"/>
    <w:rsid w:val="0005606A"/>
    <w:rsid w:val="00056A65"/>
    <w:rsid w:val="00057117"/>
    <w:rsid w:val="000616E7"/>
    <w:rsid w:val="0006487E"/>
    <w:rsid w:val="00065E1A"/>
    <w:rsid w:val="00067F43"/>
    <w:rsid w:val="0007188F"/>
    <w:rsid w:val="0007636A"/>
    <w:rsid w:val="00077E5F"/>
    <w:rsid w:val="0008036A"/>
    <w:rsid w:val="00081AE6"/>
    <w:rsid w:val="000855EB"/>
    <w:rsid w:val="00085B52"/>
    <w:rsid w:val="000866F2"/>
    <w:rsid w:val="000876BD"/>
    <w:rsid w:val="0009009F"/>
    <w:rsid w:val="00091557"/>
    <w:rsid w:val="000924C1"/>
    <w:rsid w:val="000924F0"/>
    <w:rsid w:val="00093474"/>
    <w:rsid w:val="000949B9"/>
    <w:rsid w:val="0009510F"/>
    <w:rsid w:val="000A0CDD"/>
    <w:rsid w:val="000A1B7B"/>
    <w:rsid w:val="000A56F2"/>
    <w:rsid w:val="000B02DC"/>
    <w:rsid w:val="000B2719"/>
    <w:rsid w:val="000B3A8F"/>
    <w:rsid w:val="000B4AB9"/>
    <w:rsid w:val="000B58C3"/>
    <w:rsid w:val="000B61E9"/>
    <w:rsid w:val="000C165A"/>
    <w:rsid w:val="000C2E19"/>
    <w:rsid w:val="000C3737"/>
    <w:rsid w:val="000D0D07"/>
    <w:rsid w:val="000D4797"/>
    <w:rsid w:val="000D4D5A"/>
    <w:rsid w:val="000E0527"/>
    <w:rsid w:val="000E1E92"/>
    <w:rsid w:val="000F06D6"/>
    <w:rsid w:val="000F0EB1"/>
    <w:rsid w:val="000F1106"/>
    <w:rsid w:val="000F3BE9"/>
    <w:rsid w:val="000F3F6C"/>
    <w:rsid w:val="000F5980"/>
    <w:rsid w:val="000F6DF3"/>
    <w:rsid w:val="001005FF"/>
    <w:rsid w:val="00102F1D"/>
    <w:rsid w:val="001062FB"/>
    <w:rsid w:val="001063E6"/>
    <w:rsid w:val="00113CF4"/>
    <w:rsid w:val="001153EA"/>
    <w:rsid w:val="00115643"/>
    <w:rsid w:val="00116765"/>
    <w:rsid w:val="001219F5"/>
    <w:rsid w:val="00121A20"/>
    <w:rsid w:val="0012377F"/>
    <w:rsid w:val="00124197"/>
    <w:rsid w:val="00124314"/>
    <w:rsid w:val="00126B4A"/>
    <w:rsid w:val="00132FD0"/>
    <w:rsid w:val="001344C0"/>
    <w:rsid w:val="001346FA"/>
    <w:rsid w:val="00134F86"/>
    <w:rsid w:val="00135252"/>
    <w:rsid w:val="00137AB5"/>
    <w:rsid w:val="00137F0B"/>
    <w:rsid w:val="00140862"/>
    <w:rsid w:val="00151E23"/>
    <w:rsid w:val="001526E0"/>
    <w:rsid w:val="001551B5"/>
    <w:rsid w:val="00162517"/>
    <w:rsid w:val="001659C1"/>
    <w:rsid w:val="00170230"/>
    <w:rsid w:val="001706C6"/>
    <w:rsid w:val="0017180C"/>
    <w:rsid w:val="00173A8E"/>
    <w:rsid w:val="00177795"/>
    <w:rsid w:val="0018143F"/>
    <w:rsid w:val="0018496E"/>
    <w:rsid w:val="00190AC1"/>
    <w:rsid w:val="001917F3"/>
    <w:rsid w:val="00191A37"/>
    <w:rsid w:val="0019341A"/>
    <w:rsid w:val="00193F72"/>
    <w:rsid w:val="00197DF9"/>
    <w:rsid w:val="001A1987"/>
    <w:rsid w:val="001A2564"/>
    <w:rsid w:val="001A5D94"/>
    <w:rsid w:val="001A6173"/>
    <w:rsid w:val="001A6CBA"/>
    <w:rsid w:val="001B0D97"/>
    <w:rsid w:val="001B5A5D"/>
    <w:rsid w:val="001B705C"/>
    <w:rsid w:val="001C0D9B"/>
    <w:rsid w:val="001C1CE5"/>
    <w:rsid w:val="001C3D2A"/>
    <w:rsid w:val="001C7705"/>
    <w:rsid w:val="001D11C7"/>
    <w:rsid w:val="001D51BA"/>
    <w:rsid w:val="001D6342"/>
    <w:rsid w:val="001D6D53"/>
    <w:rsid w:val="001D7619"/>
    <w:rsid w:val="001E58E2"/>
    <w:rsid w:val="001E7AED"/>
    <w:rsid w:val="001F3916"/>
    <w:rsid w:val="001F4E96"/>
    <w:rsid w:val="001F54C5"/>
    <w:rsid w:val="001F662C"/>
    <w:rsid w:val="001F7074"/>
    <w:rsid w:val="00200334"/>
    <w:rsid w:val="00200490"/>
    <w:rsid w:val="00201F3A"/>
    <w:rsid w:val="00203F96"/>
    <w:rsid w:val="00205311"/>
    <w:rsid w:val="002069B2"/>
    <w:rsid w:val="00207FA3"/>
    <w:rsid w:val="00214DA8"/>
    <w:rsid w:val="00215423"/>
    <w:rsid w:val="002158FA"/>
    <w:rsid w:val="00216E4B"/>
    <w:rsid w:val="00220600"/>
    <w:rsid w:val="002224DB"/>
    <w:rsid w:val="00223FCB"/>
    <w:rsid w:val="002252C3"/>
    <w:rsid w:val="00225C54"/>
    <w:rsid w:val="00230765"/>
    <w:rsid w:val="002319E4"/>
    <w:rsid w:val="00235479"/>
    <w:rsid w:val="00235632"/>
    <w:rsid w:val="00235872"/>
    <w:rsid w:val="00241559"/>
    <w:rsid w:val="002435B3"/>
    <w:rsid w:val="002458EB"/>
    <w:rsid w:val="00246D77"/>
    <w:rsid w:val="002500C8"/>
    <w:rsid w:val="00254609"/>
    <w:rsid w:val="00256492"/>
    <w:rsid w:val="00257543"/>
    <w:rsid w:val="002617E7"/>
    <w:rsid w:val="002635AA"/>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0C68"/>
    <w:rsid w:val="00292EB7"/>
    <w:rsid w:val="00296227"/>
    <w:rsid w:val="00296F44"/>
    <w:rsid w:val="0029777D"/>
    <w:rsid w:val="002A055E"/>
    <w:rsid w:val="002A1D4E"/>
    <w:rsid w:val="002A2869"/>
    <w:rsid w:val="002A58C2"/>
    <w:rsid w:val="002B24D6"/>
    <w:rsid w:val="002C41E6"/>
    <w:rsid w:val="002C5C4D"/>
    <w:rsid w:val="002D071A"/>
    <w:rsid w:val="002D2D31"/>
    <w:rsid w:val="002D34B2"/>
    <w:rsid w:val="002D7637"/>
    <w:rsid w:val="002E17F2"/>
    <w:rsid w:val="002E7CAE"/>
    <w:rsid w:val="002F2771"/>
    <w:rsid w:val="002F37A9"/>
    <w:rsid w:val="002F7059"/>
    <w:rsid w:val="00301CE6"/>
    <w:rsid w:val="0030256B"/>
    <w:rsid w:val="00302BAF"/>
    <w:rsid w:val="0030501F"/>
    <w:rsid w:val="00305EF0"/>
    <w:rsid w:val="00307220"/>
    <w:rsid w:val="00307BA1"/>
    <w:rsid w:val="003103AD"/>
    <w:rsid w:val="00311702"/>
    <w:rsid w:val="00311E82"/>
    <w:rsid w:val="00313FD6"/>
    <w:rsid w:val="003143BD"/>
    <w:rsid w:val="003151C9"/>
    <w:rsid w:val="00317A53"/>
    <w:rsid w:val="003203ED"/>
    <w:rsid w:val="00321050"/>
    <w:rsid w:val="00322C9F"/>
    <w:rsid w:val="00324D23"/>
    <w:rsid w:val="003250CA"/>
    <w:rsid w:val="00331751"/>
    <w:rsid w:val="00334579"/>
    <w:rsid w:val="0033548D"/>
    <w:rsid w:val="00335858"/>
    <w:rsid w:val="00336BDA"/>
    <w:rsid w:val="00342BD7"/>
    <w:rsid w:val="003431E9"/>
    <w:rsid w:val="00343A07"/>
    <w:rsid w:val="00346DB5"/>
    <w:rsid w:val="003477B1"/>
    <w:rsid w:val="00353A1C"/>
    <w:rsid w:val="003544D0"/>
    <w:rsid w:val="0035491B"/>
    <w:rsid w:val="003570BC"/>
    <w:rsid w:val="00357380"/>
    <w:rsid w:val="003602D9"/>
    <w:rsid w:val="003604CE"/>
    <w:rsid w:val="00370E47"/>
    <w:rsid w:val="00371E00"/>
    <w:rsid w:val="003742AC"/>
    <w:rsid w:val="00377CE1"/>
    <w:rsid w:val="00385BF0"/>
    <w:rsid w:val="0039212C"/>
    <w:rsid w:val="003939FF"/>
    <w:rsid w:val="003A20D2"/>
    <w:rsid w:val="003A2223"/>
    <w:rsid w:val="003A2A0F"/>
    <w:rsid w:val="003A45A1"/>
    <w:rsid w:val="003A5B0A"/>
    <w:rsid w:val="003A6BAC"/>
    <w:rsid w:val="003A7EF3"/>
    <w:rsid w:val="003B0983"/>
    <w:rsid w:val="003B159C"/>
    <w:rsid w:val="003B281B"/>
    <w:rsid w:val="003B369F"/>
    <w:rsid w:val="003B36A3"/>
    <w:rsid w:val="003B460B"/>
    <w:rsid w:val="003B7FE5"/>
    <w:rsid w:val="003C11C8"/>
    <w:rsid w:val="003C2702"/>
    <w:rsid w:val="003C3467"/>
    <w:rsid w:val="003C6249"/>
    <w:rsid w:val="003C7806"/>
    <w:rsid w:val="003D109F"/>
    <w:rsid w:val="003D2478"/>
    <w:rsid w:val="003D3C45"/>
    <w:rsid w:val="003D5B1F"/>
    <w:rsid w:val="003E15FA"/>
    <w:rsid w:val="003E327A"/>
    <w:rsid w:val="003E55E4"/>
    <w:rsid w:val="003E74E3"/>
    <w:rsid w:val="003F05C7"/>
    <w:rsid w:val="003F1CE3"/>
    <w:rsid w:val="003F2CD4"/>
    <w:rsid w:val="003F6BBE"/>
    <w:rsid w:val="004000E8"/>
    <w:rsid w:val="0040224E"/>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2CB7"/>
    <w:rsid w:val="00457565"/>
    <w:rsid w:val="00457B71"/>
    <w:rsid w:val="00460F01"/>
    <w:rsid w:val="004669E2"/>
    <w:rsid w:val="00470C31"/>
    <w:rsid w:val="004734D0"/>
    <w:rsid w:val="0047556B"/>
    <w:rsid w:val="00477768"/>
    <w:rsid w:val="00492BC5"/>
    <w:rsid w:val="004964F1"/>
    <w:rsid w:val="00497A69"/>
    <w:rsid w:val="00497CD5"/>
    <w:rsid w:val="004A16BC"/>
    <w:rsid w:val="004A2B94"/>
    <w:rsid w:val="004A5AAC"/>
    <w:rsid w:val="004B7C0C"/>
    <w:rsid w:val="004C2DB9"/>
    <w:rsid w:val="004C3898"/>
    <w:rsid w:val="004D1E68"/>
    <w:rsid w:val="004D36B1"/>
    <w:rsid w:val="004D7EBD"/>
    <w:rsid w:val="004E2680"/>
    <w:rsid w:val="004E28F9"/>
    <w:rsid w:val="004E2D89"/>
    <w:rsid w:val="004E462E"/>
    <w:rsid w:val="004E56DC"/>
    <w:rsid w:val="004E76F4"/>
    <w:rsid w:val="004E7EBC"/>
    <w:rsid w:val="004F0B4E"/>
    <w:rsid w:val="004F0B6C"/>
    <w:rsid w:val="004F2078"/>
    <w:rsid w:val="004F4DA3"/>
    <w:rsid w:val="00506557"/>
    <w:rsid w:val="0050677A"/>
    <w:rsid w:val="005108D8"/>
    <w:rsid w:val="00510E4D"/>
    <w:rsid w:val="005116F9"/>
    <w:rsid w:val="005128E1"/>
    <w:rsid w:val="0051409B"/>
    <w:rsid w:val="005153A7"/>
    <w:rsid w:val="00520A47"/>
    <w:rsid w:val="005219CF"/>
    <w:rsid w:val="00534B59"/>
    <w:rsid w:val="00536759"/>
    <w:rsid w:val="00537C62"/>
    <w:rsid w:val="0054037E"/>
    <w:rsid w:val="00543D38"/>
    <w:rsid w:val="00546970"/>
    <w:rsid w:val="00546B2F"/>
    <w:rsid w:val="00554E19"/>
    <w:rsid w:val="0056121F"/>
    <w:rsid w:val="005711D0"/>
    <w:rsid w:val="005717AB"/>
    <w:rsid w:val="00572505"/>
    <w:rsid w:val="00580511"/>
    <w:rsid w:val="0058105C"/>
    <w:rsid w:val="00582809"/>
    <w:rsid w:val="00587351"/>
    <w:rsid w:val="0058747D"/>
    <w:rsid w:val="0058798C"/>
    <w:rsid w:val="00590014"/>
    <w:rsid w:val="005900FA"/>
    <w:rsid w:val="005935A4"/>
    <w:rsid w:val="005948C2"/>
    <w:rsid w:val="00595DCA"/>
    <w:rsid w:val="0059779B"/>
    <w:rsid w:val="005A209A"/>
    <w:rsid w:val="005A2496"/>
    <w:rsid w:val="005A662D"/>
    <w:rsid w:val="005A763E"/>
    <w:rsid w:val="005A7B54"/>
    <w:rsid w:val="005B35D7"/>
    <w:rsid w:val="005B392A"/>
    <w:rsid w:val="005B3AA3"/>
    <w:rsid w:val="005B591A"/>
    <w:rsid w:val="005B6F83"/>
    <w:rsid w:val="005C2151"/>
    <w:rsid w:val="005C74FB"/>
    <w:rsid w:val="005D1602"/>
    <w:rsid w:val="005D7DFC"/>
    <w:rsid w:val="005E03C7"/>
    <w:rsid w:val="005E385F"/>
    <w:rsid w:val="005E5B81"/>
    <w:rsid w:val="005F2CB1"/>
    <w:rsid w:val="005F3025"/>
    <w:rsid w:val="005F618C"/>
    <w:rsid w:val="005F70BD"/>
    <w:rsid w:val="0060283C"/>
    <w:rsid w:val="00604F14"/>
    <w:rsid w:val="00607883"/>
    <w:rsid w:val="00611B83"/>
    <w:rsid w:val="00613257"/>
    <w:rsid w:val="00620A71"/>
    <w:rsid w:val="00620D80"/>
    <w:rsid w:val="006220F5"/>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18E5"/>
    <w:rsid w:val="00683ECE"/>
    <w:rsid w:val="00695FC2"/>
    <w:rsid w:val="00696949"/>
    <w:rsid w:val="00697052"/>
    <w:rsid w:val="006A46FB"/>
    <w:rsid w:val="006A5D41"/>
    <w:rsid w:val="006A5E28"/>
    <w:rsid w:val="006A697B"/>
    <w:rsid w:val="006A7AFF"/>
    <w:rsid w:val="006B1816"/>
    <w:rsid w:val="006B2099"/>
    <w:rsid w:val="006B50CF"/>
    <w:rsid w:val="006C010B"/>
    <w:rsid w:val="006C03B8"/>
    <w:rsid w:val="006C5EC9"/>
    <w:rsid w:val="006C6059"/>
    <w:rsid w:val="006C6EC0"/>
    <w:rsid w:val="006C7522"/>
    <w:rsid w:val="006D1E26"/>
    <w:rsid w:val="006D6F08"/>
    <w:rsid w:val="006E062C"/>
    <w:rsid w:val="006E28B7"/>
    <w:rsid w:val="006E3310"/>
    <w:rsid w:val="006E4E39"/>
    <w:rsid w:val="006E565E"/>
    <w:rsid w:val="006E59B5"/>
    <w:rsid w:val="006E673D"/>
    <w:rsid w:val="006E7D3B"/>
    <w:rsid w:val="006F1B70"/>
    <w:rsid w:val="006F341D"/>
    <w:rsid w:val="006F3CDE"/>
    <w:rsid w:val="006F58D4"/>
    <w:rsid w:val="006F6185"/>
    <w:rsid w:val="00700EF5"/>
    <w:rsid w:val="0070346E"/>
    <w:rsid w:val="00704EDB"/>
    <w:rsid w:val="00706101"/>
    <w:rsid w:val="00707072"/>
    <w:rsid w:val="00707D61"/>
    <w:rsid w:val="00712287"/>
    <w:rsid w:val="00712772"/>
    <w:rsid w:val="0071447C"/>
    <w:rsid w:val="007148D3"/>
    <w:rsid w:val="00715B9A"/>
    <w:rsid w:val="00725C26"/>
    <w:rsid w:val="00726EA6"/>
    <w:rsid w:val="00727208"/>
    <w:rsid w:val="00727680"/>
    <w:rsid w:val="007348B1"/>
    <w:rsid w:val="007362A6"/>
    <w:rsid w:val="00736D7D"/>
    <w:rsid w:val="00740E58"/>
    <w:rsid w:val="007445A0"/>
    <w:rsid w:val="0074524B"/>
    <w:rsid w:val="00747D8B"/>
    <w:rsid w:val="00751228"/>
    <w:rsid w:val="007571E1"/>
    <w:rsid w:val="00757584"/>
    <w:rsid w:val="007604B2"/>
    <w:rsid w:val="00765281"/>
    <w:rsid w:val="00766BAD"/>
    <w:rsid w:val="007728BA"/>
    <w:rsid w:val="007730BD"/>
    <w:rsid w:val="007755F2"/>
    <w:rsid w:val="00776971"/>
    <w:rsid w:val="0078177E"/>
    <w:rsid w:val="0078304C"/>
    <w:rsid w:val="00783673"/>
    <w:rsid w:val="00785490"/>
    <w:rsid w:val="00787547"/>
    <w:rsid w:val="007925EA"/>
    <w:rsid w:val="00793CD8"/>
    <w:rsid w:val="00795B62"/>
    <w:rsid w:val="00795C21"/>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0F9"/>
    <w:rsid w:val="007F3CB3"/>
    <w:rsid w:val="00800181"/>
    <w:rsid w:val="008026EF"/>
    <w:rsid w:val="00803FAE"/>
    <w:rsid w:val="00804E9D"/>
    <w:rsid w:val="0080605F"/>
    <w:rsid w:val="0080714D"/>
    <w:rsid w:val="00807786"/>
    <w:rsid w:val="00811FCB"/>
    <w:rsid w:val="00815764"/>
    <w:rsid w:val="008158D6"/>
    <w:rsid w:val="00817196"/>
    <w:rsid w:val="008235DB"/>
    <w:rsid w:val="00824AB4"/>
    <w:rsid w:val="00825C42"/>
    <w:rsid w:val="00825D25"/>
    <w:rsid w:val="00827D6F"/>
    <w:rsid w:val="008376AC"/>
    <w:rsid w:val="008444E8"/>
    <w:rsid w:val="00844E80"/>
    <w:rsid w:val="00846FE7"/>
    <w:rsid w:val="00854F97"/>
    <w:rsid w:val="00856911"/>
    <w:rsid w:val="00864C23"/>
    <w:rsid w:val="008677FD"/>
    <w:rsid w:val="008706D4"/>
    <w:rsid w:val="00870F8A"/>
    <w:rsid w:val="008719A4"/>
    <w:rsid w:val="00871D23"/>
    <w:rsid w:val="00874312"/>
    <w:rsid w:val="0087437C"/>
    <w:rsid w:val="00875CD7"/>
    <w:rsid w:val="008769A4"/>
    <w:rsid w:val="00876B4D"/>
    <w:rsid w:val="00877F18"/>
    <w:rsid w:val="00894A88"/>
    <w:rsid w:val="00895386"/>
    <w:rsid w:val="008A21FF"/>
    <w:rsid w:val="008A2CE2"/>
    <w:rsid w:val="008A30AC"/>
    <w:rsid w:val="008A44B8"/>
    <w:rsid w:val="008A51A8"/>
    <w:rsid w:val="008A54C7"/>
    <w:rsid w:val="008A77D8"/>
    <w:rsid w:val="008B0483"/>
    <w:rsid w:val="008B120C"/>
    <w:rsid w:val="008B3F65"/>
    <w:rsid w:val="008B51A0"/>
    <w:rsid w:val="008B592A"/>
    <w:rsid w:val="008B5FBD"/>
    <w:rsid w:val="008B7B5C"/>
    <w:rsid w:val="008C0C99"/>
    <w:rsid w:val="008C2017"/>
    <w:rsid w:val="008C30F7"/>
    <w:rsid w:val="008C4958"/>
    <w:rsid w:val="008C4BAA"/>
    <w:rsid w:val="008C6AE8"/>
    <w:rsid w:val="008C7573"/>
    <w:rsid w:val="008D34F1"/>
    <w:rsid w:val="008D39D8"/>
    <w:rsid w:val="008D553F"/>
    <w:rsid w:val="008D6D1A"/>
    <w:rsid w:val="008D7B3E"/>
    <w:rsid w:val="008E065E"/>
    <w:rsid w:val="008E0927"/>
    <w:rsid w:val="008E1909"/>
    <w:rsid w:val="008E4EB5"/>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3E2D"/>
    <w:rsid w:val="0096430A"/>
    <w:rsid w:val="0096554B"/>
    <w:rsid w:val="0096584A"/>
    <w:rsid w:val="00971F08"/>
    <w:rsid w:val="0097603D"/>
    <w:rsid w:val="00976949"/>
    <w:rsid w:val="0097723B"/>
    <w:rsid w:val="00980477"/>
    <w:rsid w:val="00985253"/>
    <w:rsid w:val="009853B3"/>
    <w:rsid w:val="00990630"/>
    <w:rsid w:val="00991489"/>
    <w:rsid w:val="00991761"/>
    <w:rsid w:val="00994DCA"/>
    <w:rsid w:val="009960EC"/>
    <w:rsid w:val="009970DD"/>
    <w:rsid w:val="009A0FBA"/>
    <w:rsid w:val="009A1601"/>
    <w:rsid w:val="009A462D"/>
    <w:rsid w:val="009A5CBA"/>
    <w:rsid w:val="009B1F30"/>
    <w:rsid w:val="009B3AC2"/>
    <w:rsid w:val="009B4DF4"/>
    <w:rsid w:val="009B4E9F"/>
    <w:rsid w:val="009B564E"/>
    <w:rsid w:val="009B7E87"/>
    <w:rsid w:val="009C403E"/>
    <w:rsid w:val="009D4FF0"/>
    <w:rsid w:val="009D703C"/>
    <w:rsid w:val="009D718F"/>
    <w:rsid w:val="009E068F"/>
    <w:rsid w:val="009E14E0"/>
    <w:rsid w:val="009E35DB"/>
    <w:rsid w:val="009E47A3"/>
    <w:rsid w:val="009F08F3"/>
    <w:rsid w:val="009F344F"/>
    <w:rsid w:val="00A00616"/>
    <w:rsid w:val="00A048A8"/>
    <w:rsid w:val="00A04F49"/>
    <w:rsid w:val="00A05377"/>
    <w:rsid w:val="00A115AA"/>
    <w:rsid w:val="00A13E54"/>
    <w:rsid w:val="00A17405"/>
    <w:rsid w:val="00A17F63"/>
    <w:rsid w:val="00A2052C"/>
    <w:rsid w:val="00A2193B"/>
    <w:rsid w:val="00A2351A"/>
    <w:rsid w:val="00A264A9"/>
    <w:rsid w:val="00A27785"/>
    <w:rsid w:val="00A30187"/>
    <w:rsid w:val="00A3448A"/>
    <w:rsid w:val="00A36297"/>
    <w:rsid w:val="00A41E2B"/>
    <w:rsid w:val="00A45B74"/>
    <w:rsid w:val="00A52E1D"/>
    <w:rsid w:val="00A56BCE"/>
    <w:rsid w:val="00A61499"/>
    <w:rsid w:val="00A61664"/>
    <w:rsid w:val="00A62A77"/>
    <w:rsid w:val="00A63483"/>
    <w:rsid w:val="00A657D7"/>
    <w:rsid w:val="00A660AC"/>
    <w:rsid w:val="00A66F55"/>
    <w:rsid w:val="00A67E6C"/>
    <w:rsid w:val="00A71B99"/>
    <w:rsid w:val="00A739D0"/>
    <w:rsid w:val="00A761D4"/>
    <w:rsid w:val="00A77EC4"/>
    <w:rsid w:val="00A85686"/>
    <w:rsid w:val="00A86768"/>
    <w:rsid w:val="00A92879"/>
    <w:rsid w:val="00A9442A"/>
    <w:rsid w:val="00A9560B"/>
    <w:rsid w:val="00AA016F"/>
    <w:rsid w:val="00AA1ED6"/>
    <w:rsid w:val="00AA41C0"/>
    <w:rsid w:val="00AA51D6"/>
    <w:rsid w:val="00AA5697"/>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283E"/>
    <w:rsid w:val="00AF42D7"/>
    <w:rsid w:val="00B006FE"/>
    <w:rsid w:val="00B007CB"/>
    <w:rsid w:val="00B02AA9"/>
    <w:rsid w:val="00B02FA3"/>
    <w:rsid w:val="00B038E9"/>
    <w:rsid w:val="00B05084"/>
    <w:rsid w:val="00B157F9"/>
    <w:rsid w:val="00B20256"/>
    <w:rsid w:val="00B20D09"/>
    <w:rsid w:val="00B2763F"/>
    <w:rsid w:val="00B27AAC"/>
    <w:rsid w:val="00B30929"/>
    <w:rsid w:val="00B34996"/>
    <w:rsid w:val="00B372AA"/>
    <w:rsid w:val="00B40445"/>
    <w:rsid w:val="00B40803"/>
    <w:rsid w:val="00B41888"/>
    <w:rsid w:val="00B45A52"/>
    <w:rsid w:val="00B46175"/>
    <w:rsid w:val="00B6188F"/>
    <w:rsid w:val="00B664C7"/>
    <w:rsid w:val="00B71051"/>
    <w:rsid w:val="00B739F6"/>
    <w:rsid w:val="00B80A66"/>
    <w:rsid w:val="00B80F15"/>
    <w:rsid w:val="00B81A6C"/>
    <w:rsid w:val="00B840A3"/>
    <w:rsid w:val="00B85DE5"/>
    <w:rsid w:val="00B90F73"/>
    <w:rsid w:val="00B93B59"/>
    <w:rsid w:val="00B9406A"/>
    <w:rsid w:val="00BA2280"/>
    <w:rsid w:val="00BA2A08"/>
    <w:rsid w:val="00BA3687"/>
    <w:rsid w:val="00BA56D2"/>
    <w:rsid w:val="00BA76E0"/>
    <w:rsid w:val="00BB2A25"/>
    <w:rsid w:val="00BB2B1C"/>
    <w:rsid w:val="00BB51E9"/>
    <w:rsid w:val="00BB6B52"/>
    <w:rsid w:val="00BC0FDC"/>
    <w:rsid w:val="00BC3053"/>
    <w:rsid w:val="00BC4D2E"/>
    <w:rsid w:val="00BD2316"/>
    <w:rsid w:val="00BD48AC"/>
    <w:rsid w:val="00BD5F1A"/>
    <w:rsid w:val="00BE1234"/>
    <w:rsid w:val="00BE2FA6"/>
    <w:rsid w:val="00BE333F"/>
    <w:rsid w:val="00BE7406"/>
    <w:rsid w:val="00BE7603"/>
    <w:rsid w:val="00BF0D9F"/>
    <w:rsid w:val="00BF3279"/>
    <w:rsid w:val="00BF3B64"/>
    <w:rsid w:val="00BF74C7"/>
    <w:rsid w:val="00C015F1"/>
    <w:rsid w:val="00C01F33"/>
    <w:rsid w:val="00C02CC6"/>
    <w:rsid w:val="00C040F7"/>
    <w:rsid w:val="00C041B0"/>
    <w:rsid w:val="00C044AB"/>
    <w:rsid w:val="00C05706"/>
    <w:rsid w:val="00C07377"/>
    <w:rsid w:val="00C10478"/>
    <w:rsid w:val="00C12107"/>
    <w:rsid w:val="00C13D4F"/>
    <w:rsid w:val="00C14ADD"/>
    <w:rsid w:val="00C14D4B"/>
    <w:rsid w:val="00C154BB"/>
    <w:rsid w:val="00C2294B"/>
    <w:rsid w:val="00C24345"/>
    <w:rsid w:val="00C279B5"/>
    <w:rsid w:val="00C27C45"/>
    <w:rsid w:val="00C364E0"/>
    <w:rsid w:val="00C3719D"/>
    <w:rsid w:val="00C37251"/>
    <w:rsid w:val="00C37C05"/>
    <w:rsid w:val="00C4117D"/>
    <w:rsid w:val="00C53735"/>
    <w:rsid w:val="00C54995"/>
    <w:rsid w:val="00C54D41"/>
    <w:rsid w:val="00C60783"/>
    <w:rsid w:val="00C63326"/>
    <w:rsid w:val="00C64672"/>
    <w:rsid w:val="00C667B6"/>
    <w:rsid w:val="00C70697"/>
    <w:rsid w:val="00C72EF4"/>
    <w:rsid w:val="00C75D2F"/>
    <w:rsid w:val="00C767BE"/>
    <w:rsid w:val="00C76E3C"/>
    <w:rsid w:val="00C81568"/>
    <w:rsid w:val="00C86DD8"/>
    <w:rsid w:val="00C8759D"/>
    <w:rsid w:val="00C9027A"/>
    <w:rsid w:val="00C9068E"/>
    <w:rsid w:val="00C93C4B"/>
    <w:rsid w:val="00C944AB"/>
    <w:rsid w:val="00C95B40"/>
    <w:rsid w:val="00CA1ED8"/>
    <w:rsid w:val="00CA6A4C"/>
    <w:rsid w:val="00CB1F63"/>
    <w:rsid w:val="00CB7170"/>
    <w:rsid w:val="00CC040E"/>
    <w:rsid w:val="00CC111F"/>
    <w:rsid w:val="00CC1B41"/>
    <w:rsid w:val="00CC2011"/>
    <w:rsid w:val="00CC3EA0"/>
    <w:rsid w:val="00CC7B45"/>
    <w:rsid w:val="00CD1108"/>
    <w:rsid w:val="00CD1188"/>
    <w:rsid w:val="00CD2ED1"/>
    <w:rsid w:val="00CD337B"/>
    <w:rsid w:val="00CD783B"/>
    <w:rsid w:val="00CE0424"/>
    <w:rsid w:val="00CE256D"/>
    <w:rsid w:val="00CE7561"/>
    <w:rsid w:val="00CF1354"/>
    <w:rsid w:val="00CF3B1F"/>
    <w:rsid w:val="00CF3BF6"/>
    <w:rsid w:val="00CF625B"/>
    <w:rsid w:val="00CF687E"/>
    <w:rsid w:val="00D0349B"/>
    <w:rsid w:val="00D100D5"/>
    <w:rsid w:val="00D10249"/>
    <w:rsid w:val="00D115C3"/>
    <w:rsid w:val="00D11897"/>
    <w:rsid w:val="00D119FD"/>
    <w:rsid w:val="00D13135"/>
    <w:rsid w:val="00D13E4E"/>
    <w:rsid w:val="00D15703"/>
    <w:rsid w:val="00D167C4"/>
    <w:rsid w:val="00D22374"/>
    <w:rsid w:val="00D223F9"/>
    <w:rsid w:val="00D239A7"/>
    <w:rsid w:val="00D23F47"/>
    <w:rsid w:val="00D323F0"/>
    <w:rsid w:val="00D36E71"/>
    <w:rsid w:val="00D37745"/>
    <w:rsid w:val="00D37D87"/>
    <w:rsid w:val="00D40B33"/>
    <w:rsid w:val="00D4318F"/>
    <w:rsid w:val="00D438BF"/>
    <w:rsid w:val="00D440F8"/>
    <w:rsid w:val="00D47014"/>
    <w:rsid w:val="00D50109"/>
    <w:rsid w:val="00D50F97"/>
    <w:rsid w:val="00D546FF"/>
    <w:rsid w:val="00D55AD5"/>
    <w:rsid w:val="00D576CA"/>
    <w:rsid w:val="00D61AF5"/>
    <w:rsid w:val="00D652B5"/>
    <w:rsid w:val="00D66155"/>
    <w:rsid w:val="00D708B0"/>
    <w:rsid w:val="00D738EB"/>
    <w:rsid w:val="00D77B1D"/>
    <w:rsid w:val="00D8021F"/>
    <w:rsid w:val="00D80383"/>
    <w:rsid w:val="00D823C6"/>
    <w:rsid w:val="00D8386A"/>
    <w:rsid w:val="00D8476D"/>
    <w:rsid w:val="00D86CA3"/>
    <w:rsid w:val="00D871CE"/>
    <w:rsid w:val="00D9196D"/>
    <w:rsid w:val="00D92982"/>
    <w:rsid w:val="00DA305E"/>
    <w:rsid w:val="00DA5417"/>
    <w:rsid w:val="00DA56E8"/>
    <w:rsid w:val="00DB0A9F"/>
    <w:rsid w:val="00DB377D"/>
    <w:rsid w:val="00DC2D36"/>
    <w:rsid w:val="00DC53EF"/>
    <w:rsid w:val="00DE34EA"/>
    <w:rsid w:val="00DE5608"/>
    <w:rsid w:val="00DE58D0"/>
    <w:rsid w:val="00DE654F"/>
    <w:rsid w:val="00DF0B6E"/>
    <w:rsid w:val="00DF15E0"/>
    <w:rsid w:val="00DF1A1B"/>
    <w:rsid w:val="00DF37A0"/>
    <w:rsid w:val="00E04FBE"/>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C6D"/>
    <w:rsid w:val="00E53B75"/>
    <w:rsid w:val="00E5482F"/>
    <w:rsid w:val="00E54E3B"/>
    <w:rsid w:val="00E57565"/>
    <w:rsid w:val="00E63838"/>
    <w:rsid w:val="00E64434"/>
    <w:rsid w:val="00E67C51"/>
    <w:rsid w:val="00E702B0"/>
    <w:rsid w:val="00E7066F"/>
    <w:rsid w:val="00E72EFC"/>
    <w:rsid w:val="00E758EC"/>
    <w:rsid w:val="00E77D15"/>
    <w:rsid w:val="00E81D45"/>
    <w:rsid w:val="00E8234C"/>
    <w:rsid w:val="00E83AA9"/>
    <w:rsid w:val="00E85928"/>
    <w:rsid w:val="00E87822"/>
    <w:rsid w:val="00E87B7A"/>
    <w:rsid w:val="00E90395"/>
    <w:rsid w:val="00E9089C"/>
    <w:rsid w:val="00E90E49"/>
    <w:rsid w:val="00E917F9"/>
    <w:rsid w:val="00E9291C"/>
    <w:rsid w:val="00E93FFE"/>
    <w:rsid w:val="00E94F8A"/>
    <w:rsid w:val="00EA3FD7"/>
    <w:rsid w:val="00EA7A41"/>
    <w:rsid w:val="00EB077B"/>
    <w:rsid w:val="00EB4EA2"/>
    <w:rsid w:val="00EC27C6"/>
    <w:rsid w:val="00EC4207"/>
    <w:rsid w:val="00EC5653"/>
    <w:rsid w:val="00EC71CE"/>
    <w:rsid w:val="00ED1006"/>
    <w:rsid w:val="00EE5085"/>
    <w:rsid w:val="00EF18FE"/>
    <w:rsid w:val="00EF5787"/>
    <w:rsid w:val="00EF60D0"/>
    <w:rsid w:val="00F02BD6"/>
    <w:rsid w:val="00F03D77"/>
    <w:rsid w:val="00F0528D"/>
    <w:rsid w:val="00F06C67"/>
    <w:rsid w:val="00F06DFD"/>
    <w:rsid w:val="00F071D1"/>
    <w:rsid w:val="00F07533"/>
    <w:rsid w:val="00F10629"/>
    <w:rsid w:val="00F15FA5"/>
    <w:rsid w:val="00F209B7"/>
    <w:rsid w:val="00F2376F"/>
    <w:rsid w:val="00F243D8"/>
    <w:rsid w:val="00F30828"/>
    <w:rsid w:val="00F313D6"/>
    <w:rsid w:val="00F35232"/>
    <w:rsid w:val="00F3591D"/>
    <w:rsid w:val="00F37212"/>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D05"/>
    <w:rsid w:val="00F96985"/>
    <w:rsid w:val="00F97838"/>
    <w:rsid w:val="00FA2BB3"/>
    <w:rsid w:val="00FB3B11"/>
    <w:rsid w:val="00FB4C80"/>
    <w:rsid w:val="00FB6A6A"/>
    <w:rsid w:val="00FC03B4"/>
    <w:rsid w:val="00FC7429"/>
    <w:rsid w:val="00FD07F6"/>
    <w:rsid w:val="00FD1EC8"/>
    <w:rsid w:val="00FD2C4C"/>
    <w:rsid w:val="00FD47ED"/>
    <w:rsid w:val="00FD4985"/>
    <w:rsid w:val="00FD74DB"/>
    <w:rsid w:val="00FD7660"/>
    <w:rsid w:val="00FE0655"/>
    <w:rsid w:val="00FE2365"/>
    <w:rsid w:val="00FE27CF"/>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0E2F84"/>
  <w15:chartTrackingRefBased/>
  <w15:docId w15:val="{DF444EAE-A78D-4096-9ECE-CED73A2DF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64E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364E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364E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364E0"/>
    <w:pPr>
      <w:numPr>
        <w:ilvl w:val="2"/>
      </w:numPr>
      <w:spacing w:before="120"/>
      <w:outlineLvl w:val="2"/>
    </w:pPr>
    <w:rPr>
      <w:sz w:val="28"/>
      <w:szCs w:val="28"/>
    </w:rPr>
  </w:style>
  <w:style w:type="paragraph" w:styleId="Heading4">
    <w:name w:val="heading 4"/>
    <w:basedOn w:val="Heading3"/>
    <w:next w:val="Normal"/>
    <w:qFormat/>
    <w:rsid w:val="00C364E0"/>
    <w:pPr>
      <w:numPr>
        <w:ilvl w:val="3"/>
      </w:numPr>
      <w:outlineLvl w:val="3"/>
    </w:pPr>
    <w:rPr>
      <w:sz w:val="24"/>
      <w:szCs w:val="24"/>
    </w:rPr>
  </w:style>
  <w:style w:type="paragraph" w:styleId="Heading5">
    <w:name w:val="heading 5"/>
    <w:basedOn w:val="Heading4"/>
    <w:next w:val="Normal"/>
    <w:qFormat/>
    <w:rsid w:val="00C364E0"/>
    <w:pPr>
      <w:numPr>
        <w:ilvl w:val="4"/>
      </w:numPr>
      <w:outlineLvl w:val="4"/>
    </w:pPr>
    <w:rPr>
      <w:sz w:val="22"/>
      <w:szCs w:val="22"/>
    </w:rPr>
  </w:style>
  <w:style w:type="paragraph" w:styleId="Heading6">
    <w:name w:val="heading 6"/>
    <w:basedOn w:val="Normal"/>
    <w:next w:val="Normal"/>
    <w:qFormat/>
    <w:rsid w:val="00C364E0"/>
    <w:pPr>
      <w:keepNext/>
      <w:keepLines/>
      <w:numPr>
        <w:ilvl w:val="5"/>
        <w:numId w:val="1"/>
      </w:numPr>
      <w:spacing w:before="120"/>
      <w:outlineLvl w:val="5"/>
    </w:pPr>
    <w:rPr>
      <w:rFonts w:cs="Arial"/>
    </w:rPr>
  </w:style>
  <w:style w:type="paragraph" w:styleId="Heading7">
    <w:name w:val="heading 7"/>
    <w:basedOn w:val="Normal"/>
    <w:next w:val="Normal"/>
    <w:qFormat/>
    <w:rsid w:val="00C364E0"/>
    <w:pPr>
      <w:keepNext/>
      <w:keepLines/>
      <w:numPr>
        <w:ilvl w:val="6"/>
        <w:numId w:val="1"/>
      </w:numPr>
      <w:spacing w:before="120"/>
      <w:outlineLvl w:val="6"/>
    </w:pPr>
    <w:rPr>
      <w:rFonts w:cs="Arial"/>
    </w:rPr>
  </w:style>
  <w:style w:type="paragraph" w:styleId="Heading8">
    <w:name w:val="heading 8"/>
    <w:basedOn w:val="Heading7"/>
    <w:next w:val="Normal"/>
    <w:qFormat/>
    <w:rsid w:val="00C364E0"/>
    <w:pPr>
      <w:numPr>
        <w:ilvl w:val="7"/>
      </w:numPr>
      <w:outlineLvl w:val="7"/>
    </w:pPr>
  </w:style>
  <w:style w:type="paragraph" w:styleId="Heading9">
    <w:name w:val="heading 9"/>
    <w:basedOn w:val="Heading8"/>
    <w:next w:val="Normal"/>
    <w:qFormat/>
    <w:rsid w:val="00C364E0"/>
    <w:pPr>
      <w:numPr>
        <w:ilvl w:val="8"/>
      </w:numPr>
      <w:outlineLvl w:val="8"/>
    </w:pPr>
  </w:style>
  <w:style w:type="character" w:default="1" w:styleId="DefaultParagraphFont">
    <w:name w:val="Default Paragraph Font"/>
    <w:uiPriority w:val="1"/>
    <w:semiHidden/>
    <w:unhideWhenUsed/>
    <w:rsid w:val="00C364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64E0"/>
  </w:style>
  <w:style w:type="paragraph" w:styleId="TOC8">
    <w:name w:val="toc 8"/>
    <w:basedOn w:val="TOC1"/>
    <w:semiHidden/>
    <w:rsid w:val="00C364E0"/>
    <w:pPr>
      <w:spacing w:before="180"/>
      <w:ind w:left="2693" w:hanging="2693"/>
    </w:pPr>
    <w:rPr>
      <w:b w:val="0"/>
      <w:bCs/>
    </w:rPr>
  </w:style>
  <w:style w:type="paragraph" w:styleId="TOC1">
    <w:name w:val="toc 1"/>
    <w:aliases w:val="Observation TOC2"/>
    <w:uiPriority w:val="39"/>
    <w:rsid w:val="00C364E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364E0"/>
    <w:pPr>
      <w:keepNext/>
      <w:keepLines/>
      <w:spacing w:before="180"/>
      <w:jc w:val="center"/>
    </w:pPr>
  </w:style>
  <w:style w:type="paragraph" w:styleId="Caption">
    <w:name w:val="caption"/>
    <w:basedOn w:val="Normal"/>
    <w:next w:val="Normal"/>
    <w:qFormat/>
    <w:rsid w:val="00C364E0"/>
    <w:pPr>
      <w:spacing w:after="240"/>
      <w:jc w:val="center"/>
    </w:pPr>
    <w:rPr>
      <w:b/>
      <w:bCs/>
    </w:rPr>
  </w:style>
  <w:style w:type="paragraph" w:styleId="TOC5">
    <w:name w:val="toc 5"/>
    <w:aliases w:val="Observation TOC"/>
    <w:basedOn w:val="TOC4"/>
    <w:semiHidden/>
    <w:rsid w:val="00C364E0"/>
    <w:pPr>
      <w:tabs>
        <w:tab w:val="right" w:pos="1701"/>
      </w:tabs>
      <w:ind w:left="1701" w:hanging="1701"/>
    </w:pPr>
  </w:style>
  <w:style w:type="paragraph" w:styleId="TOC4">
    <w:name w:val="toc 4"/>
    <w:basedOn w:val="TOC3"/>
    <w:semiHidden/>
    <w:rsid w:val="00C364E0"/>
    <w:pPr>
      <w:ind w:left="1418" w:hanging="1418"/>
    </w:pPr>
  </w:style>
  <w:style w:type="paragraph" w:styleId="TOC3">
    <w:name w:val="toc 3"/>
    <w:basedOn w:val="TOC2"/>
    <w:semiHidden/>
    <w:rsid w:val="00C364E0"/>
    <w:pPr>
      <w:ind w:left="1134" w:hanging="1134"/>
    </w:pPr>
  </w:style>
  <w:style w:type="paragraph" w:styleId="TOC2">
    <w:name w:val="toc 2"/>
    <w:basedOn w:val="TOC1"/>
    <w:semiHidden/>
    <w:rsid w:val="00C364E0"/>
    <w:pPr>
      <w:keepNext w:val="0"/>
      <w:spacing w:before="0"/>
      <w:ind w:left="851" w:hanging="851"/>
    </w:pPr>
    <w:rPr>
      <w:szCs w:val="20"/>
    </w:rPr>
  </w:style>
  <w:style w:type="paragraph" w:styleId="Index2">
    <w:name w:val="index 2"/>
    <w:basedOn w:val="Index1"/>
    <w:semiHidden/>
    <w:rsid w:val="00C364E0"/>
    <w:pPr>
      <w:ind w:left="284"/>
    </w:pPr>
  </w:style>
  <w:style w:type="paragraph" w:styleId="Index1">
    <w:name w:val="index 1"/>
    <w:basedOn w:val="Normal"/>
    <w:semiHidden/>
    <w:rsid w:val="00C364E0"/>
    <w:pPr>
      <w:keepLines/>
      <w:spacing w:after="0"/>
    </w:pPr>
  </w:style>
  <w:style w:type="paragraph" w:styleId="DocumentMap">
    <w:name w:val="Document Map"/>
    <w:basedOn w:val="Normal"/>
    <w:semiHidden/>
    <w:rsid w:val="00C364E0"/>
    <w:pPr>
      <w:shd w:val="clear" w:color="auto" w:fill="000080"/>
    </w:pPr>
    <w:rPr>
      <w:rFonts w:ascii="Tahoma" w:hAnsi="Tahoma" w:cs="Tahoma"/>
    </w:rPr>
  </w:style>
  <w:style w:type="paragraph" w:styleId="ListNumber2">
    <w:name w:val="List Number 2"/>
    <w:basedOn w:val="ListNumber"/>
    <w:rsid w:val="00C364E0"/>
    <w:pPr>
      <w:ind w:left="851"/>
    </w:pPr>
  </w:style>
  <w:style w:type="paragraph" w:styleId="ListNumber">
    <w:name w:val="List Number"/>
    <w:basedOn w:val="List"/>
    <w:rsid w:val="00C364E0"/>
  </w:style>
  <w:style w:type="paragraph" w:styleId="List">
    <w:name w:val="List"/>
    <w:basedOn w:val="Normal"/>
    <w:rsid w:val="00C364E0"/>
    <w:pPr>
      <w:ind w:left="568" w:hanging="284"/>
    </w:pPr>
  </w:style>
  <w:style w:type="paragraph" w:styleId="Header">
    <w:name w:val="header"/>
    <w:rsid w:val="00C364E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364E0"/>
    <w:rPr>
      <w:b/>
      <w:bCs/>
      <w:position w:val="6"/>
      <w:sz w:val="16"/>
      <w:szCs w:val="16"/>
    </w:rPr>
  </w:style>
  <w:style w:type="paragraph" w:styleId="FootnoteText">
    <w:name w:val="footnote text"/>
    <w:basedOn w:val="Normal"/>
    <w:semiHidden/>
    <w:rsid w:val="00C364E0"/>
    <w:pPr>
      <w:keepLines/>
      <w:spacing w:after="0"/>
      <w:ind w:left="454" w:hanging="454"/>
    </w:pPr>
    <w:rPr>
      <w:sz w:val="16"/>
      <w:szCs w:val="16"/>
    </w:rPr>
  </w:style>
  <w:style w:type="paragraph" w:customStyle="1" w:styleId="3GPPHeader">
    <w:name w:val="3GPP_Header"/>
    <w:basedOn w:val="Normal"/>
    <w:rsid w:val="00C364E0"/>
    <w:pPr>
      <w:tabs>
        <w:tab w:val="left" w:pos="1701"/>
        <w:tab w:val="right" w:pos="9639"/>
      </w:tabs>
      <w:spacing w:after="240"/>
    </w:pPr>
    <w:rPr>
      <w:b/>
      <w:sz w:val="24"/>
    </w:rPr>
  </w:style>
  <w:style w:type="paragraph" w:styleId="TOC9">
    <w:name w:val="toc 9"/>
    <w:basedOn w:val="TOC8"/>
    <w:semiHidden/>
    <w:rsid w:val="00C364E0"/>
    <w:pPr>
      <w:ind w:left="1418" w:hanging="1418"/>
    </w:pPr>
  </w:style>
  <w:style w:type="paragraph" w:styleId="TOC6">
    <w:name w:val="toc 6"/>
    <w:basedOn w:val="TOC5"/>
    <w:next w:val="Normal"/>
    <w:semiHidden/>
    <w:rsid w:val="00C364E0"/>
    <w:pPr>
      <w:ind w:left="1985" w:hanging="1985"/>
    </w:pPr>
  </w:style>
  <w:style w:type="paragraph" w:styleId="TOC7">
    <w:name w:val="toc 7"/>
    <w:basedOn w:val="TOC6"/>
    <w:next w:val="Normal"/>
    <w:semiHidden/>
    <w:rsid w:val="00C364E0"/>
    <w:pPr>
      <w:ind w:left="2268" w:hanging="2268"/>
    </w:pPr>
  </w:style>
  <w:style w:type="paragraph" w:styleId="ListBullet2">
    <w:name w:val="List Bullet 2"/>
    <w:basedOn w:val="ListBullet"/>
    <w:rsid w:val="00C364E0"/>
    <w:pPr>
      <w:numPr>
        <w:numId w:val="6"/>
      </w:numPr>
    </w:pPr>
  </w:style>
  <w:style w:type="paragraph" w:styleId="ListBullet">
    <w:name w:val="List Bullet"/>
    <w:basedOn w:val="BodyText"/>
    <w:rsid w:val="00C364E0"/>
    <w:pPr>
      <w:numPr>
        <w:numId w:val="5"/>
      </w:numPr>
    </w:pPr>
  </w:style>
  <w:style w:type="paragraph" w:styleId="ListBullet3">
    <w:name w:val="List Bullet 3"/>
    <w:basedOn w:val="ListBullet2"/>
    <w:rsid w:val="00C364E0"/>
    <w:pPr>
      <w:numPr>
        <w:numId w:val="7"/>
      </w:numPr>
    </w:pPr>
  </w:style>
  <w:style w:type="paragraph" w:customStyle="1" w:styleId="EQ">
    <w:name w:val="EQ"/>
    <w:basedOn w:val="Normal"/>
    <w:next w:val="Normal"/>
    <w:rsid w:val="00C364E0"/>
    <w:pPr>
      <w:keepLines/>
      <w:tabs>
        <w:tab w:val="center" w:pos="4536"/>
        <w:tab w:val="right" w:pos="9072"/>
      </w:tabs>
      <w:spacing w:after="180"/>
      <w:jc w:val="left"/>
    </w:pPr>
    <w:rPr>
      <w:noProof/>
      <w:lang w:eastAsia="en-US"/>
    </w:rPr>
  </w:style>
  <w:style w:type="paragraph" w:styleId="List2">
    <w:name w:val="List 2"/>
    <w:basedOn w:val="List"/>
    <w:rsid w:val="00C364E0"/>
    <w:pPr>
      <w:ind w:left="851"/>
    </w:pPr>
  </w:style>
  <w:style w:type="paragraph" w:styleId="List3">
    <w:name w:val="List 3"/>
    <w:basedOn w:val="List2"/>
    <w:rsid w:val="00C364E0"/>
    <w:pPr>
      <w:ind w:left="1135"/>
    </w:pPr>
  </w:style>
  <w:style w:type="paragraph" w:styleId="List4">
    <w:name w:val="List 4"/>
    <w:basedOn w:val="List3"/>
    <w:rsid w:val="00C364E0"/>
    <w:pPr>
      <w:ind w:left="1418"/>
    </w:pPr>
  </w:style>
  <w:style w:type="paragraph" w:styleId="List5">
    <w:name w:val="List 5"/>
    <w:basedOn w:val="List4"/>
    <w:rsid w:val="00C364E0"/>
    <w:pPr>
      <w:ind w:left="1702"/>
    </w:pPr>
  </w:style>
  <w:style w:type="paragraph" w:customStyle="1" w:styleId="EditorsNote">
    <w:name w:val="Editor's Note"/>
    <w:aliases w:val="EN"/>
    <w:basedOn w:val="Normal"/>
    <w:link w:val="EditorsNoteChar"/>
    <w:rsid w:val="00C364E0"/>
    <w:pPr>
      <w:keepLines/>
      <w:spacing w:after="180"/>
      <w:ind w:left="1135" w:hanging="851"/>
      <w:jc w:val="left"/>
    </w:pPr>
    <w:rPr>
      <w:color w:val="FF0000"/>
      <w:lang w:eastAsia="en-US"/>
    </w:rPr>
  </w:style>
  <w:style w:type="paragraph" w:styleId="ListBullet4">
    <w:name w:val="List Bullet 4"/>
    <w:basedOn w:val="ListBullet3"/>
    <w:rsid w:val="00C364E0"/>
    <w:pPr>
      <w:numPr>
        <w:numId w:val="8"/>
      </w:numPr>
    </w:pPr>
  </w:style>
  <w:style w:type="paragraph" w:styleId="ListBullet5">
    <w:name w:val="List Bullet 5"/>
    <w:basedOn w:val="ListBullet4"/>
    <w:rsid w:val="00C364E0"/>
    <w:pPr>
      <w:numPr>
        <w:numId w:val="4"/>
      </w:numPr>
    </w:pPr>
  </w:style>
  <w:style w:type="paragraph" w:styleId="Footer">
    <w:name w:val="footer"/>
    <w:basedOn w:val="Header"/>
    <w:semiHidden/>
    <w:rsid w:val="00C364E0"/>
    <w:pPr>
      <w:jc w:val="center"/>
    </w:pPr>
    <w:rPr>
      <w:i/>
      <w:iCs/>
    </w:rPr>
  </w:style>
  <w:style w:type="paragraph" w:customStyle="1" w:styleId="Reference">
    <w:name w:val="Reference"/>
    <w:basedOn w:val="Normal"/>
    <w:rsid w:val="00C364E0"/>
    <w:pPr>
      <w:numPr>
        <w:numId w:val="2"/>
      </w:numPr>
    </w:pPr>
  </w:style>
  <w:style w:type="paragraph" w:styleId="BalloonText">
    <w:name w:val="Balloon Text"/>
    <w:basedOn w:val="Normal"/>
    <w:semiHidden/>
    <w:rsid w:val="00C364E0"/>
    <w:rPr>
      <w:rFonts w:ascii="Tahoma" w:hAnsi="Tahoma" w:cs="Tahoma"/>
      <w:sz w:val="16"/>
      <w:szCs w:val="16"/>
    </w:rPr>
  </w:style>
  <w:style w:type="character" w:styleId="PageNumber">
    <w:name w:val="page number"/>
    <w:basedOn w:val="DefaultParagraphFont"/>
    <w:semiHidden/>
    <w:rsid w:val="00C364E0"/>
  </w:style>
  <w:style w:type="paragraph" w:styleId="BodyText">
    <w:name w:val="Body Text"/>
    <w:basedOn w:val="Normal"/>
    <w:link w:val="BodyTextChar"/>
    <w:rsid w:val="00C364E0"/>
  </w:style>
  <w:style w:type="character" w:styleId="Hyperlink">
    <w:name w:val="Hyperlink"/>
    <w:uiPriority w:val="99"/>
    <w:rsid w:val="00C364E0"/>
    <w:rPr>
      <w:color w:val="0000FF"/>
      <w:u w:val="single"/>
      <w:lang w:val="en-GB"/>
    </w:rPr>
  </w:style>
  <w:style w:type="character" w:styleId="FollowedHyperlink">
    <w:name w:val="FollowedHyperlink"/>
    <w:semiHidden/>
    <w:rsid w:val="00C364E0"/>
    <w:rPr>
      <w:color w:val="FF0000"/>
      <w:u w:val="single"/>
    </w:rPr>
  </w:style>
  <w:style w:type="character" w:styleId="CommentReference">
    <w:name w:val="annotation reference"/>
    <w:semiHidden/>
    <w:rsid w:val="00C364E0"/>
    <w:rPr>
      <w:sz w:val="16"/>
      <w:szCs w:val="16"/>
    </w:rPr>
  </w:style>
  <w:style w:type="paragraph" w:styleId="CommentText">
    <w:name w:val="annotation text"/>
    <w:basedOn w:val="Normal"/>
    <w:semiHidden/>
    <w:rsid w:val="00C364E0"/>
  </w:style>
  <w:style w:type="paragraph" w:styleId="CommentSubject">
    <w:name w:val="annotation subject"/>
    <w:basedOn w:val="CommentText"/>
    <w:next w:val="CommentText"/>
    <w:semiHidden/>
    <w:rsid w:val="00C364E0"/>
    <w:rPr>
      <w:b/>
      <w:bCs/>
    </w:rPr>
  </w:style>
  <w:style w:type="character" w:customStyle="1" w:styleId="Heading1Char">
    <w:name w:val="Heading 1 Char"/>
    <w:link w:val="Heading1"/>
    <w:rsid w:val="00C364E0"/>
    <w:rPr>
      <w:rFonts w:ascii="Arial" w:hAnsi="Arial" w:cs="Arial"/>
      <w:sz w:val="36"/>
      <w:szCs w:val="36"/>
      <w:lang w:val="en-GB" w:eastAsia="zh-CN"/>
    </w:rPr>
  </w:style>
  <w:style w:type="paragraph" w:customStyle="1" w:styleId="B1">
    <w:name w:val="B1"/>
    <w:basedOn w:val="List"/>
    <w:link w:val="B1Char1"/>
    <w:rsid w:val="00C364E0"/>
    <w:pPr>
      <w:spacing w:after="180"/>
      <w:jc w:val="left"/>
    </w:pPr>
    <w:rPr>
      <w:lang w:eastAsia="en-US"/>
    </w:rPr>
  </w:style>
  <w:style w:type="paragraph" w:customStyle="1" w:styleId="B2">
    <w:name w:val="B2"/>
    <w:basedOn w:val="List2"/>
    <w:rsid w:val="00C364E0"/>
    <w:pPr>
      <w:spacing w:after="180"/>
      <w:jc w:val="left"/>
    </w:pPr>
    <w:rPr>
      <w:lang w:eastAsia="en-US"/>
    </w:rPr>
  </w:style>
  <w:style w:type="paragraph" w:customStyle="1" w:styleId="B3">
    <w:name w:val="B3"/>
    <w:basedOn w:val="List3"/>
    <w:rsid w:val="00C364E0"/>
    <w:pPr>
      <w:spacing w:after="180"/>
      <w:jc w:val="left"/>
    </w:pPr>
    <w:rPr>
      <w:lang w:eastAsia="en-US"/>
    </w:rPr>
  </w:style>
  <w:style w:type="paragraph" w:customStyle="1" w:styleId="B4">
    <w:name w:val="B4"/>
    <w:basedOn w:val="List4"/>
    <w:rsid w:val="00C364E0"/>
    <w:pPr>
      <w:spacing w:after="180"/>
      <w:jc w:val="left"/>
    </w:pPr>
    <w:rPr>
      <w:lang w:eastAsia="en-US"/>
    </w:rPr>
  </w:style>
  <w:style w:type="paragraph" w:customStyle="1" w:styleId="Proposal">
    <w:name w:val="Proposal"/>
    <w:basedOn w:val="Normal"/>
    <w:rsid w:val="00C364E0"/>
    <w:pPr>
      <w:numPr>
        <w:numId w:val="3"/>
      </w:numPr>
      <w:tabs>
        <w:tab w:val="clear" w:pos="1304"/>
        <w:tab w:val="left" w:pos="1701"/>
      </w:tabs>
      <w:ind w:left="1701" w:hanging="1701"/>
    </w:pPr>
    <w:rPr>
      <w:b/>
      <w:bCs/>
    </w:rPr>
  </w:style>
  <w:style w:type="character" w:customStyle="1" w:styleId="BodyTextChar">
    <w:name w:val="Body Text Char"/>
    <w:link w:val="BodyText"/>
    <w:rsid w:val="00C364E0"/>
    <w:rPr>
      <w:rFonts w:ascii="Arial" w:hAnsi="Arial"/>
      <w:lang w:val="en-GB" w:eastAsia="zh-CN"/>
    </w:rPr>
  </w:style>
  <w:style w:type="paragraph" w:customStyle="1" w:styleId="B5">
    <w:name w:val="B5"/>
    <w:basedOn w:val="List5"/>
    <w:rsid w:val="00C364E0"/>
    <w:pPr>
      <w:spacing w:after="180"/>
      <w:jc w:val="left"/>
    </w:pPr>
    <w:rPr>
      <w:lang w:eastAsia="en-US"/>
    </w:rPr>
  </w:style>
  <w:style w:type="paragraph" w:customStyle="1" w:styleId="EX">
    <w:name w:val="EX"/>
    <w:basedOn w:val="Normal"/>
    <w:rsid w:val="00C364E0"/>
    <w:pPr>
      <w:keepLines/>
      <w:spacing w:after="180"/>
      <w:ind w:left="1702" w:hanging="1418"/>
      <w:jc w:val="left"/>
    </w:pPr>
    <w:rPr>
      <w:lang w:eastAsia="en-US"/>
    </w:rPr>
  </w:style>
  <w:style w:type="paragraph" w:customStyle="1" w:styleId="EW">
    <w:name w:val="EW"/>
    <w:basedOn w:val="EX"/>
    <w:rsid w:val="00C364E0"/>
    <w:pPr>
      <w:spacing w:after="0"/>
    </w:pPr>
  </w:style>
  <w:style w:type="paragraph" w:customStyle="1" w:styleId="TAL">
    <w:name w:val="TAL"/>
    <w:basedOn w:val="Normal"/>
    <w:link w:val="TALCar"/>
    <w:rsid w:val="00C364E0"/>
    <w:pPr>
      <w:keepNext/>
      <w:keepLines/>
      <w:spacing w:after="0"/>
      <w:jc w:val="left"/>
    </w:pPr>
    <w:rPr>
      <w:sz w:val="18"/>
      <w:lang w:eastAsia="en-US"/>
    </w:rPr>
  </w:style>
  <w:style w:type="paragraph" w:customStyle="1" w:styleId="TAC">
    <w:name w:val="TAC"/>
    <w:basedOn w:val="TAL"/>
    <w:rsid w:val="00C364E0"/>
    <w:pPr>
      <w:jc w:val="center"/>
    </w:pPr>
  </w:style>
  <w:style w:type="paragraph" w:customStyle="1" w:styleId="TAH">
    <w:name w:val="TAH"/>
    <w:basedOn w:val="TAC"/>
    <w:link w:val="TAHCar"/>
    <w:rsid w:val="00C364E0"/>
    <w:rPr>
      <w:b/>
    </w:rPr>
  </w:style>
  <w:style w:type="paragraph" w:customStyle="1" w:styleId="TAN">
    <w:name w:val="TAN"/>
    <w:basedOn w:val="TAL"/>
    <w:rsid w:val="00C364E0"/>
    <w:pPr>
      <w:ind w:left="851" w:hanging="851"/>
    </w:pPr>
  </w:style>
  <w:style w:type="paragraph" w:customStyle="1" w:styleId="TAR">
    <w:name w:val="TAR"/>
    <w:basedOn w:val="TAL"/>
    <w:rsid w:val="00C364E0"/>
    <w:pPr>
      <w:jc w:val="right"/>
    </w:pPr>
  </w:style>
  <w:style w:type="paragraph" w:customStyle="1" w:styleId="TH">
    <w:name w:val="TH"/>
    <w:basedOn w:val="Normal"/>
    <w:link w:val="THChar"/>
    <w:rsid w:val="00C364E0"/>
    <w:pPr>
      <w:keepNext/>
      <w:keepLines/>
      <w:spacing w:before="60" w:after="180"/>
      <w:jc w:val="center"/>
    </w:pPr>
    <w:rPr>
      <w:b/>
      <w:lang w:eastAsia="en-US"/>
    </w:rPr>
  </w:style>
  <w:style w:type="paragraph" w:customStyle="1" w:styleId="TF">
    <w:name w:val="TF"/>
    <w:basedOn w:val="TH"/>
    <w:link w:val="TFChar"/>
    <w:rsid w:val="00C364E0"/>
    <w:pPr>
      <w:keepNext w:val="0"/>
      <w:spacing w:before="0" w:after="240"/>
    </w:pPr>
  </w:style>
  <w:style w:type="paragraph" w:customStyle="1" w:styleId="TT">
    <w:name w:val="TT"/>
    <w:basedOn w:val="Heading1"/>
    <w:next w:val="Normal"/>
    <w:rsid w:val="00C364E0"/>
    <w:pPr>
      <w:numPr>
        <w:numId w:val="0"/>
      </w:numPr>
      <w:ind w:left="1134" w:hanging="1134"/>
      <w:outlineLvl w:val="9"/>
    </w:pPr>
    <w:rPr>
      <w:rFonts w:cs="Times New Roman"/>
      <w:szCs w:val="20"/>
      <w:lang w:eastAsia="en-US"/>
    </w:rPr>
  </w:style>
  <w:style w:type="paragraph" w:customStyle="1" w:styleId="ZA">
    <w:name w:val="ZA"/>
    <w:rsid w:val="00C364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64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64E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364E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364E0"/>
  </w:style>
  <w:style w:type="paragraph" w:customStyle="1" w:styleId="ZH">
    <w:name w:val="ZH"/>
    <w:rsid w:val="00C364E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364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364E0"/>
    <w:pPr>
      <w:framePr w:hRule="auto" w:wrap="notBeside" w:y="852"/>
    </w:pPr>
    <w:rPr>
      <w:i w:val="0"/>
      <w:sz w:val="40"/>
    </w:rPr>
  </w:style>
  <w:style w:type="paragraph" w:customStyle="1" w:styleId="ZU">
    <w:name w:val="ZU"/>
    <w:rsid w:val="00C364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64E0"/>
    <w:pPr>
      <w:framePr w:wrap="notBeside" w:y="16161"/>
    </w:pPr>
  </w:style>
  <w:style w:type="paragraph" w:customStyle="1" w:styleId="FP">
    <w:name w:val="FP"/>
    <w:basedOn w:val="Normal"/>
    <w:rsid w:val="00C364E0"/>
    <w:pPr>
      <w:spacing w:after="0"/>
      <w:jc w:val="left"/>
    </w:pPr>
    <w:rPr>
      <w:lang w:eastAsia="en-US"/>
    </w:rPr>
  </w:style>
  <w:style w:type="paragraph" w:customStyle="1" w:styleId="Observation">
    <w:name w:val="Observation"/>
    <w:basedOn w:val="Proposal"/>
    <w:qFormat/>
    <w:rsid w:val="00C364E0"/>
    <w:pPr>
      <w:numPr>
        <w:numId w:val="13"/>
      </w:numPr>
      <w:ind w:left="1701" w:hanging="1701"/>
    </w:pPr>
  </w:style>
  <w:style w:type="paragraph" w:styleId="TableofFigures">
    <w:name w:val="table of figures"/>
    <w:basedOn w:val="Normal"/>
    <w:next w:val="Normal"/>
    <w:uiPriority w:val="99"/>
    <w:rsid w:val="00C364E0"/>
    <w:pPr>
      <w:ind w:left="1418" w:hanging="1418"/>
      <w:jc w:val="left"/>
    </w:pPr>
    <w:rPr>
      <w:b/>
    </w:rPr>
  </w:style>
  <w:style w:type="paragraph" w:customStyle="1" w:styleId="Doc-text2">
    <w:name w:val="Doc-text2"/>
    <w:basedOn w:val="Normal"/>
    <w:link w:val="Doc-text2Char"/>
    <w:qFormat/>
    <w:rsid w:val="00C364E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364E0"/>
    <w:rPr>
      <w:rFonts w:ascii="Arial" w:eastAsia="MS Mincho" w:hAnsi="Arial"/>
      <w:szCs w:val="24"/>
      <w:lang w:val="en-GB" w:eastAsia="en-GB"/>
    </w:rPr>
  </w:style>
  <w:style w:type="character" w:customStyle="1" w:styleId="TALCar">
    <w:name w:val="TAL Car"/>
    <w:link w:val="TAL"/>
    <w:qFormat/>
    <w:rsid w:val="007728BA"/>
    <w:rPr>
      <w:rFonts w:ascii="Arial" w:hAnsi="Arial"/>
      <w:sz w:val="18"/>
      <w:lang w:val="en-GB"/>
    </w:rPr>
  </w:style>
  <w:style w:type="character" w:customStyle="1" w:styleId="TFChar">
    <w:name w:val="TF Char"/>
    <w:link w:val="TF"/>
    <w:rsid w:val="007728BA"/>
    <w:rPr>
      <w:rFonts w:ascii="Arial" w:hAnsi="Arial"/>
      <w:b/>
      <w:lang w:val="en-GB"/>
    </w:rPr>
  </w:style>
  <w:style w:type="character" w:customStyle="1" w:styleId="TAHCar">
    <w:name w:val="TAH Car"/>
    <w:link w:val="TAH"/>
    <w:qFormat/>
    <w:locked/>
    <w:rsid w:val="006A5D41"/>
    <w:rPr>
      <w:rFonts w:ascii="Arial" w:hAnsi="Arial"/>
      <w:b/>
      <w:sz w:val="18"/>
      <w:lang w:val="en-GB"/>
    </w:rPr>
  </w:style>
  <w:style w:type="character" w:customStyle="1" w:styleId="THChar">
    <w:name w:val="TH Char"/>
    <w:link w:val="TH"/>
    <w:qFormat/>
    <w:rsid w:val="006A5D41"/>
    <w:rPr>
      <w:rFonts w:ascii="Arial" w:hAnsi="Arial"/>
      <w:b/>
      <w:lang w:val="en-GB"/>
    </w:rPr>
  </w:style>
  <w:style w:type="character" w:styleId="UnresolvedMention">
    <w:name w:val="Unresolved Mention"/>
    <w:basedOn w:val="DefaultParagraphFont"/>
    <w:uiPriority w:val="99"/>
    <w:semiHidden/>
    <w:unhideWhenUsed/>
    <w:rsid w:val="00C364E0"/>
    <w:rPr>
      <w:color w:val="808080"/>
      <w:shd w:val="clear" w:color="auto" w:fill="E6E6E6"/>
    </w:rPr>
  </w:style>
  <w:style w:type="paragraph" w:customStyle="1" w:styleId="CRCoverPage">
    <w:name w:val="CR Cover Page"/>
    <w:link w:val="CRCoverPageZchn"/>
    <w:qFormat/>
    <w:rsid w:val="004E7EBC"/>
    <w:pPr>
      <w:spacing w:after="120"/>
    </w:pPr>
    <w:rPr>
      <w:rFonts w:ascii="Arial" w:hAnsi="Arial"/>
      <w:lang w:val="en-GB" w:eastAsia="ko-KR"/>
    </w:rPr>
  </w:style>
  <w:style w:type="character" w:customStyle="1" w:styleId="CRCoverPageZchn">
    <w:name w:val="CR Cover Page Zchn"/>
    <w:link w:val="CRCoverPage"/>
    <w:rsid w:val="004E7EBC"/>
    <w:rPr>
      <w:rFonts w:ascii="Arial" w:hAnsi="Arial"/>
      <w:lang w:val="en-GB" w:eastAsia="ko-KR"/>
    </w:rPr>
  </w:style>
  <w:style w:type="character" w:customStyle="1" w:styleId="B1Char1">
    <w:name w:val="B1 Char1"/>
    <w:link w:val="B1"/>
    <w:qFormat/>
    <w:rsid w:val="00162517"/>
    <w:rPr>
      <w:rFonts w:ascii="Arial" w:hAnsi="Arial"/>
      <w:lang w:val="en-GB"/>
    </w:rPr>
  </w:style>
  <w:style w:type="paragraph" w:customStyle="1" w:styleId="PL">
    <w:name w:val="PL"/>
    <w:link w:val="PLChar"/>
    <w:qFormat/>
    <w:rsid w:val="00F03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03D77"/>
    <w:rPr>
      <w:rFonts w:ascii="Courier New" w:hAnsi="Courier New"/>
      <w:noProof/>
      <w:sz w:val="16"/>
    </w:rPr>
  </w:style>
  <w:style w:type="character" w:customStyle="1" w:styleId="EditorsNoteChar">
    <w:name w:val="Editor's Note Char"/>
    <w:aliases w:val="EN Char"/>
    <w:link w:val="EditorsNote"/>
    <w:rsid w:val="0097723B"/>
    <w:rPr>
      <w:rFonts w:ascii="Arial"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3205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AN2_102-AH_Montreal/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5NUHHDQN7SK2-1476151046-34875</_dlc_DocId>
    <_dlc_DocIdUrl xmlns="f166a696-7b5b-4ccd-9f0c-ffde0cceec81">
      <Url>https://ericsson.sharepoint.com/sites/star/_layouts/15/DocIdRedir.aspx?ID=5NUHHDQN7SK2-1476151046-34875</Url>
      <Description>5NUHHDQN7SK2-1476151046-34875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D5E9CA5B-7E48-4EBB-94BB-E913711129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F95D044E-DEF4-44A0-9715-94CD62B64AD4}">
  <ds:schemaRefs>
    <ds:schemaRef ds:uri="http://purl.org/dc/terms/"/>
    <ds:schemaRef ds:uri="http://purl.org/dc/elements/1.1/"/>
    <ds:schemaRef ds:uri="http://purl.org/dc/dcmitype/"/>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611109f9-ed58-4498-a270-1fb2086a5321"/>
    <ds:schemaRef ds:uri="http://schemas.microsoft.com/sharepoint/v4"/>
    <ds:schemaRef ds:uri="f166a696-7b5b-4ccd-9f0c-ffde0cceec81"/>
    <ds:schemaRef ds:uri="d8762117-8292-4133-b1c7-eab5c6487cfd"/>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7.xml><?xml version="1.0" encoding="utf-8"?>
<ds:datastoreItem xmlns:ds="http://schemas.openxmlformats.org/officeDocument/2006/customXml" ds:itemID="{A8F602B5-E0C0-324E-826A-7D6C213EE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R2-180xxxx%20-%20Contribution%20Template.dotx</Template>
  <TotalTime>9</TotalTime>
  <Pages>4</Pages>
  <Words>1407</Words>
  <Characters>7486</Characters>
  <Application>Microsoft Office Word</Application>
  <DocSecurity>0</DocSecurity>
  <Lines>374</Lines>
  <Paragraphs>228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Ericsson; TDoc; 3GPP</cp:keywords>
  <cp:lastModifiedBy>Ericsson</cp:lastModifiedBy>
  <cp:revision>2</cp:revision>
  <cp:lastPrinted>2008-01-31T16:09:00Z</cp:lastPrinted>
  <dcterms:created xsi:type="dcterms:W3CDTF">2018-11-01T17:53:00Z</dcterms:created>
  <dcterms:modified xsi:type="dcterms:W3CDTF">2018-11-01T17:53:00Z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3679f095-a291-4441-9478-c5189b0f8746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