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0BD5EB1"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6107">
        <w:rPr>
          <w:bCs/>
          <w:noProof w:val="0"/>
          <w:sz w:val="24"/>
          <w:szCs w:val="24"/>
        </w:rPr>
        <w:t>4</w:t>
      </w:r>
      <w:r w:rsidR="00CD4C7B" w:rsidRPr="00B266B0">
        <w:rPr>
          <w:bCs/>
          <w:noProof w:val="0"/>
          <w:sz w:val="24"/>
          <w:szCs w:val="24"/>
        </w:rPr>
        <w:tab/>
      </w:r>
      <w:r w:rsidR="00466107" w:rsidRPr="00466107">
        <w:rPr>
          <w:bCs/>
          <w:noProof w:val="0"/>
          <w:sz w:val="24"/>
          <w:szCs w:val="24"/>
        </w:rPr>
        <w:t>R2-1817042</w:t>
      </w:r>
    </w:p>
    <w:p w14:paraId="231362B2" w14:textId="0719E7CB" w:rsidR="00CD4C7B" w:rsidRPr="00B266B0" w:rsidRDefault="00466107" w:rsidP="00CD4C7B">
      <w:pPr>
        <w:pStyle w:val="Header"/>
        <w:tabs>
          <w:tab w:val="right" w:pos="9639"/>
        </w:tabs>
        <w:rPr>
          <w:bCs/>
          <w:noProof w:val="0"/>
          <w:sz w:val="24"/>
          <w:szCs w:val="24"/>
        </w:rPr>
      </w:pPr>
      <w:r w:rsidRPr="00466107">
        <w:rPr>
          <w:noProof w:val="0"/>
          <w:sz w:val="24"/>
          <w:szCs w:val="24"/>
          <w:lang w:eastAsia="zh-CN"/>
        </w:rPr>
        <w:t>Spokane, USA, 12 - 16 November 2018</w:t>
      </w:r>
      <w:bookmarkStart w:id="0" w:name="_GoBack"/>
      <w:bookmarkEnd w:id="0"/>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758E2B30" w14:textId="4FC7184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014B" w:rsidRPr="0099014B">
        <w:rPr>
          <w:rFonts w:cs="Arial"/>
          <w:b/>
          <w:bCs/>
          <w:sz w:val="24"/>
          <w:lang w:eastAsia="ja-JP"/>
        </w:rPr>
        <w:t>12.2.6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2DD054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124CF">
        <w:rPr>
          <w:rFonts w:ascii="Arial" w:hAnsi="Arial" w:cs="Arial"/>
          <w:b/>
          <w:bCs/>
          <w:sz w:val="24"/>
        </w:rPr>
        <w:t>SON measurements and reporting for NB-IoT</w:t>
      </w:r>
    </w:p>
    <w:p w14:paraId="3AC3A0B1" w14:textId="661D4E2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124CF" w:rsidRPr="00B124CF">
        <w:rPr>
          <w:rFonts w:ascii="Arial" w:hAnsi="Arial" w:cs="Arial"/>
          <w:b/>
          <w:bCs/>
          <w:sz w:val="24"/>
        </w:rPr>
        <w:t>NB_IOTenh3-Core</w:t>
      </w:r>
      <w:r w:rsidR="00FD5A32">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D6412">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6981965" w14:textId="0AF2E957" w:rsidR="00A614A7" w:rsidRDefault="00A614A7" w:rsidP="00F8510A">
      <w:pPr>
        <w:jc w:val="both"/>
      </w:pPr>
      <w:r w:rsidRPr="009F48DA">
        <w:t>3GPP TSG RAN Meeting #80</w:t>
      </w:r>
      <w:r>
        <w:t xml:space="preserve"> has approved a new </w:t>
      </w:r>
      <w:r w:rsidR="00571481">
        <w:rPr>
          <w:rFonts w:hint="eastAsia"/>
          <w:lang w:eastAsia="zh-CN"/>
        </w:rPr>
        <w:t>W</w:t>
      </w:r>
      <w:r w:rsidR="00623B11">
        <w:t>ork</w:t>
      </w:r>
      <w:r w:rsidR="00172C3C">
        <w:t xml:space="preserve"> </w:t>
      </w:r>
      <w:r w:rsidR="00571481">
        <w:t>I</w:t>
      </w:r>
      <w:r w:rsidR="00172C3C">
        <w:t>tem</w:t>
      </w:r>
      <w:r w:rsidR="00623B11">
        <w:t xml:space="preserve"> on “</w:t>
      </w:r>
      <w:r w:rsidR="00623B11" w:rsidRPr="00337B6F">
        <w:t>Rel-16 enhancements for NB-IoT</w:t>
      </w:r>
      <w:r w:rsidR="00623B11">
        <w:t>”</w:t>
      </w:r>
      <w:r w:rsidR="00340A3D">
        <w:t xml:space="preserve"> and following </w:t>
      </w:r>
      <w:r>
        <w:t>objectives</w:t>
      </w:r>
      <w:r w:rsidR="00623B11">
        <w:t xml:space="preserve"> related to SON</w:t>
      </w:r>
      <w:r w:rsidR="00F54922">
        <w:t xml:space="preserve"> reporting</w:t>
      </w:r>
      <w:r>
        <w:t xml:space="preserve"> </w:t>
      </w:r>
      <w:r w:rsidR="00340A3D">
        <w:t xml:space="preserve">are included in the </w:t>
      </w:r>
      <w:r w:rsidR="00571481">
        <w:t>W</w:t>
      </w:r>
      <w:r w:rsidR="00340A3D">
        <w:t>ID</w:t>
      </w:r>
      <w:r>
        <w:t>:</w:t>
      </w:r>
    </w:p>
    <w:tbl>
      <w:tblPr>
        <w:tblStyle w:val="TableGrid"/>
        <w:tblW w:w="0" w:type="auto"/>
        <w:tblLook w:val="04A0" w:firstRow="1" w:lastRow="0" w:firstColumn="1" w:lastColumn="0" w:noHBand="0" w:noVBand="1"/>
      </w:tblPr>
      <w:tblGrid>
        <w:gridCol w:w="9631"/>
      </w:tblGrid>
      <w:tr w:rsidR="00A614A7" w14:paraId="6075EAB3" w14:textId="77777777" w:rsidTr="00A614A7">
        <w:tc>
          <w:tcPr>
            <w:tcW w:w="9631" w:type="dxa"/>
          </w:tcPr>
          <w:p w14:paraId="4893B3CE" w14:textId="77777777" w:rsidR="00623B11" w:rsidRPr="00BE6C0C" w:rsidRDefault="00623B11" w:rsidP="00623B11">
            <w:pPr>
              <w:spacing w:after="0"/>
              <w:rPr>
                <w:b/>
                <w:bCs/>
              </w:rPr>
            </w:pPr>
            <w:r w:rsidRPr="00BE6C0C">
              <w:rPr>
                <w:b/>
                <w:bCs/>
              </w:rPr>
              <w:t>Network management tool enhancement:</w:t>
            </w:r>
          </w:p>
          <w:p w14:paraId="6565BA94" w14:textId="77777777" w:rsidR="00623B11" w:rsidRPr="00BE6C0C" w:rsidRDefault="00623B11" w:rsidP="00623B11">
            <w:pPr>
              <w:numPr>
                <w:ilvl w:val="0"/>
                <w:numId w:val="12"/>
              </w:numPr>
              <w:overflowPunct w:val="0"/>
              <w:autoSpaceDE w:val="0"/>
              <w:autoSpaceDN w:val="0"/>
              <w:adjustRightInd w:val="0"/>
              <w:spacing w:after="0"/>
              <w:textAlignment w:val="baseline"/>
              <w:rPr>
                <w:bCs/>
              </w:rPr>
            </w:pPr>
            <w:r w:rsidRPr="00BE6C0C">
              <w:rPr>
                <w:bCs/>
              </w:rPr>
              <w:t>SON support for reporting of [RAN2, RAN3]</w:t>
            </w:r>
          </w:p>
          <w:p w14:paraId="0AB3AA51" w14:textId="77777777" w:rsidR="00623B11" w:rsidRPr="00BE6C0C" w:rsidRDefault="00623B11" w:rsidP="00623B11">
            <w:pPr>
              <w:numPr>
                <w:ilvl w:val="1"/>
                <w:numId w:val="12"/>
              </w:numPr>
              <w:overflowPunct w:val="0"/>
              <w:autoSpaceDE w:val="0"/>
              <w:autoSpaceDN w:val="0"/>
              <w:adjustRightInd w:val="0"/>
              <w:spacing w:after="0"/>
              <w:textAlignment w:val="baseline"/>
              <w:rPr>
                <w:bCs/>
              </w:rPr>
            </w:pPr>
            <w:r w:rsidRPr="00BE6C0C">
              <w:rPr>
                <w:bCs/>
              </w:rPr>
              <w:t>Cell Global Identity and strongest measured cell(s) (ANR)</w:t>
            </w:r>
          </w:p>
          <w:p w14:paraId="2999A424" w14:textId="77777777" w:rsidR="00623B11" w:rsidRPr="00BE6C0C" w:rsidRDefault="00623B11" w:rsidP="00623B11">
            <w:pPr>
              <w:numPr>
                <w:ilvl w:val="1"/>
                <w:numId w:val="12"/>
              </w:numPr>
              <w:overflowPunct w:val="0"/>
              <w:autoSpaceDE w:val="0"/>
              <w:autoSpaceDN w:val="0"/>
              <w:adjustRightInd w:val="0"/>
              <w:spacing w:after="0"/>
              <w:textAlignment w:val="baseline"/>
              <w:rPr>
                <w:bCs/>
              </w:rPr>
            </w:pPr>
            <w:r w:rsidRPr="00BE6C0C">
              <w:rPr>
                <w:bCs/>
              </w:rPr>
              <w:t>Random access performance</w:t>
            </w:r>
          </w:p>
          <w:p w14:paraId="063AD432" w14:textId="77777777" w:rsidR="00623B11" w:rsidRPr="00BE6C0C" w:rsidRDefault="00623B11" w:rsidP="00623B11">
            <w:pPr>
              <w:numPr>
                <w:ilvl w:val="1"/>
                <w:numId w:val="12"/>
              </w:numPr>
              <w:overflowPunct w:val="0"/>
              <w:autoSpaceDE w:val="0"/>
              <w:autoSpaceDN w:val="0"/>
              <w:adjustRightInd w:val="0"/>
              <w:spacing w:after="0"/>
              <w:textAlignment w:val="baseline"/>
              <w:rPr>
                <w:bCs/>
              </w:rPr>
            </w:pPr>
            <w:r w:rsidRPr="00BE6C0C">
              <w:rPr>
                <w:bCs/>
              </w:rPr>
              <w:t>Radio link failure (RLF), if needed</w:t>
            </w:r>
          </w:p>
          <w:p w14:paraId="7096B3A0" w14:textId="4E65D8C2" w:rsidR="00A614A7" w:rsidRPr="00623B11" w:rsidRDefault="00A614A7" w:rsidP="00340A3D">
            <w:pPr>
              <w:pStyle w:val="ListParagraph"/>
              <w:ind w:left="720" w:firstLine="0"/>
              <w:rPr>
                <w:rFonts w:ascii="Times New Roman" w:hAnsi="Times New Roman"/>
                <w:sz w:val="20"/>
                <w:szCs w:val="20"/>
                <w:lang w:val="en-GB"/>
              </w:rPr>
            </w:pPr>
          </w:p>
        </w:tc>
      </w:tr>
    </w:tbl>
    <w:p w14:paraId="0BBDFC0A" w14:textId="53749B2B" w:rsidR="00CD4C7B" w:rsidRPr="00E20827" w:rsidRDefault="00E20827" w:rsidP="00340A3D">
      <w:pPr>
        <w:jc w:val="both"/>
      </w:pPr>
      <w:r>
        <w:br/>
      </w:r>
      <w:r w:rsidR="0074145E">
        <w:t xml:space="preserve">This </w:t>
      </w:r>
      <w:r w:rsidR="00340A3D">
        <w:t>contribution</w:t>
      </w:r>
      <w:r w:rsidR="0074145E">
        <w:t xml:space="preserve"> provides </w:t>
      </w:r>
      <w:r w:rsidR="00F75D29">
        <w:t>our</w:t>
      </w:r>
      <w:r w:rsidR="00EF4C2D">
        <w:t xml:space="preserve"> </w:t>
      </w:r>
      <w:r w:rsidR="00F75D29">
        <w:t>views</w:t>
      </w:r>
      <w:r w:rsidR="0074145E">
        <w:t xml:space="preserve"> on </w:t>
      </w:r>
      <w:r w:rsidR="00EF4C2D">
        <w:t>this</w:t>
      </w:r>
      <w:r w:rsidR="00F855A6">
        <w:t xml:space="preserve"> </w:t>
      </w:r>
      <w:r w:rsidR="00B20A52">
        <w:t>topic</w:t>
      </w:r>
      <w:r w:rsidR="00EF4C2D">
        <w:t xml:space="preserve"> as this is the first time to introduce SON functions to NB-IoT</w:t>
      </w:r>
      <w:r w:rsidR="009511CB">
        <w:t>.</w:t>
      </w:r>
    </w:p>
    <w:p w14:paraId="5FF0E443" w14:textId="2AB78511" w:rsidR="00CD4C7B" w:rsidRPr="006E13D1" w:rsidRDefault="000445B5" w:rsidP="00CD4C7B">
      <w:pPr>
        <w:pStyle w:val="Heading1"/>
      </w:pPr>
      <w:r>
        <w:t>2</w:t>
      </w:r>
      <w:r w:rsidR="00CD4C7B" w:rsidRPr="006E13D1">
        <w:tab/>
      </w:r>
      <w:r>
        <w:t>Discussion</w:t>
      </w:r>
    </w:p>
    <w:p w14:paraId="15835DD8" w14:textId="19573908" w:rsidR="00EF4C2D" w:rsidRDefault="001B1FCA" w:rsidP="00EF4C2D">
      <w:r>
        <w:t>Since Rel-9, LTE has introduced SON functions for operators to</w:t>
      </w:r>
      <w:r w:rsidR="00FE6100">
        <w:t xml:space="preserve"> be able to</w:t>
      </w:r>
      <w:r>
        <w:t xml:space="preserve"> manage network </w:t>
      </w:r>
      <w:r w:rsidR="00FE6100">
        <w:t>configurations</w:t>
      </w:r>
      <w:r>
        <w:t xml:space="preserve"> based on SON report from </w:t>
      </w:r>
      <w:r w:rsidR="00FE6100">
        <w:t>a lot of UEs, and later in Rel-10, logged MDT was introduced for network to receive logged measurements from idle mode UEs.</w:t>
      </w:r>
      <w:r>
        <w:t xml:space="preserve"> </w:t>
      </w:r>
      <w:r w:rsidR="00FE6100">
        <w:t>When it comes to NB-IoT networks, those functions developed for LTE may need to be revisited case by case.</w:t>
      </w:r>
    </w:p>
    <w:p w14:paraId="4233A6D9" w14:textId="64C95FA8" w:rsidR="00FE6100" w:rsidRPr="00520BB2" w:rsidRDefault="00FE6100" w:rsidP="00520BB2">
      <w:pPr>
        <w:rPr>
          <w:b/>
          <w:u w:val="single"/>
        </w:rPr>
      </w:pPr>
      <w:r w:rsidRPr="00520BB2">
        <w:rPr>
          <w:b/>
          <w:u w:val="single"/>
        </w:rPr>
        <w:t>C</w:t>
      </w:r>
      <w:r w:rsidRPr="00520BB2">
        <w:rPr>
          <w:rFonts w:hint="eastAsia"/>
          <w:b/>
          <w:u w:val="single"/>
        </w:rPr>
        <w:t>ell</w:t>
      </w:r>
      <w:r w:rsidRPr="00520BB2">
        <w:rPr>
          <w:b/>
          <w:u w:val="single"/>
        </w:rPr>
        <w:t xml:space="preserve"> Global Identity and strongest measured cell(s) (ANR)</w:t>
      </w:r>
    </w:p>
    <w:p w14:paraId="1C678D2B" w14:textId="4902B79D" w:rsidR="00B26D79" w:rsidRDefault="00DF4921" w:rsidP="00B26D79">
      <w:pPr>
        <w:rPr>
          <w:lang w:eastAsia="zh-CN"/>
        </w:rPr>
      </w:pPr>
      <w:r>
        <w:rPr>
          <w:lang w:eastAsia="zh-CN"/>
        </w:rPr>
        <w:t xml:space="preserve">In LTE, </w:t>
      </w:r>
      <w:r w:rsidR="00B26D79">
        <w:rPr>
          <w:rFonts w:hint="eastAsia"/>
          <w:lang w:eastAsia="zh-CN"/>
        </w:rPr>
        <w:t xml:space="preserve">ANR function </w:t>
      </w:r>
      <w:r>
        <w:rPr>
          <w:lang w:eastAsia="zh-CN"/>
        </w:rPr>
        <w:t>is to build the neighbour relationship table for</w:t>
      </w:r>
      <w:r w:rsidRPr="00B26D79">
        <w:rPr>
          <w:lang w:eastAsia="zh-CN"/>
        </w:rPr>
        <w:t xml:space="preserve"> each neighbouring</w:t>
      </w:r>
      <w:r>
        <w:rPr>
          <w:lang w:eastAsia="zh-CN"/>
        </w:rPr>
        <w:t xml:space="preserve"> cell’s</w:t>
      </w:r>
      <w:r w:rsidRPr="00B26D79">
        <w:rPr>
          <w:lang w:eastAsia="zh-CN"/>
        </w:rPr>
        <w:t xml:space="preserve"> PCI and </w:t>
      </w:r>
      <w:r>
        <w:rPr>
          <w:lang w:eastAsia="zh-CN"/>
        </w:rPr>
        <w:t xml:space="preserve">CGI and it </w:t>
      </w:r>
      <w:r w:rsidR="00B26D79" w:rsidRPr="00B26D79">
        <w:rPr>
          <w:lang w:eastAsia="zh-CN"/>
        </w:rPr>
        <w:t xml:space="preserve">works based on connected mode UE measurements reporting the PCIs followed by UE reporting the </w:t>
      </w:r>
      <w:r>
        <w:rPr>
          <w:lang w:eastAsia="zh-CN"/>
        </w:rPr>
        <w:t>CGI</w:t>
      </w:r>
      <w:r w:rsidR="00B26D79" w:rsidRPr="00B26D79">
        <w:rPr>
          <w:lang w:eastAsia="zh-CN"/>
        </w:rPr>
        <w:t xml:space="preserve"> of selected PCI. Once the table is created</w:t>
      </w:r>
      <w:r>
        <w:rPr>
          <w:lang w:eastAsia="zh-CN"/>
        </w:rPr>
        <w:t>,</w:t>
      </w:r>
      <w:r w:rsidR="00B26D79" w:rsidRPr="00B26D79">
        <w:rPr>
          <w:lang w:eastAsia="zh-CN"/>
        </w:rPr>
        <w:t xml:space="preserve"> </w:t>
      </w:r>
      <w:r>
        <w:rPr>
          <w:lang w:eastAsia="zh-CN"/>
        </w:rPr>
        <w:t>e</w:t>
      </w:r>
      <w:r w:rsidR="00B26D79" w:rsidRPr="00B26D79">
        <w:rPr>
          <w:lang w:eastAsia="zh-CN"/>
        </w:rPr>
        <w:t>NB</w:t>
      </w:r>
      <w:r>
        <w:rPr>
          <w:lang w:eastAsia="zh-CN"/>
        </w:rPr>
        <w:t xml:space="preserve"> can</w:t>
      </w:r>
      <w:r w:rsidR="00B26D79" w:rsidRPr="00B26D79">
        <w:rPr>
          <w:lang w:eastAsia="zh-CN"/>
        </w:rPr>
        <w:t xml:space="preserve"> refer to the </w:t>
      </w:r>
      <w:r w:rsidR="009636F4">
        <w:rPr>
          <w:lang w:eastAsia="zh-CN"/>
        </w:rPr>
        <w:t xml:space="preserve">CGI mapped to the </w:t>
      </w:r>
      <w:r w:rsidR="00B26D79" w:rsidRPr="00B26D79">
        <w:rPr>
          <w:lang w:eastAsia="zh-CN"/>
        </w:rPr>
        <w:t xml:space="preserve">PCI for </w:t>
      </w:r>
      <w:r>
        <w:rPr>
          <w:lang w:eastAsia="zh-CN"/>
        </w:rPr>
        <w:t>handover preparation towards the target cell</w:t>
      </w:r>
      <w:r w:rsidR="00B26D79" w:rsidRPr="00B26D79">
        <w:rPr>
          <w:lang w:eastAsia="zh-CN"/>
        </w:rPr>
        <w:t>.</w:t>
      </w:r>
      <w:r w:rsidR="002E4389">
        <w:rPr>
          <w:lang w:eastAsia="zh-CN"/>
        </w:rPr>
        <w:t xml:space="preserve"> For NB-IoT, since connected mode UE measurements and handover are not supported, ANR function seems not so needed. </w:t>
      </w:r>
      <w:r w:rsidR="00A5742F">
        <w:rPr>
          <w:lang w:eastAsia="zh-CN"/>
        </w:rPr>
        <w:t xml:space="preserve">However, NB-IoT </w:t>
      </w:r>
      <w:r w:rsidR="009636F4">
        <w:rPr>
          <w:lang w:eastAsia="zh-CN"/>
        </w:rPr>
        <w:t>still supports connection re-establishment procedure where UE indicates the source cell’s PCI in the re-establishment request message. In case the target cell is not aware of the source cell’s CGI, context fetch will fail. If NB-IoT UE can read the strongest cell’s CGI information, e.g. in idle mode, and report to the network when connection is available (like reporting serving cell measurement in Msg3 or Msg5), then such ANR function would be beneficial for NB-IoT networks.</w:t>
      </w:r>
    </w:p>
    <w:p w14:paraId="76D2FCB0" w14:textId="68967AD6" w:rsidR="009636F4" w:rsidRPr="00A6007F" w:rsidRDefault="009636F4" w:rsidP="00B26D79">
      <w:pPr>
        <w:rPr>
          <w:b/>
          <w:lang w:eastAsia="zh-CN"/>
        </w:rPr>
      </w:pPr>
      <w:r w:rsidRPr="00A6007F">
        <w:rPr>
          <w:b/>
          <w:lang w:eastAsia="zh-CN"/>
        </w:rPr>
        <w:t xml:space="preserve">Proposal 1: ANR function for NB-IoT is supported by </w:t>
      </w:r>
      <w:r w:rsidR="006A06BE" w:rsidRPr="00A6007F">
        <w:rPr>
          <w:b/>
          <w:lang w:eastAsia="zh-CN"/>
        </w:rPr>
        <w:t xml:space="preserve">configuring UEs to </w:t>
      </w:r>
      <w:r w:rsidRPr="00A6007F">
        <w:rPr>
          <w:b/>
          <w:lang w:eastAsia="zh-CN"/>
        </w:rPr>
        <w:t>read</w:t>
      </w:r>
      <w:r w:rsidR="006A06BE" w:rsidRPr="00A6007F">
        <w:rPr>
          <w:b/>
          <w:lang w:eastAsia="zh-CN"/>
        </w:rPr>
        <w:t xml:space="preserve"> CGI of </w:t>
      </w:r>
      <w:r w:rsidRPr="00A6007F">
        <w:rPr>
          <w:b/>
          <w:lang w:eastAsia="zh-CN"/>
        </w:rPr>
        <w:t>the strongest cell</w:t>
      </w:r>
      <w:r w:rsidR="006A06BE" w:rsidRPr="00A6007F">
        <w:rPr>
          <w:b/>
          <w:lang w:eastAsia="zh-CN"/>
        </w:rPr>
        <w:t xml:space="preserve"> in idle mode</w:t>
      </w:r>
      <w:r w:rsidRPr="00A6007F">
        <w:rPr>
          <w:b/>
          <w:lang w:eastAsia="zh-CN"/>
        </w:rPr>
        <w:t xml:space="preserve"> and report</w:t>
      </w:r>
      <w:r w:rsidR="006A06BE" w:rsidRPr="00A6007F">
        <w:rPr>
          <w:b/>
          <w:lang w:eastAsia="zh-CN"/>
        </w:rPr>
        <w:t xml:space="preserve"> </w:t>
      </w:r>
      <w:r w:rsidRPr="00A6007F">
        <w:rPr>
          <w:b/>
          <w:lang w:eastAsia="zh-CN"/>
        </w:rPr>
        <w:t>to network</w:t>
      </w:r>
      <w:r w:rsidR="006A06BE" w:rsidRPr="00A6007F">
        <w:rPr>
          <w:b/>
          <w:lang w:eastAsia="zh-CN"/>
        </w:rPr>
        <w:t xml:space="preserve"> when connection is available.</w:t>
      </w:r>
    </w:p>
    <w:p w14:paraId="19BAF772" w14:textId="45008484" w:rsidR="00B26D79" w:rsidRPr="00520BB2" w:rsidRDefault="00740019" w:rsidP="00520BB2">
      <w:pPr>
        <w:rPr>
          <w:b/>
          <w:u w:val="single"/>
        </w:rPr>
      </w:pPr>
      <w:r w:rsidRPr="00520BB2">
        <w:rPr>
          <w:b/>
          <w:u w:val="single"/>
        </w:rPr>
        <w:t>Random access performance</w:t>
      </w:r>
    </w:p>
    <w:p w14:paraId="30BBE6BB" w14:textId="27FFEE2A" w:rsidR="00875DB1" w:rsidRDefault="009E57EF" w:rsidP="00740019">
      <w:pPr>
        <w:rPr>
          <w:lang w:eastAsia="zh-CN"/>
        </w:rPr>
      </w:pPr>
      <w:r>
        <w:rPr>
          <w:lang w:eastAsia="zh-CN"/>
        </w:rPr>
        <w:t xml:space="preserve">Reporting </w:t>
      </w:r>
      <w:r>
        <w:rPr>
          <w:rFonts w:hint="eastAsia"/>
          <w:lang w:eastAsia="zh-CN"/>
        </w:rPr>
        <w:t>RA perf</w:t>
      </w:r>
      <w:r>
        <w:rPr>
          <w:lang w:eastAsia="zh-CN"/>
        </w:rPr>
        <w:t xml:space="preserve">ormance can help network to have a clearer view of RA’s load/contention situation and better manage the RA resources. </w:t>
      </w:r>
      <w:r w:rsidR="001649C1">
        <w:rPr>
          <w:lang w:eastAsia="zh-CN"/>
        </w:rPr>
        <w:t xml:space="preserve">Since most of the </w:t>
      </w:r>
      <w:r>
        <w:rPr>
          <w:lang w:eastAsia="zh-CN"/>
        </w:rPr>
        <w:t>NB-IoT</w:t>
      </w:r>
      <w:r w:rsidR="001649C1">
        <w:rPr>
          <w:lang w:eastAsia="zh-CN"/>
        </w:rPr>
        <w:t xml:space="preserve"> functions (e.g. connection setup/resume/re-establishment, EDT, SR, etc.) rely on RA procedures</w:t>
      </w:r>
      <w:r>
        <w:rPr>
          <w:lang w:eastAsia="zh-CN"/>
        </w:rPr>
        <w:t>,</w:t>
      </w:r>
      <w:r w:rsidR="001649C1">
        <w:rPr>
          <w:lang w:eastAsia="zh-CN"/>
        </w:rPr>
        <w:t xml:space="preserve"> it is beneficial to have an optimal RA performance. As NB-IoT allows RA on anchor carrier as well as non-anchor carriers</w:t>
      </w:r>
      <w:r w:rsidR="00875DB1">
        <w:rPr>
          <w:lang w:eastAsia="zh-CN"/>
        </w:rPr>
        <w:t xml:space="preserve"> since Rel-14</w:t>
      </w:r>
      <w:r w:rsidR="001649C1">
        <w:rPr>
          <w:lang w:eastAsia="zh-CN"/>
        </w:rPr>
        <w:t xml:space="preserve">, we </w:t>
      </w:r>
      <w:r w:rsidR="00CB4276">
        <w:rPr>
          <w:lang w:eastAsia="zh-CN"/>
        </w:rPr>
        <w:t>think</w:t>
      </w:r>
      <w:r w:rsidR="00875DB1">
        <w:rPr>
          <w:lang w:eastAsia="zh-CN"/>
        </w:rPr>
        <w:t xml:space="preserve"> such carrier information m</w:t>
      </w:r>
      <w:r w:rsidR="00CB4276">
        <w:rPr>
          <w:lang w:eastAsia="zh-CN"/>
        </w:rPr>
        <w:t>ight</w:t>
      </w:r>
      <w:r w:rsidR="00875DB1">
        <w:rPr>
          <w:lang w:eastAsia="zh-CN"/>
        </w:rPr>
        <w:t xml:space="preserve"> be useful </w:t>
      </w:r>
      <w:r w:rsidR="00A97E99">
        <w:rPr>
          <w:lang w:eastAsia="zh-CN"/>
        </w:rPr>
        <w:t xml:space="preserve">to be included in the </w:t>
      </w:r>
      <w:r w:rsidR="00875DB1">
        <w:rPr>
          <w:lang w:eastAsia="zh-CN"/>
        </w:rPr>
        <w:t>RA performance</w:t>
      </w:r>
      <w:r w:rsidR="00A97E99" w:rsidRPr="00A97E99">
        <w:rPr>
          <w:lang w:eastAsia="zh-CN"/>
        </w:rPr>
        <w:t xml:space="preserve"> </w:t>
      </w:r>
      <w:r w:rsidR="00A97E99">
        <w:rPr>
          <w:lang w:eastAsia="zh-CN"/>
        </w:rPr>
        <w:t>reporting so that network can manage RA resources across all carriers</w:t>
      </w:r>
      <w:r w:rsidR="00875DB1">
        <w:rPr>
          <w:lang w:eastAsia="zh-CN"/>
        </w:rPr>
        <w:t>.</w:t>
      </w:r>
    </w:p>
    <w:p w14:paraId="3FE8A275" w14:textId="5FBAD649" w:rsidR="00740019" w:rsidRPr="00875DB1" w:rsidRDefault="00875DB1" w:rsidP="00740019">
      <w:pPr>
        <w:rPr>
          <w:b/>
          <w:lang w:eastAsia="zh-CN"/>
        </w:rPr>
      </w:pPr>
      <w:r w:rsidRPr="00875DB1">
        <w:rPr>
          <w:b/>
          <w:lang w:eastAsia="zh-CN"/>
        </w:rPr>
        <w:t xml:space="preserve">Proposal 2: RA performance reporting is supported by </w:t>
      </w:r>
      <w:r>
        <w:rPr>
          <w:b/>
          <w:lang w:eastAsia="zh-CN"/>
        </w:rPr>
        <w:t>including</w:t>
      </w:r>
      <w:r w:rsidRPr="00875DB1">
        <w:rPr>
          <w:b/>
          <w:lang w:eastAsia="zh-CN"/>
        </w:rPr>
        <w:t xml:space="preserve"> anchor/non-anchor carrier</w:t>
      </w:r>
      <w:r>
        <w:rPr>
          <w:b/>
          <w:lang w:eastAsia="zh-CN"/>
        </w:rPr>
        <w:t xml:space="preserve"> information in the report</w:t>
      </w:r>
      <w:r w:rsidRPr="00875DB1">
        <w:rPr>
          <w:b/>
          <w:lang w:eastAsia="zh-CN"/>
        </w:rPr>
        <w:t xml:space="preserve">. </w:t>
      </w:r>
      <w:r w:rsidR="001649C1" w:rsidRPr="00875DB1">
        <w:rPr>
          <w:b/>
          <w:lang w:eastAsia="zh-CN"/>
        </w:rPr>
        <w:t xml:space="preserve"> </w:t>
      </w:r>
    </w:p>
    <w:p w14:paraId="3CD39DA7" w14:textId="2C53307C" w:rsidR="00740019" w:rsidRPr="00520BB2" w:rsidRDefault="00740019" w:rsidP="00520BB2">
      <w:pPr>
        <w:rPr>
          <w:b/>
          <w:u w:val="single"/>
        </w:rPr>
      </w:pPr>
      <w:r w:rsidRPr="00520BB2">
        <w:rPr>
          <w:b/>
          <w:u w:val="single"/>
        </w:rPr>
        <w:t>Radio link failure (RLF)</w:t>
      </w:r>
    </w:p>
    <w:p w14:paraId="0E77CD6E" w14:textId="749CCA7C" w:rsidR="00875DB1" w:rsidRDefault="00875DB1" w:rsidP="00875DB1">
      <w:pPr>
        <w:rPr>
          <w:lang w:eastAsia="zh-CN"/>
        </w:rPr>
      </w:pPr>
      <w:r>
        <w:rPr>
          <w:lang w:eastAsia="zh-CN"/>
        </w:rPr>
        <w:lastRenderedPageBreak/>
        <w:t>I</w:t>
      </w:r>
      <w:r>
        <w:rPr>
          <w:rFonts w:hint="eastAsia"/>
          <w:lang w:eastAsia="zh-CN"/>
        </w:rPr>
        <w:t xml:space="preserve">n </w:t>
      </w:r>
      <w:r>
        <w:rPr>
          <w:lang w:eastAsia="zh-CN"/>
        </w:rPr>
        <w:t xml:space="preserve">both LTE and NB-IoT networks, RLF will trigger connection re-establishment procedure where target eNB may automatically collect information about the RLF event. However, </w:t>
      </w:r>
      <w:r w:rsidR="00451C17">
        <w:rPr>
          <w:lang w:eastAsia="zh-CN"/>
        </w:rPr>
        <w:t xml:space="preserve">re-establishment may not always succeed, which means such RLF information may be missing in some cases. In addition, </w:t>
      </w:r>
      <w:r>
        <w:rPr>
          <w:lang w:eastAsia="zh-CN"/>
        </w:rPr>
        <w:t xml:space="preserve">with re-establishment procedure as such, network cannot collect </w:t>
      </w:r>
      <w:r w:rsidR="00451C17">
        <w:rPr>
          <w:lang w:eastAsia="zh-CN"/>
        </w:rPr>
        <w:t xml:space="preserve">accurate </w:t>
      </w:r>
      <w:r>
        <w:rPr>
          <w:lang w:eastAsia="zh-CN"/>
        </w:rPr>
        <w:t>information</w:t>
      </w:r>
      <w:r w:rsidR="00451C17">
        <w:rPr>
          <w:lang w:eastAsia="zh-CN"/>
        </w:rPr>
        <w:t xml:space="preserve"> such as </w:t>
      </w:r>
      <w:r>
        <w:rPr>
          <w:lang w:eastAsia="zh-CN"/>
        </w:rPr>
        <w:t>radio fingerprint</w:t>
      </w:r>
      <w:r w:rsidR="00451C17">
        <w:rPr>
          <w:lang w:eastAsia="zh-CN"/>
        </w:rPr>
        <w:t xml:space="preserve">, failure time, </w:t>
      </w:r>
      <w:r>
        <w:rPr>
          <w:lang w:eastAsia="zh-CN"/>
        </w:rPr>
        <w:t xml:space="preserve">RLF cause, </w:t>
      </w:r>
      <w:r w:rsidR="00451C17">
        <w:rPr>
          <w:lang w:eastAsia="zh-CN"/>
        </w:rPr>
        <w:t>etc.</w:t>
      </w:r>
      <w:r w:rsidR="00366922">
        <w:rPr>
          <w:lang w:eastAsia="zh-CN"/>
        </w:rPr>
        <w:t xml:space="preserve"> </w:t>
      </w:r>
      <w:r w:rsidR="007D2D3D">
        <w:rPr>
          <w:lang w:eastAsia="zh-CN"/>
        </w:rPr>
        <w:t xml:space="preserve">In this sense, RLF reporting might be good to have for NB-IoT networks except for some reporting content not relevant </w:t>
      </w:r>
      <w:r w:rsidR="001C23F5">
        <w:rPr>
          <w:lang w:eastAsia="zh-CN"/>
        </w:rPr>
        <w:t>to</w:t>
      </w:r>
      <w:r w:rsidR="007D2D3D">
        <w:rPr>
          <w:lang w:eastAsia="zh-CN"/>
        </w:rPr>
        <w:t xml:space="preserve"> NB-IoT, e.g. </w:t>
      </w:r>
      <w:r w:rsidR="007D2D3D" w:rsidRPr="004E1F03">
        <w:t>t31</w:t>
      </w:r>
      <w:r w:rsidR="007D2D3D" w:rsidRPr="004E1F03">
        <w:rPr>
          <w:lang w:eastAsia="zh-CN"/>
        </w:rPr>
        <w:t>2</w:t>
      </w:r>
      <w:r w:rsidR="007D2D3D" w:rsidRPr="004E1F03">
        <w:t>-Expiry</w:t>
      </w:r>
      <w:r w:rsidR="001C23F5">
        <w:t xml:space="preserve"> in RLF cause and handover failure in failure type</w:t>
      </w:r>
      <w:r w:rsidR="007D2D3D">
        <w:rPr>
          <w:lang w:eastAsia="zh-CN"/>
        </w:rPr>
        <w:t xml:space="preserve">. </w:t>
      </w:r>
    </w:p>
    <w:p w14:paraId="03D49523" w14:textId="3EB75804" w:rsidR="000657AD" w:rsidRDefault="000657AD" w:rsidP="00CD4C7B">
      <w:pPr>
        <w:rPr>
          <w:b/>
          <w:lang w:val="nl-NL"/>
        </w:rPr>
      </w:pPr>
      <w:r w:rsidRPr="006C74C5">
        <w:rPr>
          <w:b/>
          <w:lang w:val="nl-NL"/>
        </w:rPr>
        <w:t xml:space="preserve">Proposal </w:t>
      </w:r>
      <w:r w:rsidR="001C23F5">
        <w:rPr>
          <w:b/>
          <w:lang w:val="nl-NL"/>
        </w:rPr>
        <w:t>3</w:t>
      </w:r>
      <w:r w:rsidRPr="006C74C5">
        <w:rPr>
          <w:b/>
          <w:lang w:val="nl-NL"/>
        </w:rPr>
        <w:t>:</w:t>
      </w:r>
      <w:r w:rsidR="001C23F5">
        <w:rPr>
          <w:b/>
          <w:lang w:val="nl-NL"/>
        </w:rPr>
        <w:t xml:space="preserve"> RLF reporting is supported by using LTE approach as baseline and removing content not relevant to NB-IoT</w:t>
      </w:r>
      <w:r w:rsidR="00306C74" w:rsidRPr="006C74C5">
        <w:rPr>
          <w:b/>
          <w:lang w:val="nl-NL"/>
        </w:rPr>
        <w:t>.</w:t>
      </w:r>
    </w:p>
    <w:p w14:paraId="3C38E333" w14:textId="7BB82EAC" w:rsidR="00E710E8" w:rsidRDefault="0008191D" w:rsidP="00CD4C7B">
      <w:pPr>
        <w:rPr>
          <w:lang w:val="nl-NL"/>
        </w:rPr>
      </w:pPr>
      <w:r>
        <w:rPr>
          <w:lang w:val="nl-NL"/>
        </w:rPr>
        <w:t>After UE has collected</w:t>
      </w:r>
      <w:r w:rsidR="00C44B1E">
        <w:rPr>
          <w:lang w:val="nl-NL"/>
        </w:rPr>
        <w:t xml:space="preserve"> above</w:t>
      </w:r>
      <w:r>
        <w:rPr>
          <w:lang w:val="nl-NL"/>
        </w:rPr>
        <w:t xml:space="preserve"> SON information</w:t>
      </w:r>
      <w:r w:rsidR="00C44B1E">
        <w:rPr>
          <w:lang w:val="nl-NL"/>
        </w:rPr>
        <w:t xml:space="preserve">, the next question is: how does the UE report those? In our </w:t>
      </w:r>
      <w:r w:rsidR="00D810E6">
        <w:rPr>
          <w:lang w:val="nl-NL"/>
        </w:rPr>
        <w:t>view</w:t>
      </w:r>
      <w:r w:rsidR="00C44B1E">
        <w:rPr>
          <w:lang w:val="nl-NL"/>
        </w:rPr>
        <w:t xml:space="preserve">, SON information is not so important as user data and therefore idle mode UE should not be required to trigger connection setup procedure simply to report SON information. </w:t>
      </w:r>
      <w:r w:rsidR="0098168B">
        <w:rPr>
          <w:lang w:val="nl-NL"/>
        </w:rPr>
        <w:t>SON reporting should be done on a best-effort basis</w:t>
      </w:r>
      <w:r w:rsidR="00332021">
        <w:rPr>
          <w:lang w:val="nl-NL"/>
        </w:rPr>
        <w:t>.</w:t>
      </w:r>
      <w:r w:rsidR="0098168B">
        <w:rPr>
          <w:lang w:val="nl-NL"/>
        </w:rPr>
        <w:t xml:space="preserve"> As </w:t>
      </w:r>
      <w:r w:rsidR="00D810E6">
        <w:rPr>
          <w:lang w:val="nl-NL"/>
        </w:rPr>
        <w:t xml:space="preserve">the </w:t>
      </w:r>
      <w:r w:rsidR="0098168B">
        <w:rPr>
          <w:lang w:val="nl-NL"/>
        </w:rPr>
        <w:t xml:space="preserve">EDT feature specified in Rel-15 has been targeting at short data transmission without connection being setup, and RA procedure design has allowed flexible TBS selection based on </w:t>
      </w:r>
      <w:r w:rsidR="00E710E8">
        <w:rPr>
          <w:lang w:val="nl-NL"/>
        </w:rPr>
        <w:t xml:space="preserve">the </w:t>
      </w:r>
      <w:r w:rsidR="0098168B">
        <w:rPr>
          <w:lang w:val="nl-NL"/>
        </w:rPr>
        <w:t xml:space="preserve">broadcasted maximum TB size, we think some of these features </w:t>
      </w:r>
      <w:r w:rsidR="00E710E8">
        <w:rPr>
          <w:lang w:val="nl-NL"/>
        </w:rPr>
        <w:t xml:space="preserve">also </w:t>
      </w:r>
      <w:r w:rsidR="0098168B">
        <w:rPr>
          <w:lang w:val="nl-NL"/>
        </w:rPr>
        <w:t xml:space="preserve">fit the purpose of SON reporting and we should try to utilize them. </w:t>
      </w:r>
      <w:r w:rsidR="00E710E8">
        <w:rPr>
          <w:lang w:val="nl-NL"/>
        </w:rPr>
        <w:t>For example, we can consider</w:t>
      </w:r>
      <w:r w:rsidR="005B1154">
        <w:rPr>
          <w:lang w:val="nl-NL"/>
        </w:rPr>
        <w:t xml:space="preserve"> padding SON information to the user data as long as uplink grant is sufficently large</w:t>
      </w:r>
      <w:r w:rsidR="00D810E6">
        <w:rPr>
          <w:lang w:val="nl-NL"/>
        </w:rPr>
        <w:t>. I</w:t>
      </w:r>
      <w:r w:rsidR="00E710E8">
        <w:rPr>
          <w:lang w:val="nl-NL"/>
        </w:rPr>
        <w:t>f this is not doable, at least SON information available indication can be padded so that network can decide whether to retrieve the information by moving UE to connected</w:t>
      </w:r>
      <w:r w:rsidR="00D810E6">
        <w:rPr>
          <w:lang w:val="nl-NL"/>
        </w:rPr>
        <w:t xml:space="preserve"> mode</w:t>
      </w:r>
      <w:r w:rsidR="00E710E8">
        <w:rPr>
          <w:lang w:val="nl-NL"/>
        </w:rPr>
        <w:t xml:space="preserve"> or not</w:t>
      </w:r>
      <w:r w:rsidR="005B1154">
        <w:rPr>
          <w:lang w:val="nl-NL"/>
        </w:rPr>
        <w:t>.</w:t>
      </w:r>
    </w:p>
    <w:p w14:paraId="1AB8600E" w14:textId="673C6376" w:rsidR="001C23F5" w:rsidRPr="00E710E8" w:rsidRDefault="00E710E8" w:rsidP="00CD4C7B">
      <w:pPr>
        <w:rPr>
          <w:b/>
          <w:lang w:val="nl-NL"/>
        </w:rPr>
      </w:pPr>
      <w:r w:rsidRPr="00E710E8">
        <w:rPr>
          <w:b/>
          <w:lang w:val="nl-NL"/>
        </w:rPr>
        <w:t>Proposal 4:</w:t>
      </w:r>
      <w:r w:rsidR="007D614A">
        <w:rPr>
          <w:b/>
          <w:lang w:val="nl-NL"/>
        </w:rPr>
        <w:t xml:space="preserve"> UL</w:t>
      </w:r>
      <w:r w:rsidRPr="00E710E8">
        <w:rPr>
          <w:b/>
          <w:lang w:val="nl-NL"/>
        </w:rPr>
        <w:t xml:space="preserve"> EDT</w:t>
      </w:r>
      <w:r w:rsidR="00D57F09">
        <w:rPr>
          <w:b/>
          <w:lang w:val="nl-NL"/>
        </w:rPr>
        <w:t xml:space="preserve"> procedure</w:t>
      </w:r>
      <w:r w:rsidRPr="00E710E8">
        <w:rPr>
          <w:b/>
          <w:lang w:val="nl-NL"/>
        </w:rPr>
        <w:t xml:space="preserve"> should be studied to support SON reporting by considering padding SON information or its available indication to the user data.</w:t>
      </w:r>
      <w:r w:rsidR="005B1154" w:rsidRPr="00E710E8">
        <w:rPr>
          <w:b/>
          <w:lang w:val="nl-NL"/>
        </w:rPr>
        <w:t xml:space="preserve">  </w:t>
      </w:r>
    </w:p>
    <w:p w14:paraId="43A12B72" w14:textId="7FF8D8BD" w:rsidR="00CD4C7B" w:rsidRPr="00784FD5" w:rsidRDefault="00CA26D6" w:rsidP="00CD4C7B">
      <w:pPr>
        <w:pStyle w:val="Heading1"/>
      </w:pPr>
      <w:r>
        <w:t>3</w:t>
      </w:r>
      <w:r w:rsidR="00F8510A" w:rsidRPr="00784FD5">
        <w:tab/>
        <w:t>Conclusion</w:t>
      </w:r>
    </w:p>
    <w:p w14:paraId="190C81D1" w14:textId="4A95A394" w:rsidR="00CD4C7B" w:rsidRDefault="00784FD5" w:rsidP="00CD4C7B">
      <w:r w:rsidRPr="00784FD5">
        <w:t xml:space="preserve">This paper </w:t>
      </w:r>
      <w:r w:rsidR="006C74C5">
        <w:t xml:space="preserve">discussed the </w:t>
      </w:r>
      <w:r w:rsidR="00E710E8">
        <w:t>SON measurement and reporting,</w:t>
      </w:r>
      <w:r w:rsidR="006C74C5">
        <w:t xml:space="preserve"> and </w:t>
      </w:r>
      <w:r>
        <w:t>we have made the following proposals:</w:t>
      </w:r>
    </w:p>
    <w:p w14:paraId="678D675A" w14:textId="77777777" w:rsidR="00E710E8" w:rsidRPr="00A6007F" w:rsidRDefault="00E710E8" w:rsidP="00E710E8">
      <w:pPr>
        <w:rPr>
          <w:b/>
          <w:lang w:eastAsia="zh-CN"/>
        </w:rPr>
      </w:pPr>
      <w:r w:rsidRPr="00A6007F">
        <w:rPr>
          <w:b/>
          <w:lang w:eastAsia="zh-CN"/>
        </w:rPr>
        <w:t>Proposal 1: ANR function for NB-IoT is supported by configuring UEs to read CGI of the strongest cell in idle mode and report to network when connection is available.</w:t>
      </w:r>
    </w:p>
    <w:p w14:paraId="6A453A2C" w14:textId="02CC7509" w:rsidR="004F26E5" w:rsidRDefault="00E710E8" w:rsidP="004F26E5">
      <w:pPr>
        <w:rPr>
          <w:b/>
          <w:lang w:eastAsia="zh-CN"/>
        </w:rPr>
      </w:pPr>
      <w:r w:rsidRPr="00875DB1">
        <w:rPr>
          <w:b/>
          <w:lang w:eastAsia="zh-CN"/>
        </w:rPr>
        <w:t xml:space="preserve">Proposal 2: RA performance reporting is supported by </w:t>
      </w:r>
      <w:r>
        <w:rPr>
          <w:b/>
          <w:lang w:eastAsia="zh-CN"/>
        </w:rPr>
        <w:t>including</w:t>
      </w:r>
      <w:r w:rsidRPr="00875DB1">
        <w:rPr>
          <w:b/>
          <w:lang w:eastAsia="zh-CN"/>
        </w:rPr>
        <w:t xml:space="preserve"> anchor/non-anchor carrier</w:t>
      </w:r>
      <w:r>
        <w:rPr>
          <w:b/>
          <w:lang w:eastAsia="zh-CN"/>
        </w:rPr>
        <w:t xml:space="preserve"> information in the report</w:t>
      </w:r>
      <w:r w:rsidRPr="00875DB1">
        <w:rPr>
          <w:b/>
          <w:lang w:eastAsia="zh-CN"/>
        </w:rPr>
        <w:t>.</w:t>
      </w:r>
    </w:p>
    <w:p w14:paraId="78B293E3" w14:textId="4CC12315" w:rsidR="00E710E8" w:rsidRDefault="00E710E8" w:rsidP="004F26E5">
      <w:pPr>
        <w:rPr>
          <w:b/>
          <w:lang w:val="nl-NL"/>
        </w:rPr>
      </w:pPr>
      <w:r w:rsidRPr="006C74C5">
        <w:rPr>
          <w:b/>
          <w:lang w:val="nl-NL"/>
        </w:rPr>
        <w:t xml:space="preserve">Proposal </w:t>
      </w:r>
      <w:r>
        <w:rPr>
          <w:b/>
          <w:lang w:val="nl-NL"/>
        </w:rPr>
        <w:t>3</w:t>
      </w:r>
      <w:r w:rsidRPr="006C74C5">
        <w:rPr>
          <w:b/>
          <w:lang w:val="nl-NL"/>
        </w:rPr>
        <w:t>:</w:t>
      </w:r>
      <w:r>
        <w:rPr>
          <w:b/>
          <w:lang w:val="nl-NL"/>
        </w:rPr>
        <w:t xml:space="preserve"> RLF reporting is supported by using LTE approach as baseline and removing content not relevant to NB-IoT</w:t>
      </w:r>
      <w:r w:rsidRPr="006C74C5">
        <w:rPr>
          <w:b/>
          <w:lang w:val="nl-NL"/>
        </w:rPr>
        <w:t>.</w:t>
      </w:r>
    </w:p>
    <w:p w14:paraId="286BC980" w14:textId="3708C33B" w:rsidR="00E710E8" w:rsidRPr="00E710E8" w:rsidRDefault="00E710E8" w:rsidP="004F26E5">
      <w:pPr>
        <w:rPr>
          <w:b/>
        </w:rPr>
      </w:pPr>
      <w:r w:rsidRPr="00E710E8">
        <w:rPr>
          <w:b/>
          <w:lang w:val="nl-NL"/>
        </w:rPr>
        <w:t xml:space="preserve">Proposal 4: </w:t>
      </w:r>
      <w:r w:rsidR="007D614A">
        <w:rPr>
          <w:b/>
          <w:lang w:val="nl-NL"/>
        </w:rPr>
        <w:t xml:space="preserve">UL </w:t>
      </w:r>
      <w:r w:rsidRPr="00E710E8">
        <w:rPr>
          <w:b/>
          <w:lang w:val="nl-NL"/>
        </w:rPr>
        <w:t xml:space="preserve">EDT </w:t>
      </w:r>
      <w:r w:rsidR="00D57F09">
        <w:rPr>
          <w:b/>
          <w:lang w:val="nl-NL"/>
        </w:rPr>
        <w:t>procedure</w:t>
      </w:r>
      <w:r w:rsidR="00D57F09" w:rsidRPr="00E710E8">
        <w:rPr>
          <w:b/>
          <w:lang w:val="nl-NL"/>
        </w:rPr>
        <w:t xml:space="preserve"> </w:t>
      </w:r>
      <w:r w:rsidRPr="00E710E8">
        <w:rPr>
          <w:b/>
          <w:lang w:val="nl-NL"/>
        </w:rPr>
        <w:t>should be studied to support SON reporting by considering padding SON information or its available indication to the user data.</w:t>
      </w:r>
    </w:p>
    <w:p w14:paraId="0FDCFAC2" w14:textId="77777777" w:rsidR="00CD4C7B" w:rsidRPr="006E13D1" w:rsidRDefault="00CD4C7B" w:rsidP="00CD4C7B">
      <w:pPr>
        <w:pStyle w:val="Heading1"/>
      </w:pPr>
      <w:r w:rsidRPr="006E13D1">
        <w:t>References</w:t>
      </w:r>
    </w:p>
    <w:p w14:paraId="35F222F4" w14:textId="2280C6C7" w:rsidR="00080512" w:rsidRPr="00CD4C7B" w:rsidRDefault="00571481" w:rsidP="00571481">
      <w:pPr>
        <w:numPr>
          <w:ilvl w:val="0"/>
          <w:numId w:val="4"/>
        </w:numPr>
        <w:overflowPunct w:val="0"/>
        <w:autoSpaceDE w:val="0"/>
        <w:autoSpaceDN w:val="0"/>
        <w:adjustRightInd w:val="0"/>
        <w:textAlignment w:val="baseline"/>
      </w:pPr>
      <w:bookmarkStart w:id="1" w:name="_Ref524965632"/>
      <w:bookmarkStart w:id="2" w:name="_Ref75086397"/>
      <w:r w:rsidRPr="00571481">
        <w:t xml:space="preserve">RP-181451 </w:t>
      </w:r>
      <w:r w:rsidRPr="00571481">
        <w:rPr>
          <w:i/>
        </w:rPr>
        <w:t>New WID on Rel-16 NB-IoT</w:t>
      </w:r>
      <w:r w:rsidR="00172C3C">
        <w:t xml:space="preserve">, </w:t>
      </w:r>
      <w:r w:rsidR="00172C3C" w:rsidRPr="006C74C5">
        <w:rPr>
          <w:iCs/>
        </w:rPr>
        <w:t>3GPP TSG RAN Meeting #80 La Jolla, CA, USA, 11th – 14th June 2018</w:t>
      </w:r>
      <w:bookmarkEnd w:id="1"/>
      <w:bookmarkEnd w:id="2"/>
    </w:p>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C5145" w14:textId="77777777" w:rsidR="00A52D7F" w:rsidRDefault="00A52D7F">
      <w:r>
        <w:separator/>
      </w:r>
    </w:p>
  </w:endnote>
  <w:endnote w:type="continuationSeparator" w:id="0">
    <w:p w14:paraId="5AD5C338" w14:textId="77777777" w:rsidR="00A52D7F" w:rsidRDefault="00A5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AC0D" w14:textId="77777777" w:rsidR="00A52D7F" w:rsidRDefault="00A52D7F">
      <w:r>
        <w:separator/>
      </w:r>
    </w:p>
  </w:footnote>
  <w:footnote w:type="continuationSeparator" w:id="0">
    <w:p w14:paraId="291C5A16" w14:textId="77777777" w:rsidR="00A52D7F" w:rsidRDefault="00A5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8BC688A"/>
    <w:multiLevelType w:val="hybridMultilevel"/>
    <w:tmpl w:val="A2EE0DA6"/>
    <w:lvl w:ilvl="0" w:tplc="0C880A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2BC23B4"/>
    <w:multiLevelType w:val="hybridMultilevel"/>
    <w:tmpl w:val="C4A2F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26C747C"/>
    <w:multiLevelType w:val="hybridMultilevel"/>
    <w:tmpl w:val="E71E06E0"/>
    <w:lvl w:ilvl="0" w:tplc="58EA6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D1310A"/>
    <w:multiLevelType w:val="hybridMultilevel"/>
    <w:tmpl w:val="E6D2B0B0"/>
    <w:lvl w:ilvl="0" w:tplc="04090001">
      <w:start w:val="1"/>
      <w:numFmt w:val="bullet"/>
      <w:lvlText w:val=""/>
      <w:lvlJc w:val="left"/>
      <w:pPr>
        <w:ind w:left="800" w:hanging="400"/>
      </w:pPr>
      <w:rPr>
        <w:rFonts w:ascii="Wingdings" w:hAnsi="Wingdings" w:hint="default"/>
      </w:rPr>
    </w:lvl>
    <w:lvl w:ilvl="1" w:tplc="F006B0FA">
      <w:numFmt w:val="bullet"/>
      <w:lvlText w:val="-"/>
      <w:lvlJc w:val="left"/>
      <w:pPr>
        <w:ind w:left="1160" w:hanging="36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DDA6DD3"/>
    <w:multiLevelType w:val="hybridMultilevel"/>
    <w:tmpl w:val="DB085864"/>
    <w:lvl w:ilvl="0" w:tplc="85DA5E9C">
      <w:start w:val="1"/>
      <w:numFmt w:val="bullet"/>
      <w:lvlText w:val=""/>
      <w:lvlJc w:val="left"/>
      <w:pPr>
        <w:ind w:left="420" w:hanging="420"/>
      </w:pPr>
      <w:rPr>
        <w:rFonts w:ascii="Symbol" w:hAnsi="Symbol" w:hint="default"/>
        <w:lang w:val="nl-NL"/>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5"/>
  </w:num>
  <w:num w:numId="6">
    <w:abstractNumId w:val="8"/>
  </w:num>
  <w:num w:numId="7">
    <w:abstractNumId w:val="10"/>
  </w:num>
  <w:num w:numId="8">
    <w:abstractNumId w:val="7"/>
  </w:num>
  <w:num w:numId="9">
    <w:abstractNumId w:val="3"/>
  </w:num>
  <w:num w:numId="10">
    <w:abstractNumId w:val="1"/>
  </w:num>
  <w:num w:numId="11">
    <w:abstractNumId w:val="11"/>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F71"/>
    <w:rsid w:val="00033397"/>
    <w:rsid w:val="00040095"/>
    <w:rsid w:val="000445B5"/>
    <w:rsid w:val="000612EE"/>
    <w:rsid w:val="0006309E"/>
    <w:rsid w:val="000657AD"/>
    <w:rsid w:val="00080512"/>
    <w:rsid w:val="0008191D"/>
    <w:rsid w:val="00090468"/>
    <w:rsid w:val="000B5DE6"/>
    <w:rsid w:val="000B7BCF"/>
    <w:rsid w:val="000C522B"/>
    <w:rsid w:val="000D58AB"/>
    <w:rsid w:val="000E5EA0"/>
    <w:rsid w:val="00112F1A"/>
    <w:rsid w:val="001160AD"/>
    <w:rsid w:val="00123BBE"/>
    <w:rsid w:val="00145075"/>
    <w:rsid w:val="0014652E"/>
    <w:rsid w:val="001649C1"/>
    <w:rsid w:val="00166624"/>
    <w:rsid w:val="00172C3C"/>
    <w:rsid w:val="001741A0"/>
    <w:rsid w:val="00175FA0"/>
    <w:rsid w:val="00194CD0"/>
    <w:rsid w:val="001B1FCA"/>
    <w:rsid w:val="001B49C9"/>
    <w:rsid w:val="001C23F5"/>
    <w:rsid w:val="001C4F79"/>
    <w:rsid w:val="001D6412"/>
    <w:rsid w:val="001F168B"/>
    <w:rsid w:val="001F7831"/>
    <w:rsid w:val="00204045"/>
    <w:rsid w:val="0020712B"/>
    <w:rsid w:val="00217AA6"/>
    <w:rsid w:val="0022606D"/>
    <w:rsid w:val="00231728"/>
    <w:rsid w:val="00247752"/>
    <w:rsid w:val="0025772E"/>
    <w:rsid w:val="002610D8"/>
    <w:rsid w:val="0026389B"/>
    <w:rsid w:val="002747EC"/>
    <w:rsid w:val="002855BF"/>
    <w:rsid w:val="002A12CD"/>
    <w:rsid w:val="002D79BD"/>
    <w:rsid w:val="002E4389"/>
    <w:rsid w:val="002F0D22"/>
    <w:rsid w:val="00303F66"/>
    <w:rsid w:val="00306C74"/>
    <w:rsid w:val="003172DC"/>
    <w:rsid w:val="00325AE3"/>
    <w:rsid w:val="00326069"/>
    <w:rsid w:val="00330CA3"/>
    <w:rsid w:val="00332021"/>
    <w:rsid w:val="00340A3D"/>
    <w:rsid w:val="0035462D"/>
    <w:rsid w:val="00364B41"/>
    <w:rsid w:val="00366922"/>
    <w:rsid w:val="003A1468"/>
    <w:rsid w:val="003A41EF"/>
    <w:rsid w:val="003B0AB6"/>
    <w:rsid w:val="003B40AD"/>
    <w:rsid w:val="003C4E37"/>
    <w:rsid w:val="003E16BE"/>
    <w:rsid w:val="003F4E28"/>
    <w:rsid w:val="004006E8"/>
    <w:rsid w:val="00401147"/>
    <w:rsid w:val="00401855"/>
    <w:rsid w:val="00445E26"/>
    <w:rsid w:val="00451C17"/>
    <w:rsid w:val="00466107"/>
    <w:rsid w:val="00477455"/>
    <w:rsid w:val="00491391"/>
    <w:rsid w:val="004A1F7B"/>
    <w:rsid w:val="004B4D61"/>
    <w:rsid w:val="004C44D2"/>
    <w:rsid w:val="004D3578"/>
    <w:rsid w:val="004D380D"/>
    <w:rsid w:val="004D66A1"/>
    <w:rsid w:val="004E213A"/>
    <w:rsid w:val="004F26E5"/>
    <w:rsid w:val="0050306E"/>
    <w:rsid w:val="00503171"/>
    <w:rsid w:val="00506C28"/>
    <w:rsid w:val="00520BB2"/>
    <w:rsid w:val="00534DA0"/>
    <w:rsid w:val="00543E6C"/>
    <w:rsid w:val="00565087"/>
    <w:rsid w:val="0056573F"/>
    <w:rsid w:val="00571481"/>
    <w:rsid w:val="00574EAC"/>
    <w:rsid w:val="005B1154"/>
    <w:rsid w:val="005C6C9C"/>
    <w:rsid w:val="005D5342"/>
    <w:rsid w:val="00611566"/>
    <w:rsid w:val="00623B11"/>
    <w:rsid w:val="0063066F"/>
    <w:rsid w:val="00646D99"/>
    <w:rsid w:val="00655448"/>
    <w:rsid w:val="00656910"/>
    <w:rsid w:val="006A06BE"/>
    <w:rsid w:val="006C66D8"/>
    <w:rsid w:val="006C74C5"/>
    <w:rsid w:val="006D1E24"/>
    <w:rsid w:val="006E1417"/>
    <w:rsid w:val="006F6A2C"/>
    <w:rsid w:val="00710201"/>
    <w:rsid w:val="007342B5"/>
    <w:rsid w:val="00734A5B"/>
    <w:rsid w:val="00740019"/>
    <w:rsid w:val="0074145E"/>
    <w:rsid w:val="00744E76"/>
    <w:rsid w:val="00757D40"/>
    <w:rsid w:val="00777922"/>
    <w:rsid w:val="00781F0F"/>
    <w:rsid w:val="00784FD5"/>
    <w:rsid w:val="0078727C"/>
    <w:rsid w:val="0079049D"/>
    <w:rsid w:val="00793DC5"/>
    <w:rsid w:val="007B18D8"/>
    <w:rsid w:val="007C095F"/>
    <w:rsid w:val="007C2DD0"/>
    <w:rsid w:val="007D2D3D"/>
    <w:rsid w:val="007D614A"/>
    <w:rsid w:val="007E56DD"/>
    <w:rsid w:val="008028A4"/>
    <w:rsid w:val="00805D54"/>
    <w:rsid w:val="00813245"/>
    <w:rsid w:val="00820F34"/>
    <w:rsid w:val="00842B30"/>
    <w:rsid w:val="008561C9"/>
    <w:rsid w:val="00860A9D"/>
    <w:rsid w:val="00875DB1"/>
    <w:rsid w:val="008768CA"/>
    <w:rsid w:val="00877EF9"/>
    <w:rsid w:val="00880559"/>
    <w:rsid w:val="0089780B"/>
    <w:rsid w:val="008B5306"/>
    <w:rsid w:val="008C30C0"/>
    <w:rsid w:val="008D2E4D"/>
    <w:rsid w:val="008E54C6"/>
    <w:rsid w:val="008F396F"/>
    <w:rsid w:val="0090271F"/>
    <w:rsid w:val="00902DB9"/>
    <w:rsid w:val="0090466A"/>
    <w:rsid w:val="0090723B"/>
    <w:rsid w:val="00936071"/>
    <w:rsid w:val="00940212"/>
    <w:rsid w:val="00942EC2"/>
    <w:rsid w:val="009511CB"/>
    <w:rsid w:val="0095449E"/>
    <w:rsid w:val="00961B32"/>
    <w:rsid w:val="009636F4"/>
    <w:rsid w:val="00970DB3"/>
    <w:rsid w:val="00974BB0"/>
    <w:rsid w:val="0098168B"/>
    <w:rsid w:val="00982C65"/>
    <w:rsid w:val="0099014B"/>
    <w:rsid w:val="009A0AF3"/>
    <w:rsid w:val="009B07CD"/>
    <w:rsid w:val="009C19E9"/>
    <w:rsid w:val="009D74A6"/>
    <w:rsid w:val="009E57EF"/>
    <w:rsid w:val="00A10F02"/>
    <w:rsid w:val="00A204CA"/>
    <w:rsid w:val="00A52D7F"/>
    <w:rsid w:val="00A53724"/>
    <w:rsid w:val="00A5742F"/>
    <w:rsid w:val="00A6007F"/>
    <w:rsid w:val="00A614A7"/>
    <w:rsid w:val="00A82346"/>
    <w:rsid w:val="00A9671C"/>
    <w:rsid w:val="00A97E99"/>
    <w:rsid w:val="00AA1553"/>
    <w:rsid w:val="00B05962"/>
    <w:rsid w:val="00B124CF"/>
    <w:rsid w:val="00B12F8A"/>
    <w:rsid w:val="00B15449"/>
    <w:rsid w:val="00B20A52"/>
    <w:rsid w:val="00B26D79"/>
    <w:rsid w:val="00B27303"/>
    <w:rsid w:val="00B33EE1"/>
    <w:rsid w:val="00B3754E"/>
    <w:rsid w:val="00B47FD1"/>
    <w:rsid w:val="00B516BB"/>
    <w:rsid w:val="00B66FBD"/>
    <w:rsid w:val="00B9427A"/>
    <w:rsid w:val="00BC3555"/>
    <w:rsid w:val="00BE4679"/>
    <w:rsid w:val="00C12B51"/>
    <w:rsid w:val="00C24650"/>
    <w:rsid w:val="00C33079"/>
    <w:rsid w:val="00C3786E"/>
    <w:rsid w:val="00C44B1E"/>
    <w:rsid w:val="00C83A13"/>
    <w:rsid w:val="00C9068C"/>
    <w:rsid w:val="00C92967"/>
    <w:rsid w:val="00CA26D6"/>
    <w:rsid w:val="00CA3D0C"/>
    <w:rsid w:val="00CA654B"/>
    <w:rsid w:val="00CB4276"/>
    <w:rsid w:val="00CD4C7B"/>
    <w:rsid w:val="00D12CEB"/>
    <w:rsid w:val="00D33BE3"/>
    <w:rsid w:val="00D3792D"/>
    <w:rsid w:val="00D47BDC"/>
    <w:rsid w:val="00D55E47"/>
    <w:rsid w:val="00D57F09"/>
    <w:rsid w:val="00D62E19"/>
    <w:rsid w:val="00D67CD1"/>
    <w:rsid w:val="00D738D6"/>
    <w:rsid w:val="00D77D46"/>
    <w:rsid w:val="00D80795"/>
    <w:rsid w:val="00D810E6"/>
    <w:rsid w:val="00D854BE"/>
    <w:rsid w:val="00D87E00"/>
    <w:rsid w:val="00D9134D"/>
    <w:rsid w:val="00D96D11"/>
    <w:rsid w:val="00DA7A03"/>
    <w:rsid w:val="00DB0DB8"/>
    <w:rsid w:val="00DB1818"/>
    <w:rsid w:val="00DC309B"/>
    <w:rsid w:val="00DC4DA2"/>
    <w:rsid w:val="00DF4921"/>
    <w:rsid w:val="00E20827"/>
    <w:rsid w:val="00E323C0"/>
    <w:rsid w:val="00E471CF"/>
    <w:rsid w:val="00E62835"/>
    <w:rsid w:val="00E67F0A"/>
    <w:rsid w:val="00E710E8"/>
    <w:rsid w:val="00E77645"/>
    <w:rsid w:val="00E83697"/>
    <w:rsid w:val="00EC4A25"/>
    <w:rsid w:val="00ED3A24"/>
    <w:rsid w:val="00EF4C2D"/>
    <w:rsid w:val="00F025A2"/>
    <w:rsid w:val="00F07388"/>
    <w:rsid w:val="00F2026E"/>
    <w:rsid w:val="00F2210A"/>
    <w:rsid w:val="00F23243"/>
    <w:rsid w:val="00F2515A"/>
    <w:rsid w:val="00F37743"/>
    <w:rsid w:val="00F54922"/>
    <w:rsid w:val="00F54A3D"/>
    <w:rsid w:val="00F54CB0"/>
    <w:rsid w:val="00F653B8"/>
    <w:rsid w:val="00F71B89"/>
    <w:rsid w:val="00F7353C"/>
    <w:rsid w:val="00F75D29"/>
    <w:rsid w:val="00F76F8F"/>
    <w:rsid w:val="00F77746"/>
    <w:rsid w:val="00F8510A"/>
    <w:rsid w:val="00F855A6"/>
    <w:rsid w:val="00F941DF"/>
    <w:rsid w:val="00FA1266"/>
    <w:rsid w:val="00FB36FA"/>
    <w:rsid w:val="00FC1192"/>
    <w:rsid w:val="00FD0CBD"/>
    <w:rsid w:val="00FD5A32"/>
    <w:rsid w:val="00FE251B"/>
    <w:rsid w:val="00FE61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85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8510A"/>
    <w:pPr>
      <w:numPr>
        <w:numId w:val="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8510A"/>
    <w:rPr>
      <w:rFonts w:eastAsia="宋体"/>
      <w:sz w:val="22"/>
      <w:lang w:val="en-US" w:eastAsia="zh-CN"/>
    </w:rPr>
  </w:style>
  <w:style w:type="paragraph" w:styleId="ListParagraph">
    <w:name w:val="List Paragraph"/>
    <w:basedOn w:val="Normal"/>
    <w:uiPriority w:val="34"/>
    <w:qFormat/>
    <w:rsid w:val="000B5DE6"/>
    <w:pPr>
      <w:spacing w:after="0"/>
      <w:ind w:firstLine="420"/>
    </w:pPr>
    <w:rPr>
      <w:rFonts w:ascii="宋体" w:hAnsi="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4F75E626-93AD-44F7-817C-5E91BCE2C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1781</TotalTime>
  <Pages>2</Pages>
  <Words>847</Words>
  <Characters>4833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cp:lastModifiedBy>
  <cp:revision>56</cp:revision>
  <dcterms:created xsi:type="dcterms:W3CDTF">2018-09-18T02:30:00Z</dcterms:created>
  <dcterms:modified xsi:type="dcterms:W3CDTF">2018-11-01T08:32:00Z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