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67B74C79"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28BE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5E26">
        <w:rPr>
          <w:color w:val="auto"/>
          <w:sz w:val="24"/>
          <w:lang w:eastAsia="en-GB"/>
        </w:rPr>
        <w:t>3GPP TSG-RAN WG2 meeting #104</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685E26">
        <w:rPr>
          <w:i/>
          <w:color w:val="auto"/>
          <w:sz w:val="24"/>
          <w:lang w:eastAsia="zh-CN"/>
        </w:rPr>
        <w:t>1</w:t>
      </w:r>
      <w:r w:rsidR="00E0769A">
        <w:rPr>
          <w:i/>
          <w:color w:val="auto"/>
          <w:sz w:val="24"/>
          <w:lang w:eastAsia="zh-CN"/>
        </w:rPr>
        <w:t>6699</w:t>
      </w:r>
    </w:p>
    <w:p w14:paraId="2AE6D983" w14:textId="526E3461" w:rsidR="007E1DEE" w:rsidRPr="00C036E6" w:rsidRDefault="00685E26" w:rsidP="007E1DEE">
      <w:pPr>
        <w:pStyle w:val="Header"/>
        <w:tabs>
          <w:tab w:val="left" w:pos="6521"/>
        </w:tabs>
        <w:jc w:val="both"/>
        <w:rPr>
          <w:color w:val="auto"/>
          <w:sz w:val="24"/>
          <w:lang w:eastAsia="zh-CN"/>
        </w:rPr>
      </w:pPr>
      <w:r>
        <w:rPr>
          <w:color w:val="auto"/>
          <w:sz w:val="24"/>
          <w:lang w:eastAsia="zh-CN"/>
        </w:rPr>
        <w:t>Spokane</w:t>
      </w:r>
      <w:r w:rsidR="00FD3CA6">
        <w:rPr>
          <w:color w:val="auto"/>
          <w:sz w:val="24"/>
        </w:rPr>
        <w:t xml:space="preserve">, </w:t>
      </w:r>
      <w:r>
        <w:rPr>
          <w:color w:val="auto"/>
          <w:sz w:val="24"/>
        </w:rPr>
        <w:t>USA</w:t>
      </w:r>
      <w:r w:rsidR="007A3C8B" w:rsidRPr="00943E97">
        <w:rPr>
          <w:color w:val="auto"/>
          <w:sz w:val="24"/>
        </w:rPr>
        <w:t>,</w:t>
      </w:r>
      <w:r>
        <w:rPr>
          <w:color w:val="auto"/>
          <w:sz w:val="24"/>
        </w:rPr>
        <w:t xml:space="preserve"> 12 – 16 Novem</w:t>
      </w:r>
      <w:r w:rsidR="00E82D58">
        <w:rPr>
          <w:color w:val="auto"/>
          <w:sz w:val="24"/>
        </w:rPr>
        <w:t>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0FFAC1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D798F">
        <w:rPr>
          <w:rFonts w:ascii="Arial" w:hAnsi="Arial"/>
          <w:b/>
          <w:sz w:val="24"/>
          <w:lang w:val="en-US" w:eastAsia="zh-CN"/>
        </w:rPr>
        <w:t>11.2</w:t>
      </w:r>
      <w:r w:rsidR="003D2F3E">
        <w:rPr>
          <w:rFonts w:ascii="Arial" w:hAnsi="Arial"/>
          <w:b/>
          <w:sz w:val="24"/>
          <w:lang w:val="en-US" w:eastAsia="zh-CN"/>
        </w:rPr>
        <w:t>.2.1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1DC907E6"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3D2F3E">
        <w:rPr>
          <w:rFonts w:ascii="Arial" w:hAnsi="Arial"/>
          <w:b/>
          <w:sz w:val="24"/>
          <w:lang w:val="en-US"/>
        </w:rPr>
        <w:t>Consideration of PCI confusion</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407D5143" w:rsidR="00FD3CA6" w:rsidRDefault="005E6874" w:rsidP="00BD798F">
      <w:r>
        <w:t xml:space="preserve">In the </w:t>
      </w:r>
      <w:r w:rsidR="003D2F3E">
        <w:t xml:space="preserve">July ad-hoc and </w:t>
      </w:r>
      <w:r w:rsidR="00FD3CA6">
        <w:t>RAN2</w:t>
      </w:r>
      <w:r>
        <w:t>#103</w:t>
      </w:r>
      <w:r w:rsidR="00FD3CA6">
        <w:t xml:space="preserve"> meeting, </w:t>
      </w:r>
      <w:r w:rsidR="00054453">
        <w:t>the following was agreed</w:t>
      </w:r>
      <w:r w:rsidR="00315F6D">
        <w:t xml:space="preserve"> for </w:t>
      </w:r>
      <w:r w:rsidR="003D2F3E">
        <w:t>cell reselection</w:t>
      </w:r>
      <w:r w:rsidR="00315F6D">
        <w:t>:</w:t>
      </w:r>
    </w:p>
    <w:p w14:paraId="31CD727B" w14:textId="77777777" w:rsidR="00205846" w:rsidRPr="003D2F3E" w:rsidRDefault="00F71F97" w:rsidP="003D2F3E">
      <w:pPr>
        <w:numPr>
          <w:ilvl w:val="1"/>
          <w:numId w:val="11"/>
        </w:numPr>
        <w:rPr>
          <w:rFonts w:ascii="Arial" w:eastAsia="MS Mincho" w:hAnsi="Arial" w:cs="Times New Roman"/>
          <w:b/>
          <w:sz w:val="20"/>
          <w:szCs w:val="24"/>
          <w:lang w:eastAsia="en-GB"/>
        </w:rPr>
      </w:pPr>
      <w:r w:rsidRPr="003D2F3E">
        <w:rPr>
          <w:rFonts w:ascii="Arial" w:eastAsia="MS Mincho" w:hAnsi="Arial" w:cs="Times New Roman"/>
          <w:b/>
          <w:sz w:val="20"/>
          <w:szCs w:val="24"/>
          <w:lang w:val="en-US" w:eastAsia="en-GB"/>
        </w:rPr>
        <w:t>We assume there may be multiple PLMNs on one frequency (that do not share)</w:t>
      </w:r>
    </w:p>
    <w:p w14:paraId="35FCCB53" w14:textId="77777777" w:rsidR="00205846" w:rsidRPr="003D2F3E" w:rsidRDefault="00F71F97" w:rsidP="003D2F3E">
      <w:pPr>
        <w:numPr>
          <w:ilvl w:val="1"/>
          <w:numId w:val="11"/>
        </w:numPr>
        <w:rPr>
          <w:rFonts w:ascii="Arial" w:eastAsia="MS Mincho" w:hAnsi="Arial" w:cs="Times New Roman"/>
          <w:b/>
          <w:sz w:val="20"/>
          <w:szCs w:val="24"/>
          <w:lang w:eastAsia="en-GB"/>
        </w:rPr>
      </w:pPr>
      <w:r w:rsidRPr="003D2F3E">
        <w:rPr>
          <w:rFonts w:ascii="Arial" w:eastAsia="MS Mincho" w:hAnsi="Arial" w:cs="Times New Roman"/>
          <w:b/>
          <w:sz w:val="20"/>
          <w:szCs w:val="24"/>
          <w:lang w:val="en-US" w:eastAsia="en-GB"/>
        </w:rPr>
        <w:t xml:space="preserve">The UE should be enabled to camp on a non-best cell on a carrier if the best cell does not belong to the registered PLMN (or E-PLMN), where the non-best cell would still be the best cell of the registered PLMN. FFS how this is achieved. FFS if any additional conditions are required. </w:t>
      </w:r>
    </w:p>
    <w:p w14:paraId="77BB9815" w14:textId="2E0D69D9" w:rsidR="00054453" w:rsidRDefault="003D2F3E" w:rsidP="00E766E7">
      <w:r>
        <w:t>This implies that the UE has to know the PLMN of the neighb</w:t>
      </w:r>
      <w:r w:rsidR="004E172D">
        <w:t xml:space="preserve">our cell during cell reselection and handover. </w:t>
      </w:r>
      <w:r w:rsidR="00BD798F">
        <w:t>In this contribution</w:t>
      </w:r>
      <w:r w:rsidR="004E172D">
        <w:t>, how</w:t>
      </w:r>
      <w:r w:rsidR="00A04501">
        <w:t xml:space="preserve"> </w:t>
      </w:r>
      <w:r w:rsidR="004E172D">
        <w:t xml:space="preserve">to resolve </w:t>
      </w:r>
      <w:r>
        <w:t>PCI collision and confusio</w:t>
      </w:r>
      <w:r w:rsidR="004E172D">
        <w:t xml:space="preserve">n in a shared unlicensed carrier are discussed. </w:t>
      </w:r>
      <w:r w:rsidR="00E766E7">
        <w:t xml:space="preserve"> </w:t>
      </w:r>
    </w:p>
    <w:p w14:paraId="2AE6D98D" w14:textId="77777777" w:rsidR="003E1A61" w:rsidRDefault="003E1A61" w:rsidP="00F13226">
      <w:pPr>
        <w:pStyle w:val="Heading1"/>
      </w:pPr>
      <w:r>
        <w:t>Discussion</w:t>
      </w:r>
    </w:p>
    <w:p w14:paraId="40438D11" w14:textId="45972905" w:rsidR="00E766E7" w:rsidRDefault="003D2F3E" w:rsidP="00E766E7">
      <w:pPr>
        <w:pStyle w:val="Heading2"/>
      </w:pPr>
      <w:r>
        <w:t>PCI collision</w:t>
      </w:r>
    </w:p>
    <w:p w14:paraId="05ADD8A3" w14:textId="373D331F" w:rsidR="002C2CF7" w:rsidRDefault="002C2CF7" w:rsidP="00E766E7">
      <w:r>
        <w:t>As</w:t>
      </w:r>
      <w:r w:rsidR="0092763F">
        <w:t xml:space="preserve"> defined in TR</w:t>
      </w:r>
      <w:r>
        <w:t>36.889</w:t>
      </w:r>
      <w:r w:rsidR="007D5E95">
        <w:t xml:space="preserve"> for LAA</w:t>
      </w:r>
      <w:r>
        <w:t>:</w:t>
      </w:r>
    </w:p>
    <w:p w14:paraId="3CD2DE21" w14:textId="238402FD" w:rsidR="002C2CF7" w:rsidRDefault="002C2CF7" w:rsidP="002C2CF7">
      <w:pPr>
        <w:ind w:left="720"/>
      </w:pPr>
      <w:r>
        <w:rPr>
          <w:b/>
        </w:rPr>
        <w:t>PCI collision</w:t>
      </w:r>
      <w:r>
        <w:t xml:space="preserve"> – A UE is in the coverage of two </w:t>
      </w:r>
      <w:r w:rsidRPr="00116596">
        <w:t>(or more)</w:t>
      </w:r>
      <w:r>
        <w:t xml:space="preserve"> cells which have the same PCI value. As illustrated in Figure 7.2.2.6-2, the blue UE, which belongs to the operator with the blue network, is in the coverage of two difference cells. These two cells have the same PCI: one cell belongs to the blue operator, and the other cell belongs to the green operator.</w:t>
      </w:r>
    </w:p>
    <w:p w14:paraId="283AC1F1" w14:textId="7917B77B" w:rsidR="002C2CF7" w:rsidRDefault="002C2CF7" w:rsidP="002C2CF7">
      <w:pPr>
        <w:pStyle w:val="TH"/>
      </w:pPr>
      <w:r>
        <w:rPr>
          <w:noProof/>
          <w:lang w:eastAsia="zh-CN"/>
        </w:rPr>
        <w:drawing>
          <wp:inline distT="0" distB="0" distL="0" distR="0" wp14:anchorId="0402903D" wp14:editId="07731CF7">
            <wp:extent cx="3048000" cy="130508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3542" cy="1311740"/>
                    </a:xfrm>
                    <a:prstGeom prst="rect">
                      <a:avLst/>
                    </a:prstGeom>
                    <a:noFill/>
                  </pic:spPr>
                </pic:pic>
              </a:graphicData>
            </a:graphic>
          </wp:inline>
        </w:drawing>
      </w:r>
    </w:p>
    <w:p w14:paraId="712F1330" w14:textId="77777777" w:rsidR="002C2CF7" w:rsidRPr="00783930" w:rsidRDefault="002C2CF7" w:rsidP="002C2CF7">
      <w:pPr>
        <w:pStyle w:val="TF"/>
      </w:pPr>
      <w:r>
        <w:t>Figure 7.2.2.6-</w:t>
      </w:r>
      <w:r w:rsidRPr="00783930">
        <w:t>2: Example of PCI collision</w:t>
      </w:r>
    </w:p>
    <w:p w14:paraId="5A92F0D4" w14:textId="47760D78" w:rsidR="004E172D" w:rsidRDefault="002C2CF7" w:rsidP="00E766E7">
      <w:r>
        <w:t>With no coordination between the PLMNs sharing the same unlicensed carrier, such PCI collision could occur also in NR-u. However such PCI collision can be miti</w:t>
      </w:r>
      <w:r w:rsidR="004E172D">
        <w:t xml:space="preserve">gated if </w:t>
      </w:r>
      <w:r>
        <w:t>network listening is deployed on the RAN node</w:t>
      </w:r>
      <w:r w:rsidR="004E172D">
        <w:t xml:space="preserve"> as well as existing ANR mechanism</w:t>
      </w:r>
      <w:r w:rsidR="00EB7FEA">
        <w:t xml:space="preserve"> </w:t>
      </w:r>
      <w:r w:rsidR="004E172D">
        <w:t>to choose a PCI that is not used by any cells using the same shared unlicensed frequency in close proximity</w:t>
      </w:r>
      <w:r w:rsidR="00D1347C">
        <w:t>.</w:t>
      </w:r>
    </w:p>
    <w:p w14:paraId="4548E83D" w14:textId="7EAC23CF" w:rsidR="002C2CF7" w:rsidRDefault="002C2CF7" w:rsidP="00E766E7">
      <w:r w:rsidRPr="00EB7FEA">
        <w:rPr>
          <w:b/>
          <w:lang w:val="en-US"/>
        </w:rPr>
        <w:lastRenderedPageBreak/>
        <w:t>Observation#1:</w:t>
      </w:r>
      <w:r>
        <w:rPr>
          <w:lang w:val="en-US"/>
        </w:rPr>
        <w:t xml:space="preserve"> PCI collision can be </w:t>
      </w:r>
      <w:r w:rsidR="00EB7FEA">
        <w:rPr>
          <w:lang w:val="en-US"/>
        </w:rPr>
        <w:t xml:space="preserve">mitigated </w:t>
      </w:r>
      <w:r w:rsidR="0089158F">
        <w:t>if it can be</w:t>
      </w:r>
      <w:r w:rsidR="00EB7FEA">
        <w:t xml:space="preserve"> assumed that network listening is deployed on the RAN node as well as </w:t>
      </w:r>
      <w:r w:rsidR="0089158F">
        <w:t xml:space="preserve">existing </w:t>
      </w:r>
      <w:r w:rsidR="00EB7FEA">
        <w:t xml:space="preserve">ANR </w:t>
      </w:r>
      <w:r w:rsidR="0089158F">
        <w:t>mechanism to choose a PCI that is not used by any cells using the same shared unlicensed frequency in close proximity</w:t>
      </w:r>
      <w:r w:rsidR="00EB7FEA">
        <w:t>.</w:t>
      </w:r>
    </w:p>
    <w:p w14:paraId="77C51A29" w14:textId="53F5C854" w:rsidR="00EB7FEA" w:rsidRDefault="00EB7FEA" w:rsidP="00E766E7">
      <w:r>
        <w:t>Based on Observation#1</w:t>
      </w:r>
      <w:r w:rsidR="003161E1">
        <w:t xml:space="preserve">, it is proposed that RAN2 assumes that PCI collision can be resolved via network listening by RAN node and </w:t>
      </w:r>
      <w:r w:rsidR="00463F2B">
        <w:t>using ANR.</w:t>
      </w:r>
    </w:p>
    <w:p w14:paraId="60420A41" w14:textId="707F0C4F" w:rsidR="003161E1" w:rsidRDefault="003161E1" w:rsidP="00E766E7">
      <w:pPr>
        <w:rPr>
          <w:lang w:val="en-US"/>
        </w:rPr>
      </w:pPr>
      <w:r w:rsidRPr="00463F2B">
        <w:rPr>
          <w:b/>
        </w:rPr>
        <w:t>Proposal#1:</w:t>
      </w:r>
      <w:r>
        <w:t xml:space="preserve"> Based on Observation#1, RAN2 can assume that </w:t>
      </w:r>
      <w:r w:rsidR="00463F2B">
        <w:t xml:space="preserve">PCI collision </w:t>
      </w:r>
      <w:r w:rsidR="0089158F">
        <w:t>is not an issue to resolve for NR-u.</w:t>
      </w:r>
    </w:p>
    <w:p w14:paraId="7FBE1D53" w14:textId="7B12AA96" w:rsidR="002C2CF7" w:rsidRDefault="0092763F" w:rsidP="0092763F">
      <w:pPr>
        <w:pStyle w:val="Heading2"/>
      </w:pPr>
      <w:r>
        <w:t>PCI confusion</w:t>
      </w:r>
    </w:p>
    <w:p w14:paraId="364731CA" w14:textId="3FD149F9" w:rsidR="00F530A1" w:rsidRDefault="0092763F" w:rsidP="00AC570A">
      <w:r>
        <w:t>Again from TR36.889</w:t>
      </w:r>
      <w:r w:rsidR="007D5E95">
        <w:t xml:space="preserve"> for LAA</w:t>
      </w:r>
      <w:r>
        <w:t>:</w:t>
      </w:r>
    </w:p>
    <w:p w14:paraId="3AED719A" w14:textId="77777777" w:rsidR="0092763F" w:rsidRDefault="0092763F" w:rsidP="0092763F">
      <w:pPr>
        <w:ind w:left="720"/>
      </w:pPr>
      <w:r>
        <w:rPr>
          <w:b/>
        </w:rPr>
        <w:t>PCI confusion</w:t>
      </w:r>
      <w:r>
        <w:t xml:space="preserve"> – A UE is discovering, and configuring, an LAA cell of another operator which is having the same PCI value as a cell from its own operator. This is illustrated in Figure 7.2.2.6-1. The blue UE, belonging to the operator with the blue network, is identifying an LAA cell with PCI 17. If the UE is configured to send measurements, the UE may report to the blue eNB that it has found a cell with PCI 17. The blue eNB may then configure the blue UE to add the cell since it knows that it has a cell with PCI 17 in this area. But the cell which the UE has detected belongs to another operator.</w:t>
      </w:r>
    </w:p>
    <w:p w14:paraId="422BF610" w14:textId="0A338C26" w:rsidR="0092763F" w:rsidRDefault="0092763F" w:rsidP="0092763F">
      <w:pPr>
        <w:pStyle w:val="TH"/>
      </w:pPr>
      <w:r>
        <w:rPr>
          <w:noProof/>
          <w:lang w:eastAsia="zh-CN"/>
        </w:rPr>
        <w:drawing>
          <wp:inline distT="0" distB="0" distL="0" distR="0" wp14:anchorId="504A6A67" wp14:editId="6A7D5E41">
            <wp:extent cx="3282950" cy="1405986"/>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04401" cy="1415173"/>
                    </a:xfrm>
                    <a:prstGeom prst="rect">
                      <a:avLst/>
                    </a:prstGeom>
                    <a:noFill/>
                  </pic:spPr>
                </pic:pic>
              </a:graphicData>
            </a:graphic>
          </wp:inline>
        </w:drawing>
      </w:r>
    </w:p>
    <w:p w14:paraId="60D1D6A0" w14:textId="2B8BAAD7" w:rsidR="0092763F" w:rsidRDefault="0092763F" w:rsidP="007D5E95">
      <w:pPr>
        <w:jc w:val="center"/>
      </w:pPr>
      <w:r>
        <w:t>Figure 7.2.2.6-</w:t>
      </w:r>
      <w:r w:rsidRPr="00145E45">
        <w:t>1: Example of PCI confusion</w:t>
      </w:r>
    </w:p>
    <w:p w14:paraId="0D226062" w14:textId="1033EAE3" w:rsidR="00950BBC" w:rsidRDefault="00363883" w:rsidP="00AC570A">
      <w:r>
        <w:t xml:space="preserve">In </w:t>
      </w:r>
      <w:r w:rsidR="00950BBC">
        <w:t>LAA where it is concluded that there is no need to resolve PCI confusion for CA case</w:t>
      </w:r>
      <w:r w:rsidR="001449BA">
        <w:t xml:space="preserve"> as the probability of PCI confusion occurrence </w:t>
      </w:r>
      <w:r>
        <w:t>will be very low</w:t>
      </w:r>
      <w:r w:rsidR="00950BBC">
        <w:t xml:space="preserve"> due to strict timing and the use of C-RNTI</w:t>
      </w:r>
      <w:r>
        <w:t xml:space="preserve">. On the </w:t>
      </w:r>
      <w:r w:rsidR="001449BA">
        <w:t>other hand, this is not the case for NR-u</w:t>
      </w:r>
      <w:r w:rsidR="00950BBC">
        <w:t>.</w:t>
      </w:r>
      <w:r>
        <w:t xml:space="preserve"> Network listening</w:t>
      </w:r>
      <w:r w:rsidR="00DE1776">
        <w:t xml:space="preserve"> on the RAN node</w:t>
      </w:r>
      <w:r>
        <w:t xml:space="preserve"> and ANR can resolve some of these PCI confusion by ensuring that </w:t>
      </w:r>
      <w:r w:rsidR="00DE1776">
        <w:t>no 2 neighbour cells use the same PCI</w:t>
      </w:r>
      <w:r w:rsidR="0089158F">
        <w:t xml:space="preserve"> in close proximity</w:t>
      </w:r>
      <w:r w:rsidR="00DE1776">
        <w:t xml:space="preserve">. However, there will still be some scenarios where PCI confusion may happen. </w:t>
      </w:r>
      <w:r>
        <w:t xml:space="preserve">One of the scenario is like the Figure 7.2.2.6.1 in TR36.889 when the network wants to handover from a licensed cell covering </w:t>
      </w:r>
      <w:r w:rsidR="00DE1776">
        <w:t>2</w:t>
      </w:r>
      <w:r>
        <w:t xml:space="preserve"> small NR-u standalone cell</w:t>
      </w:r>
      <w:r w:rsidR="00DE1776">
        <w:t xml:space="preserve"> from different PLMN using the same PCI and both small cell is not in close proximity</w:t>
      </w:r>
      <w:r w:rsidR="001449BA">
        <w:t xml:space="preserve"> and network listening and ANR are not effective in this case</w:t>
      </w:r>
      <w:r>
        <w:t>. In this case, the han</w:t>
      </w:r>
      <w:r w:rsidR="00DE1776">
        <w:t>dover will fail if</w:t>
      </w:r>
      <w:r>
        <w:t xml:space="preserve"> the UE detects the cell of not its registered PLMN</w:t>
      </w:r>
      <w:r w:rsidR="001449BA">
        <w:t xml:space="preserve"> but reported it for handover and the network handover the UE to another cell of the same PCI.</w:t>
      </w:r>
    </w:p>
    <w:p w14:paraId="2CA4C50C" w14:textId="21F40950" w:rsidR="00DE1776" w:rsidRDefault="00DE1776" w:rsidP="00AC570A">
      <w:r w:rsidRPr="00DE1776">
        <w:rPr>
          <w:b/>
        </w:rPr>
        <w:t>Observation#2:</w:t>
      </w:r>
      <w:r>
        <w:t xml:space="preserve"> Network listening on the RAN node and ANR can </w:t>
      </w:r>
      <w:r w:rsidR="00606596">
        <w:t xml:space="preserve">also </w:t>
      </w:r>
      <w:r>
        <w:t>resolve some of these PCI confusion to a certain extent</w:t>
      </w:r>
      <w:r w:rsidR="00606596" w:rsidRPr="00606596">
        <w:t xml:space="preserve"> </w:t>
      </w:r>
      <w:r w:rsidR="00606596">
        <w:t>by ensuring that no 2 neighbour cells use the same PCI.</w:t>
      </w:r>
      <w:r>
        <w:t xml:space="preserve"> But there will still be some scenarios where PCI confusion may occur (e.g. the network wants to handover from a licensed cell covering 2 small NR-u standalone cell from different PLMN using the same PCI and both small cell is not in close proximity).</w:t>
      </w:r>
    </w:p>
    <w:p w14:paraId="7C476BDD" w14:textId="0D00A0A0" w:rsidR="00DE1776" w:rsidRDefault="00DE1776" w:rsidP="00DE1776">
      <w:r>
        <w:t xml:space="preserve">One existing method to solve the PCI confusion is the network can use the ANR mechanism (i.e. reportCGI) to request the UE to provide the full </w:t>
      </w:r>
      <w:r w:rsidRPr="00022A9D">
        <w:rPr>
          <w:i/>
        </w:rPr>
        <w:t>cellAccessRelatedInfo</w:t>
      </w:r>
      <w:r>
        <w:t xml:space="preserve"> in SIB1 to the network once the UE provided the measurement triggering the handover event and then based on the CGI in the </w:t>
      </w:r>
      <w:r>
        <w:lastRenderedPageBreak/>
        <w:t>cellAccessReslatedInfo to decide whether to handover.  This method is being used for inbound mobility for CSG cell. This method seem to be sufficient to resol</w:t>
      </w:r>
      <w:r w:rsidR="00606596">
        <w:t>ve the issue as identified in Observation#2</w:t>
      </w:r>
      <w:r>
        <w:t>.</w:t>
      </w:r>
    </w:p>
    <w:p w14:paraId="05142473" w14:textId="2B7A61F6" w:rsidR="00DE1776" w:rsidRDefault="0089158F" w:rsidP="00DE1776">
      <w:r>
        <w:rPr>
          <w:b/>
        </w:rPr>
        <w:t>Observationl#3</w:t>
      </w:r>
      <w:r w:rsidR="00DE1776" w:rsidRPr="00022A9D">
        <w:rPr>
          <w:b/>
        </w:rPr>
        <w:t>:</w:t>
      </w:r>
      <w:r w:rsidR="00DE1776">
        <w:t xml:space="preserve"> </w:t>
      </w:r>
      <w:r w:rsidR="00606596">
        <w:t>To resolve PCI confusion in</w:t>
      </w:r>
      <w:r w:rsidR="00DE1776">
        <w:t xml:space="preserve"> handover, the network can use the </w:t>
      </w:r>
      <w:r w:rsidR="00945621">
        <w:t xml:space="preserve">existing </w:t>
      </w:r>
      <w:r w:rsidR="00DE1776">
        <w:t xml:space="preserve">ANR mechanism (i.e. </w:t>
      </w:r>
      <w:r>
        <w:t xml:space="preserve">reportingType = </w:t>
      </w:r>
      <w:r w:rsidR="00DE1776">
        <w:t>reportCGI) to request the UE to provide the full</w:t>
      </w:r>
      <w:r w:rsidR="00DE1776" w:rsidRPr="00022A9D">
        <w:rPr>
          <w:i/>
        </w:rPr>
        <w:t xml:space="preserve"> cellAccessRelatedInfo</w:t>
      </w:r>
      <w:r w:rsidR="00DE1776">
        <w:t xml:space="preserve"> in SIB1 to the network once the UE </w:t>
      </w:r>
      <w:r w:rsidR="00945621">
        <w:t>reported</w:t>
      </w:r>
      <w:r w:rsidR="00DE1776">
        <w:t xml:space="preserve"> the measurement triggering the handover event.</w:t>
      </w:r>
    </w:p>
    <w:p w14:paraId="24A98CAD" w14:textId="34FD8879" w:rsidR="0089158F" w:rsidRDefault="0089158F" w:rsidP="00DE1776">
      <w:r w:rsidRPr="0089158F">
        <w:rPr>
          <w:b/>
        </w:rPr>
        <w:t>Proposal#2:</w:t>
      </w:r>
      <w:r>
        <w:t xml:space="preserve"> RAN2 can assume that PCI confusion occurring during handover can be resolved by network listening and </w:t>
      </w:r>
      <w:r w:rsidR="00945621">
        <w:t xml:space="preserve">existing </w:t>
      </w:r>
      <w:r>
        <w:t xml:space="preserve">ANR mechanism. </w:t>
      </w:r>
    </w:p>
    <w:p w14:paraId="35CED53E" w14:textId="176F2A05" w:rsidR="008955D5" w:rsidRDefault="00DE1776" w:rsidP="00AC570A">
      <w:r>
        <w:t xml:space="preserve">For cell </w:t>
      </w:r>
      <w:r w:rsidR="00606596">
        <w:t>(</w:t>
      </w:r>
      <w:r>
        <w:t>re</w:t>
      </w:r>
      <w:r w:rsidR="00606596">
        <w:t>)</w:t>
      </w:r>
      <w:r>
        <w:t xml:space="preserve">selection, </w:t>
      </w:r>
      <w:r w:rsidR="00C704B9">
        <w:t xml:space="preserve">PCI confusion is manifest in the UE (re)selecting to a cell that are not belong to its registered/selected PLMN (or E-PLMN). In NR, </w:t>
      </w:r>
      <w:r w:rsidR="008955D5">
        <w:t>there are deployment where it is a standalone cell for some PLMNs and only as an EN-DC cell for other PLMNs. This is differentiated via the presence (or absence) of TAC for the PLMN. For UE that belongs to PLMNs that see the cell as EN-DC cell, it will treat the cell as not suitable after reading the SIB1. The same can be applied here as well for NR-u cell that is not the registered PLMN (or equivalent PLMN).</w:t>
      </w:r>
      <w:r w:rsidR="001449BA">
        <w:t xml:space="preserve"> Making the cell not suitable (i.e. being an acceptable cell) allows the cell to be used for emergency call until a suitable cell</w:t>
      </w:r>
      <w:r w:rsidR="002B3F0C">
        <w:t xml:space="preserve"> (e.g. not the best cell)</w:t>
      </w:r>
      <w:r w:rsidR="001449BA">
        <w:t xml:space="preserve"> can be found in the register PLMN.</w:t>
      </w:r>
    </w:p>
    <w:p w14:paraId="67178040" w14:textId="684BB640" w:rsidR="00345247" w:rsidRDefault="00E2319F" w:rsidP="00AC570A">
      <w:r w:rsidRPr="00E2319F">
        <w:rPr>
          <w:b/>
        </w:rPr>
        <w:t>Proposal</w:t>
      </w:r>
      <w:r w:rsidR="00606596">
        <w:rPr>
          <w:b/>
        </w:rPr>
        <w:t>#3</w:t>
      </w:r>
      <w:r w:rsidR="008955D5" w:rsidRPr="00E2319F">
        <w:rPr>
          <w:b/>
        </w:rPr>
        <w:t>:</w:t>
      </w:r>
      <w:r w:rsidR="008955D5">
        <w:t xml:space="preserve"> For cell </w:t>
      </w:r>
      <w:r w:rsidR="00606596">
        <w:t>(</w:t>
      </w:r>
      <w:r w:rsidR="008955D5">
        <w:t>re</w:t>
      </w:r>
      <w:r w:rsidR="00606596">
        <w:t>)</w:t>
      </w:r>
      <w:r w:rsidR="008955D5">
        <w:t>selection,</w:t>
      </w:r>
      <w:r w:rsidR="00C704B9">
        <w:t xml:space="preserve"> </w:t>
      </w:r>
      <w:r w:rsidR="008955D5">
        <w:t>the UE can treat NR-u cell not belonging to its register</w:t>
      </w:r>
      <w:r w:rsidR="0011123F">
        <w:t>ed</w:t>
      </w:r>
      <w:r w:rsidR="00606596">
        <w:t>/selected</w:t>
      </w:r>
      <w:r w:rsidR="008955D5">
        <w:t xml:space="preserve"> PLMN (or E-PLMN) as not suitable cell.  </w:t>
      </w:r>
      <w:r w:rsidR="00950BBC">
        <w:t xml:space="preserve"> </w:t>
      </w:r>
    </w:p>
    <w:p w14:paraId="2AE6D99F" w14:textId="77777777" w:rsidR="00FB082B" w:rsidRPr="003A28F3" w:rsidRDefault="00FB082B" w:rsidP="006D66EA">
      <w:pPr>
        <w:pStyle w:val="Heading1"/>
      </w:pPr>
      <w:r w:rsidRPr="003A28F3">
        <w:t xml:space="preserve">Conclusion and </w:t>
      </w:r>
      <w:r w:rsidRPr="006D66EA">
        <w:t>proposals</w:t>
      </w:r>
    </w:p>
    <w:p w14:paraId="3E672B3F" w14:textId="0EEB60E2" w:rsidR="00C31434" w:rsidRDefault="00C31434" w:rsidP="00FB082B">
      <w:r>
        <w:t xml:space="preserve">In this contribution, the following </w:t>
      </w:r>
      <w:r w:rsidR="004334D9">
        <w:t>observations and proposals are discussed:</w:t>
      </w:r>
    </w:p>
    <w:p w14:paraId="6307CB62" w14:textId="77777777" w:rsidR="0089158F" w:rsidRDefault="0089158F" w:rsidP="0089158F">
      <w:r w:rsidRPr="00EB7FEA">
        <w:rPr>
          <w:b/>
          <w:lang w:val="en-US"/>
        </w:rPr>
        <w:t>Observation#1:</w:t>
      </w:r>
      <w:r>
        <w:rPr>
          <w:lang w:val="en-US"/>
        </w:rPr>
        <w:t xml:space="preserve"> PCI collision can be mitigated </w:t>
      </w:r>
      <w:r>
        <w:t>if it can be assumed that network listening is deployed on the RAN node as well as existing ANR mechanism to choose a PCI that is not used by any cells using the same shared unlicensed frequency in close proximity.</w:t>
      </w:r>
    </w:p>
    <w:p w14:paraId="63E51BAC" w14:textId="6DB26950" w:rsidR="0089158F" w:rsidRDefault="004334D9" w:rsidP="0089158F">
      <w:pPr>
        <w:rPr>
          <w:lang w:val="en-US"/>
        </w:rPr>
      </w:pPr>
      <w:r w:rsidRPr="00463F2B">
        <w:rPr>
          <w:b/>
        </w:rPr>
        <w:t>Pro</w:t>
      </w:r>
      <w:r w:rsidR="0089158F" w:rsidRPr="0089158F">
        <w:rPr>
          <w:b/>
        </w:rPr>
        <w:t xml:space="preserve"> </w:t>
      </w:r>
      <w:r w:rsidR="0089158F" w:rsidRPr="00463F2B">
        <w:rPr>
          <w:b/>
        </w:rPr>
        <w:t>Proposal#1:</w:t>
      </w:r>
      <w:r w:rsidR="0089158F">
        <w:t xml:space="preserve"> Based on Observation#1, RAN2 can assume that PCI collision is not an issue to resolve for NR-u.</w:t>
      </w:r>
    </w:p>
    <w:p w14:paraId="43D57CB1" w14:textId="111D03AC" w:rsidR="0089158F" w:rsidRDefault="0089158F" w:rsidP="0089158F">
      <w:r>
        <w:rPr>
          <w:b/>
        </w:rPr>
        <w:t>Observationl#3</w:t>
      </w:r>
      <w:r w:rsidRPr="00022A9D">
        <w:rPr>
          <w:b/>
        </w:rPr>
        <w:t>:</w:t>
      </w:r>
      <w:r>
        <w:t xml:space="preserve"> </w:t>
      </w:r>
      <w:r w:rsidR="00AC7F2F">
        <w:t>T</w:t>
      </w:r>
      <w:bookmarkStart w:id="2" w:name="_GoBack"/>
      <w:bookmarkEnd w:id="2"/>
      <w:r w:rsidR="00AC7F2F">
        <w:t>o resolve PCI confusion in handover, the network can use the existing ANR mechanism (i.e. reportingType = reportCGI) to request the UE to provide the full</w:t>
      </w:r>
      <w:r w:rsidR="00AC7F2F" w:rsidRPr="00022A9D">
        <w:rPr>
          <w:i/>
        </w:rPr>
        <w:t xml:space="preserve"> cellAccessRelatedInfo</w:t>
      </w:r>
      <w:r w:rsidR="00AC7F2F">
        <w:t xml:space="preserve"> in SIB1 to the network once the UE reported the measurement triggering the handover event.</w:t>
      </w:r>
    </w:p>
    <w:p w14:paraId="701D6984" w14:textId="2EA09745" w:rsidR="0089158F" w:rsidRDefault="0089158F" w:rsidP="0089158F">
      <w:r w:rsidRPr="0089158F">
        <w:rPr>
          <w:b/>
        </w:rPr>
        <w:t>Proposal#2:</w:t>
      </w:r>
      <w:r>
        <w:t xml:space="preserve"> RAN2 can assume that PCI confusion occurring during handover can be resolved by network listening and </w:t>
      </w:r>
      <w:r w:rsidR="00945621">
        <w:t xml:space="preserve">existing </w:t>
      </w:r>
      <w:r>
        <w:t xml:space="preserve">ANR mechanism. </w:t>
      </w:r>
    </w:p>
    <w:p w14:paraId="2799D7E3" w14:textId="2434ABCC" w:rsidR="00EF648F" w:rsidRPr="001C38EC" w:rsidRDefault="00606596" w:rsidP="00EF648F">
      <w:r w:rsidRPr="00E2319F">
        <w:rPr>
          <w:b/>
        </w:rPr>
        <w:t>Proposal</w:t>
      </w:r>
      <w:r>
        <w:rPr>
          <w:b/>
        </w:rPr>
        <w:t>#3</w:t>
      </w:r>
      <w:r w:rsidRPr="00E2319F">
        <w:rPr>
          <w:b/>
        </w:rPr>
        <w:t>:</w:t>
      </w:r>
      <w:r>
        <w:t xml:space="preserve"> For cell (re)selection, the UE can treat NR-u cell not belonging to its registered/selected PLMN (or E-PLMN) as not suitable cell.   </w:t>
      </w:r>
    </w:p>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067FB" w14:textId="77777777" w:rsidR="00982EE5" w:rsidRDefault="00982EE5" w:rsidP="00DF7110">
      <w:pPr>
        <w:spacing w:after="0" w:line="240" w:lineRule="auto"/>
      </w:pPr>
      <w:r>
        <w:separator/>
      </w:r>
    </w:p>
  </w:endnote>
  <w:endnote w:type="continuationSeparator" w:id="0">
    <w:p w14:paraId="1E9E9198" w14:textId="77777777" w:rsidR="00982EE5" w:rsidRDefault="00982EE5"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754EF" w14:textId="77777777" w:rsidR="00982EE5" w:rsidRDefault="00982EE5" w:rsidP="00DF7110">
      <w:pPr>
        <w:spacing w:after="0" w:line="240" w:lineRule="auto"/>
      </w:pPr>
      <w:r>
        <w:separator/>
      </w:r>
    </w:p>
  </w:footnote>
  <w:footnote w:type="continuationSeparator" w:id="0">
    <w:p w14:paraId="17B33547" w14:textId="77777777" w:rsidR="00982EE5" w:rsidRDefault="00982EE5"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abstractNumId w:val="4"/>
  </w:num>
  <w:num w:numId="2">
    <w:abstractNumId w:val="0"/>
  </w:num>
  <w:num w:numId="3">
    <w:abstractNumId w:val="6"/>
  </w:num>
  <w:num w:numId="4">
    <w:abstractNumId w:val="9"/>
  </w:num>
  <w:num w:numId="5">
    <w:abstractNumId w:val="2"/>
  </w:num>
  <w:num w:numId="6">
    <w:abstractNumId w:val="8"/>
  </w:num>
  <w:num w:numId="7">
    <w:abstractNumId w:val="11"/>
  </w:num>
  <w:num w:numId="8">
    <w:abstractNumId w:val="10"/>
  </w:num>
  <w:num w:numId="9">
    <w:abstractNumId w:val="7"/>
  </w:num>
  <w:num w:numId="10">
    <w:abstractNumId w:val="3"/>
  </w:num>
  <w:num w:numId="11">
    <w:abstractNumId w:val="1"/>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91"/>
    <w:rsid w:val="00142378"/>
    <w:rsid w:val="00142AD4"/>
    <w:rsid w:val="00143023"/>
    <w:rsid w:val="0014314E"/>
    <w:rsid w:val="00143410"/>
    <w:rsid w:val="00143EDE"/>
    <w:rsid w:val="001440DA"/>
    <w:rsid w:val="001449B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846"/>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3F0C"/>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883"/>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3F2B"/>
    <w:rsid w:val="004640D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72D"/>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6596"/>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158F"/>
    <w:rsid w:val="00894F02"/>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21"/>
    <w:rsid w:val="009456F0"/>
    <w:rsid w:val="00947168"/>
    <w:rsid w:val="009472A7"/>
    <w:rsid w:val="00947690"/>
    <w:rsid w:val="009502FE"/>
    <w:rsid w:val="009505CF"/>
    <w:rsid w:val="00950BBC"/>
    <w:rsid w:val="009513D7"/>
    <w:rsid w:val="009514B4"/>
    <w:rsid w:val="009516E1"/>
    <w:rsid w:val="009518EA"/>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2EE5"/>
    <w:rsid w:val="0098317B"/>
    <w:rsid w:val="0098437C"/>
    <w:rsid w:val="009843C0"/>
    <w:rsid w:val="009843EB"/>
    <w:rsid w:val="0098485C"/>
    <w:rsid w:val="00984950"/>
    <w:rsid w:val="00984FD5"/>
    <w:rsid w:val="009865BF"/>
    <w:rsid w:val="0098673B"/>
    <w:rsid w:val="00987B80"/>
    <w:rsid w:val="009907F1"/>
    <w:rsid w:val="00990867"/>
    <w:rsid w:val="0099144A"/>
    <w:rsid w:val="00991A2E"/>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C7F2F"/>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4B9"/>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0F42"/>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47C"/>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776"/>
    <w:rsid w:val="00DE1ABB"/>
    <w:rsid w:val="00DE3012"/>
    <w:rsid w:val="00DE313F"/>
    <w:rsid w:val="00DE323E"/>
    <w:rsid w:val="00DE33A2"/>
    <w:rsid w:val="00DE354C"/>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69A"/>
    <w:rsid w:val="00E07ECF"/>
    <w:rsid w:val="00E10347"/>
    <w:rsid w:val="00E11331"/>
    <w:rsid w:val="00E115BD"/>
    <w:rsid w:val="00E12D12"/>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1F97"/>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5EC3"/>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3309239">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825A75-1CF7-4128-9B3A-5E5CEBF31470}">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elements/1.1/"/>
    <ds:schemaRef ds:uri="http://www.w3.org/XML/1998/namespace"/>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5954</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2018-11-01T21:24:00Z</dcterms:created>
  <dcterms:modified xsi:type="dcterms:W3CDTF">2018-11-01T21:24:00Z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13:56:16Z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