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6F8AB57F"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Pr>
          <w:sz w:val="24"/>
          <w:lang w:val="en-GB" w:eastAsia="zh-CN"/>
        </w:rPr>
        <w:t>R2-18</w:t>
      </w:r>
      <w:r w:rsidR="00A27826">
        <w:rPr>
          <w:sz w:val="24"/>
          <w:lang w:val="en-GB" w:eastAsia="zh-CN"/>
        </w:rPr>
        <w:t>14066</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A7B6A0F"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0742B">
        <w:rPr>
          <w:rFonts w:eastAsia="SimSun" w:cs="Arial"/>
          <w:b/>
          <w:bCs/>
          <w:sz w:val="24"/>
          <w:lang w:val="en-US"/>
        </w:rPr>
        <w:t>11.4.</w:t>
      </w:r>
      <w:r w:rsidR="008364DC">
        <w:rPr>
          <w:rFonts w:eastAsia="SimSun" w:cs="Arial"/>
          <w:b/>
          <w:bCs/>
          <w:sz w:val="24"/>
          <w:lang w:val="en-US"/>
        </w:rPr>
        <w:t>2.</w:t>
      </w:r>
      <w:r w:rsidR="0000742B">
        <w:rPr>
          <w:rFonts w:eastAsia="SimSun" w:cs="Arial"/>
          <w:b/>
          <w:bCs/>
          <w:sz w:val="24"/>
          <w:lang w:val="en-US"/>
        </w:rPr>
        <w:t>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62B82484"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3013F" w:rsidRPr="00B3013F">
        <w:rPr>
          <w:rFonts w:ascii="Arial" w:hAnsi="Arial" w:cs="Arial"/>
          <w:b/>
          <w:bCs/>
          <w:sz w:val="24"/>
        </w:rPr>
        <w:t>Sidelink resource allocation for unicast vs broadcast operation</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0116C837" w:rsidR="007356BA" w:rsidRPr="00C11F0A" w:rsidRDefault="00B3013F"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With the potential support of unicast, groupcast and broadcast transmission on the cards for Rel-16 V2X</w:t>
      </w:r>
      <w:r w:rsidR="00AA1496">
        <w:rPr>
          <w:rFonts w:ascii="Times New Roman" w:hAnsi="Times New Roman"/>
          <w:sz w:val="20"/>
          <w:szCs w:val="20"/>
          <w:lang w:eastAsia="zh-CN"/>
        </w:rPr>
        <w:t xml:space="preserve"> </w:t>
      </w:r>
      <w:sdt>
        <w:sdtPr>
          <w:rPr>
            <w:rFonts w:ascii="Times New Roman" w:hAnsi="Times New Roman"/>
            <w:sz w:val="20"/>
            <w:szCs w:val="20"/>
            <w:lang w:eastAsia="zh-CN"/>
          </w:rPr>
          <w:id w:val="-1030031707"/>
          <w:citation/>
        </w:sdtPr>
        <w:sdtEndPr/>
        <w:sdtContent>
          <w:r w:rsidR="00AA1496">
            <w:rPr>
              <w:rFonts w:ascii="Times New Roman" w:hAnsi="Times New Roman"/>
              <w:sz w:val="20"/>
              <w:szCs w:val="20"/>
              <w:lang w:eastAsia="zh-CN"/>
            </w:rPr>
            <w:fldChar w:fldCharType="begin"/>
          </w:r>
          <w:r w:rsidR="00AA1496">
            <w:rPr>
              <w:rFonts w:ascii="Times New Roman" w:hAnsi="Times New Roman"/>
              <w:sz w:val="20"/>
              <w:szCs w:val="20"/>
              <w:lang w:eastAsia="zh-CN"/>
            </w:rPr>
            <w:instrText xml:space="preserve"> CITATION NRv2XSI \l 1033 </w:instrText>
          </w:r>
          <w:r w:rsidR="00AA1496">
            <w:rPr>
              <w:rFonts w:ascii="Times New Roman" w:hAnsi="Times New Roman"/>
              <w:sz w:val="20"/>
              <w:szCs w:val="20"/>
              <w:lang w:eastAsia="zh-CN"/>
            </w:rPr>
            <w:fldChar w:fldCharType="separate"/>
          </w:r>
          <w:r w:rsidR="00E43B63" w:rsidRPr="00E43B63">
            <w:rPr>
              <w:rFonts w:ascii="Times New Roman" w:hAnsi="Times New Roman"/>
              <w:noProof/>
              <w:sz w:val="20"/>
              <w:szCs w:val="20"/>
              <w:lang w:eastAsia="zh-CN"/>
            </w:rPr>
            <w:t>[1]</w:t>
          </w:r>
          <w:r w:rsidR="00AA1496">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there is a need to discuss the impact of supporting these various modes of operation on resource configuration and allocation </w:t>
      </w:r>
      <w:r w:rsidR="00AA1496">
        <w:rPr>
          <w:rFonts w:ascii="Times New Roman" w:hAnsi="Times New Roman"/>
          <w:sz w:val="20"/>
          <w:szCs w:val="20"/>
          <w:lang w:eastAsia="zh-CN"/>
        </w:rPr>
        <w:t>for</w:t>
      </w:r>
      <w:r>
        <w:rPr>
          <w:rFonts w:ascii="Times New Roman" w:hAnsi="Times New Roman"/>
          <w:sz w:val="20"/>
          <w:szCs w:val="20"/>
          <w:lang w:eastAsia="zh-CN"/>
        </w:rPr>
        <w:t xml:space="preserve"> NR sidelink. In this paper, w</w:t>
      </w:r>
      <w:r w:rsidR="00851FB1">
        <w:rPr>
          <w:rFonts w:ascii="Times New Roman" w:hAnsi="Times New Roman"/>
          <w:sz w:val="20"/>
          <w:szCs w:val="20"/>
          <w:lang w:eastAsia="ja-JP"/>
        </w:rPr>
        <w:t xml:space="preserve">e </w:t>
      </w:r>
      <w:r>
        <w:rPr>
          <w:rFonts w:ascii="Times New Roman" w:hAnsi="Times New Roman"/>
          <w:sz w:val="20"/>
          <w:szCs w:val="20"/>
          <w:lang w:eastAsia="ja-JP"/>
        </w:rPr>
        <w:t xml:space="preserve">discuss </w:t>
      </w:r>
      <w:r w:rsidR="00851FB1">
        <w:rPr>
          <w:rFonts w:ascii="Times New Roman" w:hAnsi="Times New Roman"/>
          <w:sz w:val="20"/>
          <w:szCs w:val="20"/>
          <w:lang w:eastAsia="ja-JP"/>
        </w:rPr>
        <w:t>this</w:t>
      </w:r>
      <w:r w:rsidR="00850DC6">
        <w:rPr>
          <w:rFonts w:ascii="Times New Roman" w:hAnsi="Times New Roman"/>
          <w:sz w:val="20"/>
          <w:szCs w:val="20"/>
          <w:lang w:eastAsia="ja-JP"/>
        </w:rPr>
        <w:t xml:space="preserve"> </w:t>
      </w:r>
      <w:r w:rsidR="001F03C4">
        <w:rPr>
          <w:rFonts w:ascii="Times New Roman" w:hAnsi="Times New Roman"/>
          <w:sz w:val="20"/>
          <w:szCs w:val="20"/>
          <w:lang w:eastAsia="ja-JP"/>
        </w:rPr>
        <w:t xml:space="preserve">aspect </w:t>
      </w:r>
      <w:r w:rsidR="00851FB1">
        <w:rPr>
          <w:rFonts w:ascii="Times New Roman" w:hAnsi="Times New Roman"/>
          <w:sz w:val="20"/>
          <w:szCs w:val="20"/>
          <w:lang w:eastAsia="ja-JP"/>
        </w:rPr>
        <w:t>from RAN2 point of view and present our view</w:t>
      </w:r>
      <w:r w:rsidR="00BD67D0">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1BA03D25" w:rsidR="00305CD5" w:rsidRDefault="00934A5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Resource allocation/configuration for broadcast</w:t>
      </w:r>
      <w:r w:rsidR="00443E40">
        <w:rPr>
          <w:rFonts w:ascii="Arial" w:eastAsia="MS Mincho" w:hAnsi="Arial" w:cs="Arial"/>
          <w:bCs/>
          <w:sz w:val="26"/>
          <w:szCs w:val="26"/>
          <w:lang w:val="en-GB" w:eastAsia="en-GB"/>
        </w:rPr>
        <w:t xml:space="preserve"> operation</w:t>
      </w:r>
    </w:p>
    <w:p w14:paraId="7907C37E" w14:textId="5876D0CF" w:rsidR="00934A52" w:rsidRDefault="00934A52" w:rsidP="00934A52">
      <w:pPr>
        <w:rPr>
          <w:rFonts w:ascii="Times New Roman" w:hAnsi="Times New Roman"/>
          <w:sz w:val="20"/>
          <w:lang w:val="en-GB" w:eastAsia="zh-CN"/>
        </w:rPr>
      </w:pPr>
      <w:r>
        <w:rPr>
          <w:rFonts w:ascii="Times New Roman" w:hAnsi="Times New Roman"/>
          <w:sz w:val="20"/>
          <w:lang w:val="en-GB" w:eastAsia="zh-CN"/>
        </w:rPr>
        <w:t xml:space="preserve">Broadcast based operation over NR sidelink is expected to be the baseline for NR V2X. This is similar to the overall LTE V2X operation and so, the resource allocation and configuration over sidelink can follow in a similar fashion. Specifically, based on whether the UE is operating in network scheduled resource allocation mode (mode 1) or autonomous resource selection mode </w:t>
      </w:r>
      <w:r w:rsidR="00B33EE3">
        <w:rPr>
          <w:rFonts w:ascii="Times New Roman" w:hAnsi="Times New Roman"/>
          <w:sz w:val="20"/>
          <w:lang w:val="en-GB" w:eastAsia="zh-CN"/>
        </w:rPr>
        <w:t xml:space="preserve">based on sensing </w:t>
      </w:r>
      <w:r>
        <w:rPr>
          <w:rFonts w:ascii="Times New Roman" w:hAnsi="Times New Roman"/>
          <w:sz w:val="20"/>
          <w:lang w:val="en-GB" w:eastAsia="zh-CN"/>
        </w:rPr>
        <w:t xml:space="preserve">(mode 2), the procedures for acquiring resources for broadcast over sidelink can </w:t>
      </w:r>
      <w:r w:rsidR="00AA1496">
        <w:rPr>
          <w:rFonts w:ascii="Times New Roman" w:hAnsi="Times New Roman"/>
          <w:sz w:val="20"/>
          <w:lang w:val="en-GB" w:eastAsia="zh-CN"/>
        </w:rPr>
        <w:t>be based on</w:t>
      </w:r>
      <w:r>
        <w:rPr>
          <w:rFonts w:ascii="Times New Roman" w:hAnsi="Times New Roman"/>
          <w:sz w:val="20"/>
          <w:lang w:val="en-GB" w:eastAsia="zh-CN"/>
        </w:rPr>
        <w:t xml:space="preserve"> LTE</w:t>
      </w:r>
      <w:r w:rsidR="00AA1496">
        <w:rPr>
          <w:rFonts w:ascii="Times New Roman" w:hAnsi="Times New Roman"/>
          <w:sz w:val="20"/>
          <w:lang w:val="en-GB" w:eastAsia="zh-CN"/>
        </w:rPr>
        <w:t xml:space="preserve"> V2X</w:t>
      </w:r>
      <w:r w:rsidR="00B33EE3">
        <w:rPr>
          <w:rFonts w:ascii="Times New Roman" w:hAnsi="Times New Roman"/>
          <w:sz w:val="20"/>
          <w:lang w:val="en-GB" w:eastAsia="zh-CN"/>
        </w:rPr>
        <w:t xml:space="preserve"> (following RAN1 agreements </w:t>
      </w:r>
      <w:sdt>
        <w:sdtPr>
          <w:rPr>
            <w:rFonts w:ascii="Times New Roman" w:hAnsi="Times New Roman"/>
            <w:sz w:val="20"/>
            <w:lang w:val="en-GB" w:eastAsia="zh-CN"/>
          </w:rPr>
          <w:id w:val="-1964188003"/>
          <w:citation/>
        </w:sdtPr>
        <w:sdtEndPr/>
        <w:sdtContent>
          <w:r w:rsidR="00B33EE3">
            <w:rPr>
              <w:rFonts w:ascii="Times New Roman" w:hAnsi="Times New Roman"/>
              <w:sz w:val="20"/>
              <w:lang w:val="en-GB" w:eastAsia="zh-CN"/>
            </w:rPr>
            <w:fldChar w:fldCharType="begin"/>
          </w:r>
          <w:r w:rsidR="00B33EE3">
            <w:rPr>
              <w:rFonts w:ascii="Times New Roman" w:hAnsi="Times New Roman"/>
              <w:sz w:val="20"/>
              <w:lang w:eastAsia="zh-CN"/>
            </w:rPr>
            <w:instrText xml:space="preserve"> CITATION RAN194 \l 1033 </w:instrText>
          </w:r>
          <w:r w:rsidR="00B33EE3">
            <w:rPr>
              <w:rFonts w:ascii="Times New Roman" w:hAnsi="Times New Roman"/>
              <w:sz w:val="20"/>
              <w:lang w:val="en-GB" w:eastAsia="zh-CN"/>
            </w:rPr>
            <w:fldChar w:fldCharType="separate"/>
          </w:r>
          <w:r w:rsidR="00E43B63" w:rsidRPr="00E43B63">
            <w:rPr>
              <w:rFonts w:ascii="Times New Roman" w:hAnsi="Times New Roman"/>
              <w:noProof/>
              <w:sz w:val="20"/>
              <w:lang w:eastAsia="zh-CN"/>
            </w:rPr>
            <w:t>[2]</w:t>
          </w:r>
          <w:r w:rsidR="00B33EE3">
            <w:rPr>
              <w:rFonts w:ascii="Times New Roman" w:hAnsi="Times New Roman"/>
              <w:sz w:val="20"/>
              <w:lang w:val="en-GB" w:eastAsia="zh-CN"/>
            </w:rPr>
            <w:fldChar w:fldCharType="end"/>
          </w:r>
        </w:sdtContent>
      </w:sdt>
      <w:r w:rsidR="00B33EE3">
        <w:rPr>
          <w:rFonts w:ascii="Times New Roman" w:hAnsi="Times New Roman"/>
          <w:sz w:val="20"/>
          <w:lang w:val="en-GB" w:eastAsia="zh-CN"/>
        </w:rPr>
        <w:t>)</w:t>
      </w:r>
      <w:r>
        <w:rPr>
          <w:rFonts w:ascii="Times New Roman" w:hAnsi="Times New Roman"/>
          <w:sz w:val="20"/>
          <w:lang w:val="en-GB" w:eastAsia="zh-CN"/>
        </w:rPr>
        <w:t xml:space="preserve">. </w:t>
      </w:r>
      <w:r w:rsidR="003400B0">
        <w:rPr>
          <w:rFonts w:ascii="Times New Roman" w:hAnsi="Times New Roman"/>
          <w:sz w:val="20"/>
          <w:lang w:val="en-GB" w:eastAsia="zh-CN"/>
        </w:rPr>
        <w:t>Given the limited timeline of the SI and the fact that the pool based resource allocation mechanism seems to work well for LTE V2X, it makes logical sense to extend this overall functionality to NR V2X sidelink, at least for the case of broadcast.</w:t>
      </w:r>
    </w:p>
    <w:p w14:paraId="3FFB0007" w14:textId="421611ED" w:rsidR="003400B0" w:rsidRPr="00100A13" w:rsidRDefault="00100A13" w:rsidP="00100A1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overall TX/RX resource pool allocation/configuration mechanism for LTE V2X should be reused for NR V2X operation.</w:t>
      </w:r>
    </w:p>
    <w:p w14:paraId="68586CC0" w14:textId="35504A61" w:rsidR="003400B0" w:rsidRDefault="003400B0" w:rsidP="00934A52">
      <w:pPr>
        <w:rPr>
          <w:rFonts w:ascii="Times New Roman" w:hAnsi="Times New Roman"/>
          <w:sz w:val="20"/>
          <w:lang w:val="en-GB" w:eastAsia="zh-CN"/>
        </w:rPr>
      </w:pPr>
      <w:r>
        <w:rPr>
          <w:rFonts w:ascii="Times New Roman" w:hAnsi="Times New Roman"/>
          <w:sz w:val="20"/>
          <w:lang w:val="en-GB" w:eastAsia="zh-CN"/>
        </w:rPr>
        <w:t>Similarly, the concept of ex</w:t>
      </w:r>
      <w:r w:rsidR="00AA1496">
        <w:rPr>
          <w:rFonts w:ascii="Times New Roman" w:hAnsi="Times New Roman"/>
          <w:sz w:val="20"/>
          <w:lang w:val="en-GB" w:eastAsia="zh-CN"/>
        </w:rPr>
        <w:t>ceptional pools can be extended</w:t>
      </w:r>
      <w:r>
        <w:rPr>
          <w:rFonts w:ascii="Times New Roman" w:hAnsi="Times New Roman"/>
          <w:sz w:val="20"/>
          <w:lang w:val="en-GB" w:eastAsia="zh-CN"/>
        </w:rPr>
        <w:t>. In LTE, exceptional TX pools were designed to be used for specific scenarios where the UE cannot use the ‘normal’ TX pools (e.g. handover, RLF, transition from RRC_IDLE to RRC_CONNECTED, etc.) and require</w:t>
      </w:r>
      <w:r w:rsidR="00B33EE3">
        <w:rPr>
          <w:rFonts w:ascii="Times New Roman" w:hAnsi="Times New Roman"/>
          <w:sz w:val="20"/>
          <w:lang w:val="en-GB" w:eastAsia="zh-CN"/>
        </w:rPr>
        <w:t>s</w:t>
      </w:r>
      <w:r>
        <w:rPr>
          <w:rFonts w:ascii="Times New Roman" w:hAnsi="Times New Roman"/>
          <w:sz w:val="20"/>
          <w:lang w:val="en-GB" w:eastAsia="zh-CN"/>
        </w:rPr>
        <w:t xml:space="preserve"> resources for urgent transmission. In this case, it may select resources in exceptions pool for V2X transmission</w:t>
      </w:r>
      <w:r w:rsidR="00B33EE3">
        <w:rPr>
          <w:rFonts w:ascii="Times New Roman" w:hAnsi="Times New Roman"/>
          <w:sz w:val="20"/>
          <w:lang w:val="en-GB" w:eastAsia="zh-CN"/>
        </w:rPr>
        <w:t xml:space="preserve"> </w:t>
      </w:r>
      <w:sdt>
        <w:sdtPr>
          <w:rPr>
            <w:rFonts w:ascii="Times New Roman" w:hAnsi="Times New Roman"/>
            <w:sz w:val="20"/>
            <w:lang w:val="en-GB" w:eastAsia="zh-CN"/>
          </w:rPr>
          <w:id w:val="1471947424"/>
          <w:citation/>
        </w:sdtPr>
        <w:sdtEndPr/>
        <w:sdtContent>
          <w:r w:rsidR="00B33EE3">
            <w:rPr>
              <w:rFonts w:ascii="Times New Roman" w:hAnsi="Times New Roman"/>
              <w:sz w:val="20"/>
              <w:lang w:val="en-GB" w:eastAsia="zh-CN"/>
            </w:rPr>
            <w:fldChar w:fldCharType="begin"/>
          </w:r>
          <w:r w:rsidR="00B33EE3">
            <w:rPr>
              <w:rFonts w:ascii="Times New Roman" w:hAnsi="Times New Roman"/>
              <w:sz w:val="20"/>
              <w:lang w:eastAsia="zh-CN"/>
            </w:rPr>
            <w:instrText xml:space="preserve"> CITATION 36300 \l 1033 </w:instrText>
          </w:r>
          <w:r w:rsidR="00B33EE3">
            <w:rPr>
              <w:rFonts w:ascii="Times New Roman" w:hAnsi="Times New Roman"/>
              <w:sz w:val="20"/>
              <w:lang w:val="en-GB" w:eastAsia="zh-CN"/>
            </w:rPr>
            <w:fldChar w:fldCharType="separate"/>
          </w:r>
          <w:r w:rsidR="00E43B63" w:rsidRPr="00E43B63">
            <w:rPr>
              <w:rFonts w:ascii="Times New Roman" w:hAnsi="Times New Roman"/>
              <w:noProof/>
              <w:sz w:val="20"/>
              <w:lang w:eastAsia="zh-CN"/>
            </w:rPr>
            <w:t>[3]</w:t>
          </w:r>
          <w:r w:rsidR="00B33EE3">
            <w:rPr>
              <w:rFonts w:ascii="Times New Roman" w:hAnsi="Times New Roman"/>
              <w:sz w:val="20"/>
              <w:lang w:val="en-GB" w:eastAsia="zh-CN"/>
            </w:rPr>
            <w:fldChar w:fldCharType="end"/>
          </w:r>
        </w:sdtContent>
      </w:sdt>
      <w:r>
        <w:rPr>
          <w:rFonts w:ascii="Times New Roman" w:hAnsi="Times New Roman"/>
          <w:sz w:val="20"/>
          <w:lang w:val="en-GB" w:eastAsia="zh-CN"/>
        </w:rPr>
        <w:t>. For instance, in case of handover, the exceptional pool configuration can be included in the handover command and UE c</w:t>
      </w:r>
      <w:r w:rsidR="00B33EE3">
        <w:rPr>
          <w:rFonts w:ascii="Times New Roman" w:hAnsi="Times New Roman"/>
          <w:sz w:val="20"/>
          <w:lang w:val="en-GB" w:eastAsia="zh-CN"/>
        </w:rPr>
        <w:t>an use it to perform</w:t>
      </w:r>
      <w:r>
        <w:rPr>
          <w:rFonts w:ascii="Times New Roman" w:hAnsi="Times New Roman"/>
          <w:sz w:val="20"/>
          <w:lang w:val="en-GB" w:eastAsia="zh-CN"/>
        </w:rPr>
        <w:t xml:space="preserve"> V2X transmission in the interim.</w:t>
      </w:r>
      <w:r w:rsidR="0028689C">
        <w:rPr>
          <w:rFonts w:ascii="Times New Roman" w:hAnsi="Times New Roman"/>
          <w:sz w:val="20"/>
          <w:lang w:val="en-GB" w:eastAsia="zh-CN"/>
        </w:rPr>
        <w:t xml:space="preserve"> Similarly, for RLF, the UE can use exceptional pool from configuration provided in SIB temporarily. For NR, depending on the mobility of the individual V-UEs, reusing the same functionality can be useful. </w:t>
      </w:r>
      <w:r w:rsidR="00F22C9F">
        <w:rPr>
          <w:rFonts w:ascii="Times New Roman" w:hAnsi="Times New Roman"/>
          <w:sz w:val="20"/>
          <w:lang w:val="en-GB" w:eastAsia="zh-CN"/>
        </w:rPr>
        <w:t xml:space="preserve">While it can be argued that the use of exceptional TX resource pool may cause resource segmentation and inefficient operation, we think that the advantages of using it outweigh the demerits. </w:t>
      </w:r>
      <w:r w:rsidR="0028689C">
        <w:rPr>
          <w:rFonts w:ascii="Times New Roman" w:hAnsi="Times New Roman"/>
          <w:sz w:val="20"/>
          <w:lang w:val="en-GB" w:eastAsia="zh-CN"/>
        </w:rPr>
        <w:t xml:space="preserve">So, we propose to reuse the exceptional pool functionality </w:t>
      </w:r>
      <w:r w:rsidR="00F22C9F">
        <w:rPr>
          <w:rFonts w:ascii="Times New Roman" w:hAnsi="Times New Roman"/>
          <w:sz w:val="20"/>
          <w:lang w:val="en-GB" w:eastAsia="zh-CN"/>
        </w:rPr>
        <w:t>for NR sidelink broadcast V2X transmissions</w:t>
      </w:r>
      <w:r w:rsidR="00100A13">
        <w:rPr>
          <w:rFonts w:ascii="Times New Roman" w:hAnsi="Times New Roman"/>
          <w:sz w:val="20"/>
          <w:lang w:val="en-GB" w:eastAsia="zh-CN"/>
        </w:rPr>
        <w:t>. Of course, further enhancements with regard to configuration and usage criteria can be discussed during the course of the study/work item.</w:t>
      </w:r>
    </w:p>
    <w:p w14:paraId="06CCE6BA" w14:textId="235A6E5C" w:rsidR="00100A13" w:rsidRDefault="00100A13" w:rsidP="00100A1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concept of exceptional TX resource pools for sidelink V2X transmission is introduced for NR based on LTE V2X.</w:t>
      </w:r>
    </w:p>
    <w:p w14:paraId="63BA8D55" w14:textId="77777777" w:rsidR="00100A13" w:rsidRDefault="00100A13" w:rsidP="00934A52">
      <w:pPr>
        <w:rPr>
          <w:rFonts w:ascii="Times New Roman" w:hAnsi="Times New Roman"/>
          <w:sz w:val="20"/>
          <w:lang w:val="en-GB" w:eastAsia="zh-CN"/>
        </w:rPr>
      </w:pPr>
      <w:bookmarkStart w:id="0" w:name="_GoBack"/>
      <w:bookmarkEnd w:id="0"/>
    </w:p>
    <w:p w14:paraId="1185CF0F" w14:textId="1FBAF866" w:rsidR="00513956" w:rsidRPr="00100A13" w:rsidRDefault="00934A5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Resource </w:t>
      </w:r>
      <w:r w:rsidR="00100A13">
        <w:rPr>
          <w:rFonts w:ascii="Arial" w:eastAsia="MS Mincho" w:hAnsi="Arial" w:cs="Arial"/>
          <w:bCs/>
          <w:sz w:val="26"/>
          <w:szCs w:val="26"/>
          <w:lang w:val="en-GB" w:eastAsia="en-GB"/>
        </w:rPr>
        <w:t>allocation</w:t>
      </w:r>
      <w:r w:rsidR="00443E40">
        <w:rPr>
          <w:rFonts w:ascii="Arial" w:eastAsia="MS Mincho" w:hAnsi="Arial" w:cs="Arial"/>
          <w:bCs/>
          <w:sz w:val="26"/>
          <w:szCs w:val="26"/>
          <w:lang w:val="en-GB" w:eastAsia="en-GB"/>
        </w:rPr>
        <w:t>/configuration</w:t>
      </w:r>
      <w:r w:rsidR="00100A13">
        <w:rPr>
          <w:rFonts w:ascii="Arial" w:eastAsia="MS Mincho" w:hAnsi="Arial" w:cs="Arial"/>
          <w:bCs/>
          <w:sz w:val="26"/>
          <w:szCs w:val="26"/>
          <w:lang w:val="en-GB" w:eastAsia="en-GB"/>
        </w:rPr>
        <w:t xml:space="preserve"> for unicast operation</w:t>
      </w:r>
    </w:p>
    <w:p w14:paraId="5A9412C1" w14:textId="1C9B626C" w:rsidR="00513956" w:rsidRDefault="00B3013F" w:rsidP="00305CD5">
      <w:pPr>
        <w:rPr>
          <w:rFonts w:ascii="Times New Roman" w:hAnsi="Times New Roman"/>
          <w:sz w:val="20"/>
          <w:lang w:val="en-GB" w:eastAsia="zh-CN"/>
        </w:rPr>
      </w:pPr>
      <w:r>
        <w:rPr>
          <w:rFonts w:ascii="Times New Roman" w:hAnsi="Times New Roman"/>
          <w:sz w:val="20"/>
          <w:lang w:val="en-GB" w:eastAsia="zh-CN"/>
        </w:rPr>
        <w:t>Since the fundamental difference between broadcast and unicast/groupcast transmissions is based on whether they are addressed for a specific UE or a set of UE (which have been determined previously during the connection establishment procedure), this gives rise to the question whether the physical resources utilized for V2X transmissions are dedicated or shared with those used for broadcast transmissions. With the advanced use cases and stringent requirements, unicast transmissions are expected to be used for high reliability and low latency cases, e.g. extended sensor sharing and remote driving</w:t>
      </w:r>
      <w:r w:rsidR="0063286E">
        <w:rPr>
          <w:rFonts w:ascii="Times New Roman" w:hAnsi="Times New Roman"/>
          <w:sz w:val="20"/>
          <w:lang w:val="en-GB" w:eastAsia="zh-CN"/>
        </w:rPr>
        <w:t xml:space="preserve"> </w:t>
      </w:r>
      <w:sdt>
        <w:sdtPr>
          <w:rPr>
            <w:rFonts w:ascii="Times New Roman" w:hAnsi="Times New Roman"/>
            <w:sz w:val="20"/>
            <w:lang w:val="en-GB" w:eastAsia="zh-CN"/>
          </w:rPr>
          <w:id w:val="1998300619"/>
          <w:citation/>
        </w:sdtPr>
        <w:sdtEndPr/>
        <w:sdtContent>
          <w:r w:rsidR="0063286E">
            <w:rPr>
              <w:rFonts w:ascii="Times New Roman" w:hAnsi="Times New Roman"/>
              <w:sz w:val="20"/>
              <w:lang w:val="en-GB" w:eastAsia="zh-CN"/>
            </w:rPr>
            <w:fldChar w:fldCharType="begin"/>
          </w:r>
          <w:r w:rsidR="0063286E">
            <w:rPr>
              <w:rFonts w:ascii="Times New Roman" w:hAnsi="Times New Roman"/>
              <w:sz w:val="20"/>
              <w:lang w:eastAsia="zh-CN"/>
            </w:rPr>
            <w:instrText xml:space="preserve"> CITATION 22186 \l 1033 </w:instrText>
          </w:r>
          <w:r w:rsidR="0063286E">
            <w:rPr>
              <w:rFonts w:ascii="Times New Roman" w:hAnsi="Times New Roman"/>
              <w:sz w:val="20"/>
              <w:lang w:val="en-GB" w:eastAsia="zh-CN"/>
            </w:rPr>
            <w:fldChar w:fldCharType="separate"/>
          </w:r>
          <w:r w:rsidR="00E43B63" w:rsidRPr="00E43B63">
            <w:rPr>
              <w:rFonts w:ascii="Times New Roman" w:hAnsi="Times New Roman"/>
              <w:noProof/>
              <w:sz w:val="20"/>
              <w:lang w:eastAsia="zh-CN"/>
            </w:rPr>
            <w:t>[4]</w:t>
          </w:r>
          <w:r w:rsidR="0063286E">
            <w:rPr>
              <w:rFonts w:ascii="Times New Roman" w:hAnsi="Times New Roman"/>
              <w:sz w:val="20"/>
              <w:lang w:val="en-GB" w:eastAsia="zh-CN"/>
            </w:rPr>
            <w:fldChar w:fldCharType="end"/>
          </w:r>
        </w:sdtContent>
      </w:sdt>
      <w:r>
        <w:rPr>
          <w:rFonts w:ascii="Times New Roman" w:hAnsi="Times New Roman"/>
          <w:sz w:val="20"/>
          <w:lang w:val="en-GB" w:eastAsia="zh-CN"/>
        </w:rPr>
        <w:t xml:space="preserve">. In such cases, it is imperative that transmissions from UEs for these use cases/V2X services are afforded the appropriate set of resources and QoS necessary for proper operation. </w:t>
      </w:r>
    </w:p>
    <w:p w14:paraId="7C21A3BF" w14:textId="5881F236" w:rsidR="00F22C9F" w:rsidRPr="00F22C9F" w:rsidRDefault="00F22C9F"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Observation</w:t>
      </w:r>
      <w:r w:rsidR="00773DDF">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For unicast operation, a suitable set of sidelink resources needs to be ensured </w:t>
      </w:r>
      <w:r w:rsidR="0063286E">
        <w:rPr>
          <w:rFonts w:ascii="Times New Roman" w:eastAsia="Times New Roman" w:hAnsi="Times New Roman"/>
          <w:bCs/>
          <w:i/>
          <w:sz w:val="20"/>
          <w:szCs w:val="20"/>
          <w:lang w:val="en-GB" w:eastAsia="zh-CN"/>
        </w:rPr>
        <w:t xml:space="preserve">in order </w:t>
      </w:r>
      <w:r>
        <w:rPr>
          <w:rFonts w:ascii="Times New Roman" w:eastAsia="Times New Roman" w:hAnsi="Times New Roman"/>
          <w:bCs/>
          <w:i/>
          <w:sz w:val="20"/>
          <w:szCs w:val="20"/>
          <w:lang w:val="en-GB" w:eastAsia="zh-CN"/>
        </w:rPr>
        <w:t>to meet the stringent QoS requirements for advanced V2X use cases.</w:t>
      </w:r>
    </w:p>
    <w:p w14:paraId="6C8ABC3B" w14:textId="62C3C1FD" w:rsidR="00544AAA" w:rsidRPr="00544AAA" w:rsidRDefault="00F22C9F" w:rsidP="00544AAA">
      <w:pPr>
        <w:rPr>
          <w:rFonts w:ascii="Times New Roman" w:hAnsi="Times New Roman"/>
          <w:sz w:val="20"/>
          <w:lang w:val="en-GB" w:eastAsia="zh-CN"/>
        </w:rPr>
      </w:pPr>
      <w:r>
        <w:rPr>
          <w:rFonts w:ascii="Times New Roman" w:hAnsi="Times New Roman"/>
          <w:sz w:val="20"/>
          <w:lang w:val="en-GB" w:eastAsia="zh-CN"/>
        </w:rPr>
        <w:t>In this regard, f</w:t>
      </w:r>
      <w:r w:rsidR="00B3013F">
        <w:rPr>
          <w:rFonts w:ascii="Times New Roman" w:hAnsi="Times New Roman"/>
          <w:sz w:val="20"/>
          <w:lang w:val="en-GB" w:eastAsia="zh-CN"/>
        </w:rPr>
        <w:t xml:space="preserve">or NR V2X, a </w:t>
      </w:r>
      <w:r>
        <w:rPr>
          <w:rFonts w:ascii="Times New Roman" w:hAnsi="Times New Roman"/>
          <w:sz w:val="20"/>
          <w:lang w:val="en-GB" w:eastAsia="zh-CN"/>
        </w:rPr>
        <w:t xml:space="preserve">necessary </w:t>
      </w:r>
      <w:r w:rsidR="00B3013F">
        <w:rPr>
          <w:rFonts w:ascii="Times New Roman" w:hAnsi="Times New Roman"/>
          <w:sz w:val="20"/>
          <w:lang w:val="en-GB" w:eastAsia="zh-CN"/>
        </w:rPr>
        <w:t xml:space="preserve">question to ask at this </w:t>
      </w:r>
      <w:r w:rsidR="00B33EE3">
        <w:rPr>
          <w:rFonts w:ascii="Times New Roman" w:hAnsi="Times New Roman"/>
          <w:sz w:val="20"/>
          <w:lang w:val="en-GB" w:eastAsia="zh-CN"/>
        </w:rPr>
        <w:t xml:space="preserve">design </w:t>
      </w:r>
      <w:r w:rsidR="00B3013F">
        <w:rPr>
          <w:rFonts w:ascii="Times New Roman" w:hAnsi="Times New Roman"/>
          <w:sz w:val="20"/>
          <w:lang w:val="en-GB" w:eastAsia="zh-CN"/>
        </w:rPr>
        <w:t xml:space="preserve">stage is whether there is a need to consider partitioning of </w:t>
      </w:r>
      <w:r w:rsidR="00285FD9">
        <w:rPr>
          <w:rFonts w:ascii="Times New Roman" w:hAnsi="Times New Roman"/>
          <w:sz w:val="20"/>
          <w:lang w:val="en-GB" w:eastAsia="zh-CN"/>
        </w:rPr>
        <w:t>resources and associated configuration based on mode of operation (i.e. unicast, groupcast vs broadcast). This is especially critical for mode 2 (autonomous resource selection case), since we expect that a V2X application’s need for establishing a unicast link is independent of its mode of operation (mode 1 vs mode 2). Based on this assumption, it can be beneficial for the overall system operation if separate, non-overlapped resources are allocated</w:t>
      </w:r>
      <w:r w:rsidR="00DD1D39">
        <w:rPr>
          <w:rFonts w:ascii="Times New Roman" w:hAnsi="Times New Roman"/>
          <w:sz w:val="20"/>
          <w:lang w:val="en-GB" w:eastAsia="zh-CN"/>
        </w:rPr>
        <w:t xml:space="preserve"> for unicast transmissions</w:t>
      </w:r>
      <w:r w:rsidR="00285FD9">
        <w:rPr>
          <w:rFonts w:ascii="Times New Roman" w:hAnsi="Times New Roman"/>
          <w:sz w:val="20"/>
          <w:lang w:val="en-GB" w:eastAsia="zh-CN"/>
        </w:rPr>
        <w:t xml:space="preserve">. </w:t>
      </w:r>
      <w:r w:rsidR="00CA41AF">
        <w:rPr>
          <w:rFonts w:ascii="Times New Roman" w:hAnsi="Times New Roman"/>
          <w:sz w:val="20"/>
          <w:lang w:val="en-GB" w:eastAsia="zh-CN"/>
        </w:rPr>
        <w:t>E</w:t>
      </w:r>
      <w:r w:rsidR="00285FD9">
        <w:rPr>
          <w:rFonts w:ascii="Times New Roman" w:hAnsi="Times New Roman"/>
          <w:sz w:val="20"/>
          <w:lang w:val="en-GB" w:eastAsia="zh-CN"/>
        </w:rPr>
        <w:t xml:space="preserve">ven with various sidelink enhancements being considered to target the unicast case (e.g. HARQ feedback, RLC AM, etc.), the underlying set of physical resources </w:t>
      </w:r>
      <w:r w:rsidR="00DD1D39">
        <w:rPr>
          <w:rFonts w:ascii="Times New Roman" w:hAnsi="Times New Roman"/>
          <w:sz w:val="20"/>
          <w:lang w:val="en-GB" w:eastAsia="zh-CN"/>
        </w:rPr>
        <w:t xml:space="preserve">itself </w:t>
      </w:r>
      <w:r w:rsidR="00285FD9">
        <w:rPr>
          <w:rFonts w:ascii="Times New Roman" w:hAnsi="Times New Roman"/>
          <w:sz w:val="20"/>
          <w:lang w:val="en-GB" w:eastAsia="zh-CN"/>
        </w:rPr>
        <w:t>goes a long way in dete</w:t>
      </w:r>
      <w:r w:rsidR="00DD1D39">
        <w:rPr>
          <w:rFonts w:ascii="Times New Roman" w:hAnsi="Times New Roman"/>
          <w:sz w:val="20"/>
          <w:lang w:val="en-GB" w:eastAsia="zh-CN"/>
        </w:rPr>
        <w:t>rmining if QoS requirements can be met. So</w:t>
      </w:r>
      <w:r w:rsidR="00285FD9">
        <w:rPr>
          <w:rFonts w:ascii="Times New Roman" w:hAnsi="Times New Roman"/>
          <w:sz w:val="20"/>
          <w:lang w:val="en-GB" w:eastAsia="zh-CN"/>
        </w:rPr>
        <w:t>, we think that at least for unicast operation, it would be useful to consider dedicated resource pools for V2X communication over sidelink</w:t>
      </w:r>
      <w:r w:rsidR="00DD1D39">
        <w:rPr>
          <w:rFonts w:ascii="Times New Roman" w:hAnsi="Times New Roman"/>
          <w:sz w:val="20"/>
          <w:lang w:val="en-GB" w:eastAsia="zh-CN"/>
        </w:rPr>
        <w:t>. This can ensure</w:t>
      </w:r>
      <w:r w:rsidR="00285FD9">
        <w:rPr>
          <w:rFonts w:ascii="Times New Roman" w:hAnsi="Times New Roman"/>
          <w:sz w:val="20"/>
          <w:lang w:val="en-GB" w:eastAsia="zh-CN"/>
        </w:rPr>
        <w:t xml:space="preserve"> reduced contention with broadcast traffic as well as improved resource efficiency</w:t>
      </w:r>
      <w:r w:rsidR="00DD1D39">
        <w:rPr>
          <w:rFonts w:ascii="Times New Roman" w:hAnsi="Times New Roman"/>
          <w:sz w:val="20"/>
          <w:lang w:val="en-GB" w:eastAsia="zh-CN"/>
        </w:rPr>
        <w:t xml:space="preserve"> from a system perspective</w:t>
      </w:r>
      <w:r w:rsidR="00285FD9">
        <w:rPr>
          <w:rFonts w:ascii="Times New Roman" w:hAnsi="Times New Roman"/>
          <w:sz w:val="20"/>
          <w:lang w:val="en-GB" w:eastAsia="zh-CN"/>
        </w:rPr>
        <w:t>.</w:t>
      </w:r>
      <w:r w:rsidR="00DD1D39">
        <w:rPr>
          <w:rFonts w:ascii="Times New Roman" w:hAnsi="Times New Roman"/>
          <w:sz w:val="20"/>
          <w:lang w:val="en-GB" w:eastAsia="zh-CN"/>
        </w:rPr>
        <w:t xml:space="preserve"> The case of groupcast resource allocation needs further discussion, based on the dynamicity of the group/platoon formation.</w:t>
      </w:r>
    </w:p>
    <w:p w14:paraId="2B67C28C" w14:textId="2F853548" w:rsidR="0037540A" w:rsidRDefault="0032490D" w:rsidP="003754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3</w:t>
      </w:r>
      <w:r w:rsidR="0037540A">
        <w:rPr>
          <w:rFonts w:ascii="Times New Roman" w:eastAsia="Times New Roman" w:hAnsi="Times New Roman"/>
          <w:b/>
          <w:bCs/>
          <w:sz w:val="20"/>
          <w:szCs w:val="20"/>
          <w:u w:val="single"/>
          <w:lang w:val="en-GB" w:eastAsia="zh-CN"/>
        </w:rPr>
        <w:t>:</w:t>
      </w:r>
      <w:r w:rsidR="0037540A">
        <w:rPr>
          <w:rFonts w:ascii="Times New Roman" w:eastAsia="Times New Roman" w:hAnsi="Times New Roman"/>
          <w:b/>
          <w:bCs/>
          <w:sz w:val="20"/>
          <w:szCs w:val="20"/>
          <w:lang w:val="en-GB" w:eastAsia="zh-CN"/>
        </w:rPr>
        <w:tab/>
      </w:r>
      <w:r w:rsidR="00285FD9">
        <w:rPr>
          <w:rFonts w:ascii="Times New Roman" w:eastAsia="Times New Roman" w:hAnsi="Times New Roman"/>
          <w:bCs/>
          <w:i/>
          <w:sz w:val="20"/>
          <w:szCs w:val="20"/>
          <w:lang w:val="en-GB" w:eastAsia="zh-CN"/>
        </w:rPr>
        <w:t>The use of separate/dedicated sidelink resources for unicast (FFS groupcast) transmissions should be considered for NR V2X.</w:t>
      </w:r>
    </w:p>
    <w:p w14:paraId="3A09012C" w14:textId="7447BBC1" w:rsidR="001C479B" w:rsidRDefault="001128E0" w:rsidP="00544AAA">
      <w:pPr>
        <w:rPr>
          <w:rFonts w:ascii="Times New Roman" w:hAnsi="Times New Roman"/>
          <w:sz w:val="20"/>
          <w:lang w:val="en-GB" w:eastAsia="zh-CN"/>
        </w:rPr>
      </w:pPr>
      <w:r>
        <w:rPr>
          <w:rFonts w:ascii="Times New Roman" w:hAnsi="Times New Roman"/>
          <w:sz w:val="20"/>
          <w:lang w:val="en-GB" w:eastAsia="zh-CN"/>
        </w:rPr>
        <w:t>Another aspect to consider is the usage of congestion control mechanism</w:t>
      </w:r>
      <w:r w:rsidR="005D37A5">
        <w:rPr>
          <w:rFonts w:ascii="Times New Roman" w:hAnsi="Times New Roman"/>
          <w:sz w:val="20"/>
          <w:lang w:val="en-GB" w:eastAsia="zh-CN"/>
        </w:rPr>
        <w:t xml:space="preserve"> </w:t>
      </w:r>
      <w:r w:rsidR="00DD1D39">
        <w:rPr>
          <w:rFonts w:ascii="Times New Roman" w:hAnsi="Times New Roman"/>
          <w:sz w:val="20"/>
          <w:lang w:val="en-GB" w:eastAsia="zh-CN"/>
        </w:rPr>
        <w:t xml:space="preserve">specifically </w:t>
      </w:r>
      <w:r w:rsidR="005D37A5">
        <w:rPr>
          <w:rFonts w:ascii="Times New Roman" w:hAnsi="Times New Roman"/>
          <w:sz w:val="20"/>
          <w:lang w:val="en-GB" w:eastAsia="zh-CN"/>
        </w:rPr>
        <w:t>for unicast tra</w:t>
      </w:r>
      <w:r w:rsidR="00976070">
        <w:rPr>
          <w:rFonts w:ascii="Times New Roman" w:hAnsi="Times New Roman"/>
          <w:sz w:val="20"/>
          <w:lang w:val="en-GB" w:eastAsia="zh-CN"/>
        </w:rPr>
        <w:t>nsmissions</w:t>
      </w:r>
      <w:r w:rsidR="005D37A5">
        <w:rPr>
          <w:rFonts w:ascii="Times New Roman" w:hAnsi="Times New Roman"/>
          <w:sz w:val="20"/>
          <w:lang w:val="en-GB" w:eastAsia="zh-CN"/>
        </w:rPr>
        <w:t>. In LTE,</w:t>
      </w:r>
      <w:r w:rsidR="00DD1D39">
        <w:rPr>
          <w:rFonts w:ascii="Times New Roman" w:hAnsi="Times New Roman"/>
          <w:sz w:val="20"/>
          <w:lang w:val="en-GB" w:eastAsia="zh-CN"/>
        </w:rPr>
        <w:t xml:space="preserve"> V2X congestion control over sidelink</w:t>
      </w:r>
      <w:r w:rsidR="00976070">
        <w:rPr>
          <w:rFonts w:ascii="Times New Roman" w:hAnsi="Times New Roman"/>
          <w:sz w:val="20"/>
          <w:lang w:val="en-GB" w:eastAsia="zh-CN"/>
        </w:rPr>
        <w:t xml:space="preserve"> </w:t>
      </w:r>
      <w:r w:rsidR="0063286E">
        <w:rPr>
          <w:rFonts w:ascii="Times New Roman" w:hAnsi="Times New Roman"/>
          <w:sz w:val="20"/>
          <w:lang w:val="en-GB" w:eastAsia="zh-CN"/>
        </w:rPr>
        <w:t xml:space="preserve">resource pools </w:t>
      </w:r>
      <w:r w:rsidR="00CA41AF">
        <w:rPr>
          <w:rFonts w:ascii="Times New Roman" w:hAnsi="Times New Roman"/>
          <w:sz w:val="20"/>
          <w:lang w:val="en-GB" w:eastAsia="zh-CN"/>
        </w:rPr>
        <w:t>is</w:t>
      </w:r>
      <w:r w:rsidR="00DD1D39">
        <w:rPr>
          <w:rFonts w:ascii="Times New Roman" w:hAnsi="Times New Roman"/>
          <w:sz w:val="20"/>
          <w:lang w:val="en-GB" w:eastAsia="zh-CN"/>
        </w:rPr>
        <w:t xml:space="preserve"> </w:t>
      </w:r>
      <w:r w:rsidR="00976070">
        <w:rPr>
          <w:rFonts w:ascii="Times New Roman" w:hAnsi="Times New Roman"/>
          <w:sz w:val="20"/>
          <w:lang w:val="en-GB" w:eastAsia="zh-CN"/>
        </w:rPr>
        <w:t>base</w:t>
      </w:r>
      <w:r w:rsidR="0063286E">
        <w:rPr>
          <w:rFonts w:ascii="Times New Roman" w:hAnsi="Times New Roman"/>
          <w:sz w:val="20"/>
          <w:lang w:val="en-GB" w:eastAsia="zh-CN"/>
        </w:rPr>
        <w:t>d on CBR and PPPP mapping</w:t>
      </w:r>
      <w:r w:rsidR="00976070">
        <w:rPr>
          <w:rFonts w:ascii="Times New Roman" w:hAnsi="Times New Roman"/>
          <w:sz w:val="20"/>
          <w:lang w:val="en-GB" w:eastAsia="zh-CN"/>
        </w:rPr>
        <w:t xml:space="preserve"> to ensure</w:t>
      </w:r>
      <w:r w:rsidR="00CA41AF">
        <w:rPr>
          <w:rFonts w:ascii="Times New Roman" w:hAnsi="Times New Roman"/>
          <w:sz w:val="20"/>
          <w:lang w:val="en-GB" w:eastAsia="zh-CN"/>
        </w:rPr>
        <w:t xml:space="preserve"> that high priority traffic takes</w:t>
      </w:r>
      <w:r w:rsidR="00976070">
        <w:rPr>
          <w:rFonts w:ascii="Times New Roman" w:hAnsi="Times New Roman"/>
          <w:sz w:val="20"/>
          <w:lang w:val="en-GB" w:eastAsia="zh-CN"/>
        </w:rPr>
        <w:t xml:space="preserve"> preceden</w:t>
      </w:r>
      <w:r w:rsidR="00CA41AF">
        <w:rPr>
          <w:rFonts w:ascii="Times New Roman" w:hAnsi="Times New Roman"/>
          <w:sz w:val="20"/>
          <w:lang w:val="en-GB" w:eastAsia="zh-CN"/>
        </w:rPr>
        <w:t>ce when congested resources are</w:t>
      </w:r>
      <w:r w:rsidR="00976070">
        <w:rPr>
          <w:rFonts w:ascii="Times New Roman" w:hAnsi="Times New Roman"/>
          <w:sz w:val="20"/>
          <w:lang w:val="en-GB" w:eastAsia="zh-CN"/>
        </w:rPr>
        <w:t xml:space="preserve"> an issue</w:t>
      </w:r>
      <w:r w:rsidR="0063286E">
        <w:rPr>
          <w:rFonts w:ascii="Times New Roman" w:hAnsi="Times New Roman"/>
          <w:sz w:val="20"/>
          <w:lang w:val="en-GB" w:eastAsia="zh-CN"/>
        </w:rPr>
        <w:t xml:space="preserve"> </w:t>
      </w:r>
      <w:sdt>
        <w:sdtPr>
          <w:rPr>
            <w:rFonts w:ascii="Times New Roman" w:hAnsi="Times New Roman"/>
            <w:sz w:val="20"/>
            <w:lang w:val="en-GB" w:eastAsia="zh-CN"/>
          </w:rPr>
          <w:id w:val="-839152398"/>
          <w:citation/>
        </w:sdtPr>
        <w:sdtEndPr/>
        <w:sdtContent>
          <w:r w:rsidR="0063286E">
            <w:rPr>
              <w:rFonts w:ascii="Times New Roman" w:hAnsi="Times New Roman"/>
              <w:sz w:val="20"/>
              <w:lang w:val="en-GB" w:eastAsia="zh-CN"/>
            </w:rPr>
            <w:fldChar w:fldCharType="begin"/>
          </w:r>
          <w:r w:rsidR="0063286E">
            <w:rPr>
              <w:rFonts w:ascii="Times New Roman" w:hAnsi="Times New Roman"/>
              <w:sz w:val="20"/>
              <w:lang w:eastAsia="zh-CN"/>
            </w:rPr>
            <w:instrText xml:space="preserve"> CITATION 36331 \l 1033 </w:instrText>
          </w:r>
          <w:r w:rsidR="0063286E">
            <w:rPr>
              <w:rFonts w:ascii="Times New Roman" w:hAnsi="Times New Roman"/>
              <w:sz w:val="20"/>
              <w:lang w:val="en-GB" w:eastAsia="zh-CN"/>
            </w:rPr>
            <w:fldChar w:fldCharType="separate"/>
          </w:r>
          <w:r w:rsidR="00E43B63" w:rsidRPr="00E43B63">
            <w:rPr>
              <w:rFonts w:ascii="Times New Roman" w:hAnsi="Times New Roman"/>
              <w:noProof/>
              <w:sz w:val="20"/>
              <w:lang w:eastAsia="zh-CN"/>
            </w:rPr>
            <w:t>[5]</w:t>
          </w:r>
          <w:r w:rsidR="0063286E">
            <w:rPr>
              <w:rFonts w:ascii="Times New Roman" w:hAnsi="Times New Roman"/>
              <w:sz w:val="20"/>
              <w:lang w:val="en-GB" w:eastAsia="zh-CN"/>
            </w:rPr>
            <w:fldChar w:fldCharType="end"/>
          </w:r>
        </w:sdtContent>
      </w:sdt>
      <w:r w:rsidR="00976070">
        <w:rPr>
          <w:rFonts w:ascii="Times New Roman" w:hAnsi="Times New Roman"/>
          <w:sz w:val="20"/>
          <w:lang w:val="en-GB" w:eastAsia="zh-CN"/>
        </w:rPr>
        <w:t xml:space="preserve">. </w:t>
      </w:r>
      <w:r w:rsidR="00181357">
        <w:rPr>
          <w:rFonts w:ascii="Times New Roman" w:hAnsi="Times New Roman"/>
          <w:sz w:val="20"/>
          <w:lang w:val="en-GB" w:eastAsia="zh-CN"/>
        </w:rPr>
        <w:t>For NR, c</w:t>
      </w:r>
      <w:r w:rsidR="00976070">
        <w:rPr>
          <w:rFonts w:ascii="Times New Roman" w:hAnsi="Times New Roman"/>
          <w:sz w:val="20"/>
          <w:lang w:val="en-GB" w:eastAsia="zh-CN"/>
        </w:rPr>
        <w:t xml:space="preserve">onsidering both unicast and broadcast, if separate resource are not allocated for mode 2 operation, the question is whether unicast traffic should be subject to the same priority rules as broadcast traffic. In our view, the main reason why a V2X application at a given UE would set up a unicast connection is to meet specific QoS requirements it is not </w:t>
      </w:r>
      <w:r w:rsidR="00181357">
        <w:rPr>
          <w:rFonts w:ascii="Times New Roman" w:hAnsi="Times New Roman"/>
          <w:sz w:val="20"/>
          <w:lang w:val="en-GB" w:eastAsia="zh-CN"/>
        </w:rPr>
        <w:t xml:space="preserve">expected/able </w:t>
      </w:r>
      <w:r w:rsidR="00976070">
        <w:rPr>
          <w:rFonts w:ascii="Times New Roman" w:hAnsi="Times New Roman"/>
          <w:sz w:val="20"/>
          <w:lang w:val="en-GB" w:eastAsia="zh-CN"/>
        </w:rPr>
        <w:t xml:space="preserve">to </w:t>
      </w:r>
      <w:r w:rsidR="00181357">
        <w:rPr>
          <w:rFonts w:ascii="Times New Roman" w:hAnsi="Times New Roman"/>
          <w:sz w:val="20"/>
          <w:lang w:val="en-GB" w:eastAsia="zh-CN"/>
        </w:rPr>
        <w:t xml:space="preserve">otherwise </w:t>
      </w:r>
      <w:r w:rsidR="00976070">
        <w:rPr>
          <w:rFonts w:ascii="Times New Roman" w:hAnsi="Times New Roman"/>
          <w:sz w:val="20"/>
          <w:lang w:val="en-GB" w:eastAsia="zh-CN"/>
        </w:rPr>
        <w:t xml:space="preserve">meet using broadcast operation. From that sense, unicast traffic inherently corresponds to higher overall “priority” than broadcast traffic (note that priority here does not refer to any specific QoS parameter but the general need for this traffic to be </w:t>
      </w:r>
      <w:r w:rsidR="002D2168">
        <w:rPr>
          <w:rFonts w:ascii="Times New Roman" w:hAnsi="Times New Roman"/>
          <w:sz w:val="20"/>
          <w:lang w:val="en-GB" w:eastAsia="zh-CN"/>
        </w:rPr>
        <w:t xml:space="preserve">dealt </w:t>
      </w:r>
      <w:r w:rsidR="00181357">
        <w:rPr>
          <w:rFonts w:ascii="Times New Roman" w:hAnsi="Times New Roman"/>
          <w:sz w:val="20"/>
          <w:lang w:val="en-GB" w:eastAsia="zh-CN"/>
        </w:rPr>
        <w:t xml:space="preserve">with a higher urgency </w:t>
      </w:r>
      <w:r w:rsidR="002D2168">
        <w:rPr>
          <w:rFonts w:ascii="Times New Roman" w:hAnsi="Times New Roman"/>
          <w:sz w:val="20"/>
          <w:lang w:val="en-GB" w:eastAsia="zh-CN"/>
        </w:rPr>
        <w:t>compared with broadcast traffic). So, the correspond</w:t>
      </w:r>
      <w:r w:rsidR="00181357">
        <w:rPr>
          <w:rFonts w:ascii="Times New Roman" w:hAnsi="Times New Roman"/>
          <w:sz w:val="20"/>
          <w:lang w:val="en-GB" w:eastAsia="zh-CN"/>
        </w:rPr>
        <w:t>ing set of rules (e.g. CBR-PPPP</w:t>
      </w:r>
      <w:r w:rsidR="002D2168">
        <w:rPr>
          <w:rFonts w:ascii="Times New Roman" w:hAnsi="Times New Roman"/>
          <w:sz w:val="20"/>
          <w:lang w:val="en-GB" w:eastAsia="zh-CN"/>
        </w:rPr>
        <w:t xml:space="preserve"> mapping</w:t>
      </w:r>
      <w:r w:rsidR="00181357">
        <w:rPr>
          <w:rFonts w:ascii="Times New Roman" w:hAnsi="Times New Roman"/>
          <w:sz w:val="20"/>
          <w:lang w:val="en-GB" w:eastAsia="zh-CN"/>
        </w:rPr>
        <w:t>)</w:t>
      </w:r>
      <w:r w:rsidR="002D2168">
        <w:rPr>
          <w:rFonts w:ascii="Times New Roman" w:hAnsi="Times New Roman"/>
          <w:sz w:val="20"/>
          <w:lang w:val="en-GB" w:eastAsia="zh-CN"/>
        </w:rPr>
        <w:t xml:space="preserve"> for unicast traffic should in general be </w:t>
      </w:r>
      <w:r w:rsidR="00181357">
        <w:rPr>
          <w:rFonts w:ascii="Times New Roman" w:hAnsi="Times New Roman"/>
          <w:sz w:val="20"/>
          <w:lang w:val="en-GB" w:eastAsia="zh-CN"/>
        </w:rPr>
        <w:t xml:space="preserve">configured </w:t>
      </w:r>
      <w:r w:rsidR="002D2168">
        <w:rPr>
          <w:rFonts w:ascii="Times New Roman" w:hAnsi="Times New Roman"/>
          <w:sz w:val="20"/>
          <w:lang w:val="en-GB" w:eastAsia="zh-CN"/>
        </w:rPr>
        <w:t>different</w:t>
      </w:r>
      <w:r w:rsidR="0063286E">
        <w:rPr>
          <w:rFonts w:ascii="Times New Roman" w:hAnsi="Times New Roman"/>
          <w:sz w:val="20"/>
          <w:lang w:val="en-GB" w:eastAsia="zh-CN"/>
        </w:rPr>
        <w:t>ly</w:t>
      </w:r>
      <w:r w:rsidR="002D2168">
        <w:rPr>
          <w:rFonts w:ascii="Times New Roman" w:hAnsi="Times New Roman"/>
          <w:sz w:val="20"/>
          <w:lang w:val="en-GB" w:eastAsia="zh-CN"/>
        </w:rPr>
        <w:t xml:space="preserve"> from broadcast traffic.</w:t>
      </w:r>
    </w:p>
    <w:p w14:paraId="38C54BCB" w14:textId="7B154814" w:rsidR="00A85069" w:rsidRPr="00397FA3" w:rsidRDefault="001C479B" w:rsidP="00DD1D3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discuss </w:t>
      </w:r>
      <w:r w:rsidR="002D2168">
        <w:rPr>
          <w:rFonts w:ascii="Times New Roman" w:eastAsia="Times New Roman" w:hAnsi="Times New Roman"/>
          <w:bCs/>
          <w:i/>
          <w:sz w:val="20"/>
          <w:szCs w:val="20"/>
          <w:lang w:val="en-GB" w:eastAsia="zh-CN"/>
        </w:rPr>
        <w:t>if separate criteria related to traffic priority and resource utilization needs to be applied to unicast vs broadcast traffic for mode 2 operation</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09EC271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181357">
        <w:rPr>
          <w:rFonts w:ascii="Times New Roman" w:eastAsia="Times New Roman" w:hAnsi="Times New Roman"/>
          <w:bCs/>
          <w:sz w:val="20"/>
          <w:szCs w:val="20"/>
          <w:lang w:val="en-GB" w:eastAsia="zh-CN"/>
        </w:rPr>
        <w:t xml:space="preserve">resource allocation and configuration for both broadcast and unicast communication over sidelink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30432235" w14:textId="57AD1CA0" w:rsidR="00773DDF" w:rsidRPr="00773DDF" w:rsidRDefault="00773DDF"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unicast operation, a suitable set of sidelink resources needs to be ensured to meet the stringent QoS requirements for advanced V2X use cases.</w:t>
      </w:r>
    </w:p>
    <w:p w14:paraId="219B9E5D" w14:textId="77777777" w:rsidR="00773DDF" w:rsidRPr="00100A13"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overall TX/RX resource pool allocation/configuration mechanism for LTE V2X should be reused for NR V2X operation.</w:t>
      </w:r>
    </w:p>
    <w:p w14:paraId="6A17297A" w14:textId="77777777" w:rsid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concept of exceptional TX resource pools for sidelink V2X transmission is introduced for NR based on LTE V2X.</w:t>
      </w:r>
    </w:p>
    <w:p w14:paraId="16042678" w14:textId="77777777" w:rsid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use of separate/dedicated sidelink resources for unicast (FFS groupcast) transmissions should be considered for NR V2X.</w:t>
      </w:r>
    </w:p>
    <w:p w14:paraId="43A4B097" w14:textId="35E69411" w:rsidR="00181357" w:rsidRP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discuss if separate criteria related to traffic priority and resource utilization needs to be applied to unicast vs broadcast traffic for mode 2 operation.</w:t>
      </w: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36593E45" w14:textId="6E141DA4" w:rsidR="00E43B63" w:rsidRDefault="00E43B63">
          <w:pPr>
            <w:rPr>
              <w:noProof/>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43B63" w14:paraId="5748E243" w14:textId="77777777">
            <w:trPr>
              <w:divId w:val="1131898881"/>
              <w:tblCellSpacing w:w="15" w:type="dxa"/>
            </w:trPr>
            <w:tc>
              <w:tcPr>
                <w:tcW w:w="50" w:type="pct"/>
                <w:hideMark/>
              </w:tcPr>
              <w:p w14:paraId="24EB3673" w14:textId="77777777" w:rsidR="00E43B63" w:rsidRDefault="00E43B63">
                <w:pPr>
                  <w:pStyle w:val="Bibliography"/>
                  <w:rPr>
                    <w:noProof/>
                    <w:sz w:val="24"/>
                    <w:szCs w:val="24"/>
                  </w:rPr>
                </w:pPr>
                <w:r>
                  <w:rPr>
                    <w:noProof/>
                  </w:rPr>
                  <w:t xml:space="preserve">[1] </w:t>
                </w:r>
              </w:p>
            </w:tc>
            <w:tc>
              <w:tcPr>
                <w:tcW w:w="0" w:type="auto"/>
                <w:hideMark/>
              </w:tcPr>
              <w:p w14:paraId="6E94A348" w14:textId="77777777" w:rsidR="00E43B63" w:rsidRDefault="00E43B63">
                <w:pPr>
                  <w:pStyle w:val="Bibliography"/>
                  <w:rPr>
                    <w:noProof/>
                  </w:rPr>
                </w:pPr>
                <w:r>
                  <w:rPr>
                    <w:noProof/>
                  </w:rPr>
                  <w:t xml:space="preserve">"RP-181429, "New SID: Study on NR V2X", Vodafone". </w:t>
                </w:r>
              </w:p>
            </w:tc>
          </w:tr>
          <w:tr w:rsidR="00E43B63" w14:paraId="29C81E40" w14:textId="77777777">
            <w:trPr>
              <w:divId w:val="1131898881"/>
              <w:tblCellSpacing w:w="15" w:type="dxa"/>
            </w:trPr>
            <w:tc>
              <w:tcPr>
                <w:tcW w:w="50" w:type="pct"/>
                <w:hideMark/>
              </w:tcPr>
              <w:p w14:paraId="221D0DC4" w14:textId="77777777" w:rsidR="00E43B63" w:rsidRDefault="00E43B63">
                <w:pPr>
                  <w:pStyle w:val="Bibliography"/>
                  <w:rPr>
                    <w:noProof/>
                  </w:rPr>
                </w:pPr>
                <w:r>
                  <w:rPr>
                    <w:noProof/>
                  </w:rPr>
                  <w:lastRenderedPageBreak/>
                  <w:t xml:space="preserve">[2] </w:t>
                </w:r>
              </w:p>
            </w:tc>
            <w:tc>
              <w:tcPr>
                <w:tcW w:w="0" w:type="auto"/>
                <w:hideMark/>
              </w:tcPr>
              <w:p w14:paraId="4FA5E17B" w14:textId="77777777" w:rsidR="00E43B63" w:rsidRDefault="00E43B63">
                <w:pPr>
                  <w:pStyle w:val="Bibliography"/>
                  <w:rPr>
                    <w:noProof/>
                  </w:rPr>
                </w:pPr>
                <w:r>
                  <w:rPr>
                    <w:noProof/>
                  </w:rPr>
                  <w:t xml:space="preserve">"RAN1#94, "Chairman Notes"". </w:t>
                </w:r>
              </w:p>
            </w:tc>
          </w:tr>
          <w:tr w:rsidR="00E43B63" w14:paraId="01376A36" w14:textId="77777777">
            <w:trPr>
              <w:divId w:val="1131898881"/>
              <w:tblCellSpacing w:w="15" w:type="dxa"/>
            </w:trPr>
            <w:tc>
              <w:tcPr>
                <w:tcW w:w="50" w:type="pct"/>
                <w:hideMark/>
              </w:tcPr>
              <w:p w14:paraId="7D3D4CAC" w14:textId="77777777" w:rsidR="00E43B63" w:rsidRDefault="00E43B63">
                <w:pPr>
                  <w:pStyle w:val="Bibliography"/>
                  <w:rPr>
                    <w:noProof/>
                  </w:rPr>
                </w:pPr>
                <w:r>
                  <w:rPr>
                    <w:noProof/>
                  </w:rPr>
                  <w:t xml:space="preserve">[3] </w:t>
                </w:r>
              </w:p>
            </w:tc>
            <w:tc>
              <w:tcPr>
                <w:tcW w:w="0" w:type="auto"/>
                <w:hideMark/>
              </w:tcPr>
              <w:p w14:paraId="33B35101" w14:textId="77777777" w:rsidR="00E43B63" w:rsidRDefault="00E43B63">
                <w:pPr>
                  <w:pStyle w:val="Bibliography"/>
                  <w:rPr>
                    <w:noProof/>
                  </w:rPr>
                </w:pPr>
                <w:r>
                  <w:rPr>
                    <w:noProof/>
                  </w:rPr>
                  <w:t xml:space="preserve">"TS 36.300, Evolved Universal Terrestrial Radio Access (E-UTRA) and Evolved Universal Terrestrial Radio Access Network (E-UTRAN); Overall description; Stage 2". </w:t>
                </w:r>
              </w:p>
            </w:tc>
          </w:tr>
          <w:tr w:rsidR="00E43B63" w14:paraId="178280F9" w14:textId="77777777">
            <w:trPr>
              <w:divId w:val="1131898881"/>
              <w:tblCellSpacing w:w="15" w:type="dxa"/>
            </w:trPr>
            <w:tc>
              <w:tcPr>
                <w:tcW w:w="50" w:type="pct"/>
                <w:hideMark/>
              </w:tcPr>
              <w:p w14:paraId="45F23ABC" w14:textId="77777777" w:rsidR="00E43B63" w:rsidRDefault="00E43B63">
                <w:pPr>
                  <w:pStyle w:val="Bibliography"/>
                  <w:rPr>
                    <w:noProof/>
                  </w:rPr>
                </w:pPr>
                <w:r>
                  <w:rPr>
                    <w:noProof/>
                  </w:rPr>
                  <w:t xml:space="preserve">[4] </w:t>
                </w:r>
              </w:p>
            </w:tc>
            <w:tc>
              <w:tcPr>
                <w:tcW w:w="0" w:type="auto"/>
                <w:hideMark/>
              </w:tcPr>
              <w:p w14:paraId="78C42313" w14:textId="77777777" w:rsidR="00E43B63" w:rsidRDefault="00E43B63">
                <w:pPr>
                  <w:pStyle w:val="Bibliography"/>
                  <w:rPr>
                    <w:noProof/>
                  </w:rPr>
                </w:pPr>
                <w:r>
                  <w:rPr>
                    <w:noProof/>
                  </w:rPr>
                  <w:t xml:space="preserve">"TR 22.186, Enhancement of 3GPP support for V2X scenarios; Stage 1". </w:t>
                </w:r>
              </w:p>
            </w:tc>
          </w:tr>
          <w:tr w:rsidR="00E43B63" w14:paraId="2A9F4510" w14:textId="77777777">
            <w:trPr>
              <w:divId w:val="1131898881"/>
              <w:tblCellSpacing w:w="15" w:type="dxa"/>
            </w:trPr>
            <w:tc>
              <w:tcPr>
                <w:tcW w:w="50" w:type="pct"/>
                <w:hideMark/>
              </w:tcPr>
              <w:p w14:paraId="049A87AF" w14:textId="77777777" w:rsidR="00E43B63" w:rsidRDefault="00E43B63">
                <w:pPr>
                  <w:pStyle w:val="Bibliography"/>
                  <w:rPr>
                    <w:noProof/>
                  </w:rPr>
                </w:pPr>
                <w:r>
                  <w:rPr>
                    <w:noProof/>
                  </w:rPr>
                  <w:t xml:space="preserve">[5] </w:t>
                </w:r>
              </w:p>
            </w:tc>
            <w:tc>
              <w:tcPr>
                <w:tcW w:w="0" w:type="auto"/>
                <w:hideMark/>
              </w:tcPr>
              <w:p w14:paraId="3753F308" w14:textId="77777777" w:rsidR="00E43B63" w:rsidRDefault="00E43B63">
                <w:pPr>
                  <w:pStyle w:val="Bibliography"/>
                  <w:rPr>
                    <w:noProof/>
                  </w:rPr>
                </w:pPr>
                <w:r>
                  <w:rPr>
                    <w:noProof/>
                  </w:rPr>
                  <w:t xml:space="preserve">"TS 36.331, Evolved Universal Terrestrial Radio Access (E-UTRA); Radio Resource Control (RRC); Protocol specification". </w:t>
                </w:r>
              </w:p>
            </w:tc>
          </w:tr>
        </w:tbl>
        <w:p w14:paraId="3B293168" w14:textId="77777777" w:rsidR="00E43B63" w:rsidRDefault="00E43B63">
          <w:pPr>
            <w:divId w:val="1131898881"/>
            <w:rPr>
              <w:rFonts w:eastAsia="Times New Roman"/>
              <w:noProof/>
            </w:rPr>
          </w:pPr>
        </w:p>
        <w:p w14:paraId="50A28EEF" w14:textId="41D9B9E6" w:rsidR="00E0063E" w:rsidRPr="00E43B63" w:rsidRDefault="008610A8"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10A8">
      <w:rPr>
        <w:rFonts w:ascii="Arial" w:hAnsi="Arial" w:cs="Arial"/>
        <w:b/>
        <w:noProof/>
        <w:sz w:val="18"/>
        <w:szCs w:val="18"/>
      </w:rPr>
      <w:t>3</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9"/>
  </w:num>
  <w:num w:numId="3">
    <w:abstractNumId w:val="15"/>
  </w:num>
  <w:num w:numId="4">
    <w:abstractNumId w:val="14"/>
  </w:num>
  <w:num w:numId="5">
    <w:abstractNumId w:val="5"/>
    <w:lvlOverride w:ilvl="0">
      <w:startOverride w:val="1"/>
    </w:lvlOverride>
  </w:num>
  <w:num w:numId="6">
    <w:abstractNumId w:val="7"/>
    <w:lvlOverride w:ilvl="0">
      <w:startOverride w:val="2"/>
    </w:lvlOverride>
  </w:num>
  <w:num w:numId="7">
    <w:abstractNumId w:val="27"/>
  </w:num>
  <w:num w:numId="8">
    <w:abstractNumId w:val="11"/>
  </w:num>
  <w:num w:numId="9">
    <w:abstractNumId w:val="8"/>
  </w:num>
  <w:num w:numId="10">
    <w:abstractNumId w:val="22"/>
  </w:num>
  <w:num w:numId="11">
    <w:abstractNumId w:val="29"/>
  </w:num>
  <w:num w:numId="12">
    <w:abstractNumId w:val="6"/>
  </w:num>
  <w:num w:numId="13">
    <w:abstractNumId w:val="9"/>
  </w:num>
  <w:num w:numId="14">
    <w:abstractNumId w:val="3"/>
  </w:num>
  <w:num w:numId="15">
    <w:abstractNumId w:val="4"/>
  </w:num>
  <w:num w:numId="16">
    <w:abstractNumId w:val="13"/>
  </w:num>
  <w:num w:numId="17">
    <w:abstractNumId w:val="26"/>
  </w:num>
  <w:num w:numId="18">
    <w:abstractNumId w:val="12"/>
  </w:num>
  <w:num w:numId="19">
    <w:abstractNumId w:val="23"/>
  </w:num>
  <w:num w:numId="20">
    <w:abstractNumId w:val="2"/>
  </w:num>
  <w:num w:numId="21">
    <w:abstractNumId w:val="28"/>
  </w:num>
  <w:num w:numId="22">
    <w:abstractNumId w:val="1"/>
  </w:num>
  <w:num w:numId="23">
    <w:abstractNumId w:val="21"/>
  </w:num>
  <w:num w:numId="24">
    <w:abstractNumId w:val="31"/>
  </w:num>
  <w:num w:numId="25">
    <w:abstractNumId w:val="20"/>
  </w:num>
  <w:num w:numId="26">
    <w:abstractNumId w:val="18"/>
  </w:num>
  <w:num w:numId="27">
    <w:abstractNumId w:val="16"/>
  </w:num>
  <w:num w:numId="28">
    <w:abstractNumId w:val="30"/>
  </w:num>
  <w:num w:numId="29">
    <w:abstractNumId w:val="0"/>
  </w:num>
  <w:num w:numId="30">
    <w:abstractNumId w:val="10"/>
  </w:num>
  <w:num w:numId="31">
    <w:abstractNumId w:val="24"/>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13E8"/>
    <w:rsid w:val="000A7E1C"/>
    <w:rsid w:val="000A7FE2"/>
    <w:rsid w:val="000E4761"/>
    <w:rsid w:val="000E493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81357"/>
    <w:rsid w:val="00195430"/>
    <w:rsid w:val="00197B45"/>
    <w:rsid w:val="001A793C"/>
    <w:rsid w:val="001B7098"/>
    <w:rsid w:val="001C137C"/>
    <w:rsid w:val="001C479B"/>
    <w:rsid w:val="001C6E8B"/>
    <w:rsid w:val="001D28A0"/>
    <w:rsid w:val="001E221E"/>
    <w:rsid w:val="001E251D"/>
    <w:rsid w:val="001E54F9"/>
    <w:rsid w:val="001F03C4"/>
    <w:rsid w:val="001F221E"/>
    <w:rsid w:val="00203D1C"/>
    <w:rsid w:val="0020567B"/>
    <w:rsid w:val="0020671E"/>
    <w:rsid w:val="00220EC4"/>
    <w:rsid w:val="00225341"/>
    <w:rsid w:val="0024165F"/>
    <w:rsid w:val="00253F58"/>
    <w:rsid w:val="00255F2A"/>
    <w:rsid w:val="00260222"/>
    <w:rsid w:val="00263354"/>
    <w:rsid w:val="00265EF0"/>
    <w:rsid w:val="00274F99"/>
    <w:rsid w:val="00276574"/>
    <w:rsid w:val="002769B9"/>
    <w:rsid w:val="00281DB7"/>
    <w:rsid w:val="00283FDE"/>
    <w:rsid w:val="00285FD9"/>
    <w:rsid w:val="00286053"/>
    <w:rsid w:val="0028689C"/>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E1161"/>
    <w:rsid w:val="003E76DD"/>
    <w:rsid w:val="003F0F74"/>
    <w:rsid w:val="0040277F"/>
    <w:rsid w:val="004035EF"/>
    <w:rsid w:val="00412F14"/>
    <w:rsid w:val="00413455"/>
    <w:rsid w:val="00415F96"/>
    <w:rsid w:val="00416235"/>
    <w:rsid w:val="00424635"/>
    <w:rsid w:val="00430F3A"/>
    <w:rsid w:val="00433DA4"/>
    <w:rsid w:val="00434F17"/>
    <w:rsid w:val="0043655F"/>
    <w:rsid w:val="00437AB1"/>
    <w:rsid w:val="00440C74"/>
    <w:rsid w:val="00443E40"/>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4E6A8F"/>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25D8E"/>
    <w:rsid w:val="00627647"/>
    <w:rsid w:val="0063286E"/>
    <w:rsid w:val="00633024"/>
    <w:rsid w:val="00661C20"/>
    <w:rsid w:val="00667231"/>
    <w:rsid w:val="006720DF"/>
    <w:rsid w:val="00673EBD"/>
    <w:rsid w:val="0068421C"/>
    <w:rsid w:val="00696FDC"/>
    <w:rsid w:val="006A27E5"/>
    <w:rsid w:val="006A65D5"/>
    <w:rsid w:val="006B69DF"/>
    <w:rsid w:val="006C65A8"/>
    <w:rsid w:val="006D0058"/>
    <w:rsid w:val="006D512C"/>
    <w:rsid w:val="006D53FD"/>
    <w:rsid w:val="006D7CC2"/>
    <w:rsid w:val="006E0F37"/>
    <w:rsid w:val="006F4DDB"/>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3DDF"/>
    <w:rsid w:val="0077506E"/>
    <w:rsid w:val="00777344"/>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7CC2"/>
    <w:rsid w:val="008A1007"/>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D5BAB"/>
    <w:rsid w:val="009E4EC5"/>
    <w:rsid w:val="009E6ED4"/>
    <w:rsid w:val="009E7171"/>
    <w:rsid w:val="009F06CB"/>
    <w:rsid w:val="009F731B"/>
    <w:rsid w:val="009F758B"/>
    <w:rsid w:val="00A01CDB"/>
    <w:rsid w:val="00A27826"/>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A1496"/>
    <w:rsid w:val="00AB388C"/>
    <w:rsid w:val="00AC4F72"/>
    <w:rsid w:val="00AD20FE"/>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D4114"/>
    <w:rsid w:val="00BD4C5D"/>
    <w:rsid w:val="00BD4D14"/>
    <w:rsid w:val="00BD67D0"/>
    <w:rsid w:val="00BE0DBD"/>
    <w:rsid w:val="00BE4AC7"/>
    <w:rsid w:val="00BE6D20"/>
    <w:rsid w:val="00BF78E3"/>
    <w:rsid w:val="00C10CE1"/>
    <w:rsid w:val="00C16A65"/>
    <w:rsid w:val="00C27475"/>
    <w:rsid w:val="00C348A8"/>
    <w:rsid w:val="00C47BFB"/>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42BBE"/>
    <w:rsid w:val="00E43B63"/>
    <w:rsid w:val="00E529F9"/>
    <w:rsid w:val="00E53137"/>
    <w:rsid w:val="00E60548"/>
    <w:rsid w:val="00E63487"/>
    <w:rsid w:val="00E65894"/>
    <w:rsid w:val="00E6786C"/>
    <w:rsid w:val="00E73BA3"/>
    <w:rsid w:val="00E76581"/>
    <w:rsid w:val="00E772C0"/>
    <w:rsid w:val="00E77D40"/>
    <w:rsid w:val="00E86837"/>
    <w:rsid w:val="00E87B8A"/>
    <w:rsid w:val="00E93113"/>
    <w:rsid w:val="00E936F6"/>
    <w:rsid w:val="00EA1EA7"/>
    <w:rsid w:val="00EA395E"/>
    <w:rsid w:val="00EB0968"/>
    <w:rsid w:val="00EC1C57"/>
    <w:rsid w:val="00EC7E0A"/>
    <w:rsid w:val="00ED00AF"/>
    <w:rsid w:val="00ED7949"/>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4</b:RefOrder>
  </b:Source>
  <b:Source>
    <b:Tag>NRv2XSI</b:Tag>
    <b:SourceType>ConferenceProceedings</b:SourceType>
    <b:Guid>{67A4B7DC-0118-43A6-89AD-073411BAC049}</b:Guid>
    <b:Title>RP-181429, "New SID: Study on NR V2X", Vodafone</b:Title>
    <b:RefOrder>1</b:RefOrder>
  </b:Source>
  <b:Source>
    <b:Tag>RAN194</b:Tag>
    <b:SourceType>ConferenceProceedings</b:SourceType>
    <b:Guid>{E13282BA-7F3F-457C-A9C6-2B8FAF917F35}</b:Guid>
    <b:Title>RAN1#94, "Chairman Notes"</b:Title>
    <b:RefOrder>2</b:RefOrder>
  </b:Source>
  <b:Source>
    <b:Tag>36300</b:Tag>
    <b:SourceType>ConferenceProceedings</b:SourceType>
    <b:Guid>{752E712A-54B5-4B0D-BFB3-C840BFDEA60C}</b:Guid>
    <b:Title>TS 36.300, Evolved Universal Terrestrial Radio Access (E-UTRA) and Evolved Universal Terrestrial Radio Access Network (E-UTRAN); Overall description; Stage 2</b:Title>
    <b:RefOrder>3</b:RefOrder>
  </b:Source>
  <b:Source>
    <b:Tag>36331</b:Tag>
    <b:SourceType>ConferenceProceedings</b:SourceType>
    <b:Guid>{A45FF0F1-BF19-41B2-9A28-22FFC07C7548}</b:Guid>
    <b:Title>TS 36.331, Evolved Universal Terrestrial Radio Access (E-UTRA); Radio Resource Control (RRC); Protocol specification</b:Title>
    <b:RefOrder>5</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347DCD7C-6A5D-4313-90F5-C531CFFD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7918</TotalTime>
  <Pages>3</Pages>
  <Words>1231</Words>
  <Characters>6812</Characters>
  <Application>Microsoft Office Word</Application>
  <DocSecurity>0</DocSecurity>
  <Lines>101</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305</cp:revision>
  <dcterms:created xsi:type="dcterms:W3CDTF">2017-08-12T02:26:00Z</dcterms:created>
  <dcterms:modified xsi:type="dcterms:W3CDTF">2018-09-28T04:29:00Z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2018-09-28 04:29:42Z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