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6D010A">
        <w:rPr>
          <w:rFonts w:ascii="Arial" w:hAnsi="Arial" w:cs="Arial"/>
          <w:b/>
          <w:sz w:val="24"/>
          <w:lang w:eastAsia="zh-CN"/>
        </w:rPr>
        <w:t>1714099</w:t>
      </w:r>
    </w:p>
    <w:p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rsidR="00627D4F" w:rsidRPr="00FC7BBB" w:rsidRDefault="00627D4F" w:rsidP="00627D4F">
      <w:pPr>
        <w:spacing w:after="0"/>
        <w:rPr>
          <w:rFonts w:ascii="Arial" w:hAnsi="Arial" w:cs="Arial"/>
          <w:b/>
          <w:sz w:val="24"/>
        </w:rPr>
      </w:pPr>
    </w:p>
    <w:p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AF0CD4">
        <w:rPr>
          <w:rFonts w:ascii="Arial" w:hAnsi="Arial" w:cs="Arial"/>
          <w:b/>
          <w:bCs/>
          <w:sz w:val="24"/>
          <w:lang w:val="en-US"/>
        </w:rPr>
        <w:t>5</w:t>
      </w:r>
      <w:r w:rsidR="00627D4F">
        <w:rPr>
          <w:rFonts w:ascii="Arial" w:hAnsi="Arial" w:cs="Arial"/>
          <w:b/>
          <w:bCs/>
          <w:sz w:val="24"/>
          <w:lang w:val="en-US"/>
        </w:rPr>
        <w:t>.2.2.3</w:t>
      </w:r>
    </w:p>
    <w:p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D4BD2">
        <w:rPr>
          <w:rFonts w:ascii="Arial" w:hAnsi="Arial" w:cs="Arial"/>
          <w:b/>
          <w:bCs/>
          <w:sz w:val="24"/>
          <w:lang w:val="en-US"/>
        </w:rPr>
        <w:t xml:space="preserve">Motivation of </w:t>
      </w:r>
      <w:r w:rsidR="00DE31C2" w:rsidRPr="00DE31C2">
        <w:rPr>
          <w:rFonts w:ascii="Arial" w:hAnsi="Arial" w:cs="Arial"/>
          <w:b/>
          <w:bCs/>
          <w:sz w:val="24"/>
          <w:lang w:val="en-US"/>
        </w:rPr>
        <w:t>autonomous uplink access on LAA S</w:t>
      </w:r>
      <w:r w:rsidR="008F0188">
        <w:rPr>
          <w:rFonts w:ascii="Arial" w:hAnsi="Arial" w:cs="Arial"/>
          <w:b/>
          <w:bCs/>
          <w:sz w:val="24"/>
          <w:lang w:val="en-US"/>
        </w:rPr>
        <w:t>C</w:t>
      </w:r>
      <w:r w:rsidR="00DE31C2" w:rsidRPr="00DE31C2">
        <w:rPr>
          <w:rFonts w:ascii="Arial" w:hAnsi="Arial" w:cs="Arial"/>
          <w:b/>
          <w:bCs/>
          <w:sz w:val="24"/>
          <w:lang w:val="en-US"/>
        </w:rPr>
        <w:t>ells</w:t>
      </w:r>
    </w:p>
    <w:p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rsidR="001F3AEC" w:rsidRPr="0099619E" w:rsidRDefault="00DE31C2" w:rsidP="0099619E">
      <w:pPr>
        <w:pStyle w:val="Heading1"/>
        <w:keepNext w:val="0"/>
        <w:widowControl w:val="0"/>
        <w:spacing w:before="480" w:after="120"/>
        <w:ind w:left="518"/>
        <w:rPr>
          <w:sz w:val="28"/>
        </w:rPr>
      </w:pPr>
      <w:r>
        <w:rPr>
          <w:sz w:val="28"/>
        </w:rPr>
        <w:t xml:space="preserve">Motivation </w:t>
      </w:r>
    </w:p>
    <w:p w:rsidR="00DE31C2" w:rsidRDefault="00DE31C2" w:rsidP="00DE31C2">
      <w:pPr>
        <w:pStyle w:val="LGTdoc"/>
        <w:spacing w:before="20" w:afterLines="0" w:line="240" w:lineRule="auto"/>
        <w:rPr>
          <w:sz w:val="20"/>
          <w:szCs w:val="20"/>
        </w:rPr>
      </w:pPr>
      <w:r>
        <w:rPr>
          <w:sz w:val="20"/>
          <w:szCs w:val="20"/>
        </w:rPr>
        <w:t xml:space="preserve">A new work item on ‘enhancements to LTE operation in </w:t>
      </w:r>
      <w:bookmarkStart w:id="1" w:name="_GoBack"/>
      <w:r>
        <w:rPr>
          <w:sz w:val="20"/>
          <w:szCs w:val="20"/>
        </w:rPr>
        <w:t>unlicensed spectrum’ was approved in TSG RAN Meeting #75 [1]. The objective of the new WI from RAN1 perspective is twofold:</w:t>
      </w:r>
    </w:p>
    <w:p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rsidR="00DE31C2" w:rsidRDefault="00DE31C2" w:rsidP="0017557F">
      <w:pPr>
        <w:pStyle w:val="ListParagraph"/>
        <w:spacing w:before="120" w:after="0"/>
        <w:ind w:left="0"/>
        <w:rPr>
          <w:lang w:val="en-US"/>
        </w:rPr>
      </w:pPr>
      <w:r>
        <w:rPr>
          <w:lang w:val="en-US"/>
        </w:rPr>
        <w:t>This contribution to further motivate the second objective and to suggest several design aspects that needs to be considered to enable autonomous uplink access</w:t>
      </w:r>
      <w:r w:rsidR="00AF0CD4">
        <w:rPr>
          <w:lang w:val="en-US"/>
        </w:rPr>
        <w:t xml:space="preserve"> (AUL).</w:t>
      </w:r>
    </w:p>
    <w:p w:rsidR="0017557F" w:rsidRDefault="002A20F7" w:rsidP="0017557F">
      <w:pPr>
        <w:pStyle w:val="ListParagraph"/>
        <w:spacing w:before="120" w:after="0"/>
        <w:ind w:left="0"/>
      </w:pPr>
      <w:r w:rsidRPr="00DE31C2">
        <w:t>I</w:t>
      </w:r>
      <w:r w:rsidR="0017557F" w:rsidRPr="00DE31C2">
        <w:t>t was identified that LAA UL</w:t>
      </w:r>
      <w:r w:rsidRPr="00DE31C2">
        <w:t xml:space="preserve"> can experience significant performance degradation</w:t>
      </w:r>
      <w:r w:rsidR="0017557F" w:rsidRPr="00DE31C2">
        <w:t xml:space="preserve"> as documented in our </w:t>
      </w:r>
      <w:r w:rsidR="00DE31C2" w:rsidRPr="00DE31C2">
        <w:t xml:space="preserve">previous </w:t>
      </w:r>
      <w:r w:rsidR="0017557F" w:rsidRPr="00DE31C2">
        <w:t>contributions [</w:t>
      </w:r>
      <w:r w:rsidR="00521550">
        <w:t>2</w:t>
      </w:r>
      <w:r w:rsidR="0017557F" w:rsidRPr="00DE31C2">
        <w:t>-</w:t>
      </w:r>
      <w:r w:rsidR="00521550">
        <w:t>3</w:t>
      </w:r>
      <w:r w:rsidR="0017557F" w:rsidRPr="00DE31C2">
        <w:t>].</w:t>
      </w:r>
      <w:r w:rsidR="0017557F">
        <w:t xml:space="preserve"> </w:t>
      </w:r>
      <w:r w:rsidR="00F44156">
        <w:t>The unbalance in LAA DL and UL performance is recaptured in the figure below.</w:t>
      </w:r>
    </w:p>
    <w:bookmarkEnd w:id="1"/>
    <w:p w:rsidR="00F44156" w:rsidRDefault="00F44156" w:rsidP="0017557F">
      <w:pPr>
        <w:pStyle w:val="ListParagraph"/>
        <w:spacing w:before="120" w:after="0"/>
        <w:ind w:left="0"/>
      </w:pPr>
    </w:p>
    <w:p w:rsidR="00F44156" w:rsidRDefault="00F44156" w:rsidP="0017557F">
      <w:pPr>
        <w:pStyle w:val="ListParagraph"/>
        <w:spacing w:before="120" w:after="0"/>
        <w:ind w:left="0"/>
      </w:pPr>
    </w:p>
    <w:p w:rsidR="00F44156" w:rsidRDefault="00F44156" w:rsidP="00F44156">
      <w:pPr>
        <w:pStyle w:val="ListParagraph"/>
        <w:spacing w:before="120" w:after="0"/>
        <w:ind w:left="0"/>
        <w:jc w:val="center"/>
      </w:pPr>
      <w:r w:rsidRPr="00F44156">
        <w:rPr>
          <w:noProof/>
          <w:lang w:val="en-US" w:eastAsia="ko-KR"/>
        </w:rPr>
        <w:drawing>
          <wp:inline distT="0" distB="0" distL="0" distR="0" wp14:anchorId="624E93EF" wp14:editId="16875E91">
            <wp:extent cx="2696618" cy="2079221"/>
            <wp:effectExtent l="0" t="0" r="889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8"/>
                    <a:stretch>
                      <a:fillRect/>
                    </a:stretch>
                  </pic:blipFill>
                  <pic:spPr>
                    <a:xfrm>
                      <a:off x="0" y="0"/>
                      <a:ext cx="2696618" cy="2079221"/>
                    </a:xfrm>
                    <a:prstGeom prst="rect">
                      <a:avLst/>
                    </a:prstGeom>
                  </pic:spPr>
                </pic:pic>
              </a:graphicData>
            </a:graphic>
          </wp:inline>
        </w:drawing>
      </w:r>
    </w:p>
    <w:p w:rsidR="00F44156" w:rsidRDefault="00F44156" w:rsidP="00F44156">
      <w:pPr>
        <w:pStyle w:val="ListParagraph"/>
        <w:spacing w:before="120" w:after="0"/>
        <w:ind w:left="0"/>
        <w:jc w:val="center"/>
      </w:pPr>
    </w:p>
    <w:p w:rsidR="00F44156" w:rsidRPr="00F44156" w:rsidRDefault="00F44156" w:rsidP="00F44156">
      <w:pPr>
        <w:pStyle w:val="ListParagraph"/>
        <w:spacing w:before="120" w:after="0"/>
        <w:ind w:left="0"/>
        <w:jc w:val="center"/>
        <w:rPr>
          <w:b/>
        </w:rPr>
      </w:pPr>
      <w:r w:rsidRPr="00F44156">
        <w:rPr>
          <w:b/>
        </w:rPr>
        <w:t>Figure 1. The unbalance in LAA DL and UL performance</w:t>
      </w:r>
    </w:p>
    <w:p w:rsidR="00F44156" w:rsidRDefault="00F44156" w:rsidP="0017557F">
      <w:pPr>
        <w:pStyle w:val="ListParagraph"/>
        <w:spacing w:before="120" w:after="0"/>
        <w:ind w:left="0"/>
      </w:pPr>
    </w:p>
    <w:p w:rsidR="0017557F" w:rsidRPr="005C0049" w:rsidRDefault="0017557F" w:rsidP="0021529E">
      <w:pPr>
        <w:spacing w:before="120" w:after="0"/>
      </w:pPr>
      <w:r>
        <w:t xml:space="preserve">One of the main reasons of the performance degradation is due to the </w:t>
      </w:r>
      <w:r w:rsidRPr="003C3B2C">
        <w:t>“</w:t>
      </w:r>
      <w:r w:rsidR="0021529E">
        <w:t>quadruple</w:t>
      </w:r>
      <w:r w:rsidRPr="003C3B2C">
        <w:t>” contention</w:t>
      </w:r>
      <w:r>
        <w:t xml:space="preserve"> for UEs to </w:t>
      </w:r>
      <w:r w:rsidR="002A20F7">
        <w:t xml:space="preserve">access the </w:t>
      </w:r>
      <w:r>
        <w:t>UL. That is,</w:t>
      </w:r>
      <w:r w:rsidR="0021529E">
        <w:t xml:space="preserve"> 1) UE to send SR,</w:t>
      </w:r>
      <w:r>
        <w:t xml:space="preserve"> </w:t>
      </w:r>
      <w:r w:rsidR="0021529E">
        <w:t xml:space="preserve">2) </w:t>
      </w:r>
      <w:r>
        <w:t>LBT performed at the eNB before sending UL grant</w:t>
      </w:r>
      <w:r w:rsidR="0021529E">
        <w:t xml:space="preserve"> (especially in the case of self-carrier scheduling)</w:t>
      </w:r>
      <w:r>
        <w:t xml:space="preserve">, </w:t>
      </w:r>
      <w:r w:rsidR="0021529E">
        <w:t>3</w:t>
      </w:r>
      <w:r>
        <w:t xml:space="preserve">) UE </w:t>
      </w:r>
      <w:r w:rsidR="0021529E">
        <w:t xml:space="preserve">scheduling (internal contention amongst UEs associated with the same eNB) and 4) </w:t>
      </w:r>
      <w:r>
        <w:t xml:space="preserve">LBT performed </w:t>
      </w:r>
      <w:r w:rsidR="0021529E">
        <w:t>only by the scheduled UE</w:t>
      </w:r>
      <w:r>
        <w:t xml:space="preserve">. </w:t>
      </w:r>
      <w:r w:rsidRPr="0021529E">
        <w:rPr>
          <w:szCs w:val="20"/>
          <w:lang w:val="en-US"/>
        </w:rPr>
        <w:t xml:space="preserve">In addition, one particular limitation imposed on the LTE system is the four subframe processing delay between UL grant and PUSCH transmission. </w:t>
      </w:r>
    </w:p>
    <w:p w:rsidR="00DE31C2" w:rsidRDefault="00DE31C2" w:rsidP="0021529E">
      <w:pPr>
        <w:spacing w:before="120" w:after="0"/>
      </w:pPr>
      <w:r>
        <w:t>T</w:t>
      </w:r>
      <w:r w:rsidR="0017557F" w:rsidRPr="00DE31C2">
        <w:t>he non-scheduled UL transmission has advantage over scheduled UL transmission in the following aspects</w:t>
      </w:r>
      <w:r w:rsidR="00F44156">
        <w:t xml:space="preserve"> and can be helpful to improve the LAA UL performance</w:t>
      </w:r>
      <w:r w:rsidR="0021529E">
        <w:t>.</w:t>
      </w:r>
      <w:r w:rsidR="00FE264F" w:rsidRPr="00DE31C2">
        <w:t xml:space="preserve"> </w:t>
      </w:r>
      <w:r w:rsidR="0021529E">
        <w:t xml:space="preserve">1) </w:t>
      </w:r>
      <w:r w:rsidR="002A20F7" w:rsidRPr="00DE31C2">
        <w:t xml:space="preserve">If a UE succeeds the LBT, then it can start transmitting immediately as Wi-Fi. Thus, no more </w:t>
      </w:r>
      <w:r w:rsidR="0021529E">
        <w:t>multiple</w:t>
      </w:r>
      <w:r w:rsidR="002A20F7" w:rsidRPr="00DE31C2">
        <w:t xml:space="preserve"> contention imposed on the UL access.</w:t>
      </w:r>
      <w:r w:rsidR="0021529E">
        <w:t xml:space="preserve"> 2) </w:t>
      </w:r>
      <w:r w:rsidR="00FE264F" w:rsidRPr="00DE31C2">
        <w:t>The</w:t>
      </w:r>
      <w:r w:rsidR="0021529E">
        <w:t xml:space="preserve"> UL autonomous transmission</w:t>
      </w:r>
      <w:r w:rsidR="00FE264F" w:rsidRPr="00DE31C2">
        <w:t xml:space="preserve"> does not </w:t>
      </w:r>
      <w:r w:rsidR="002A20F7" w:rsidRPr="00DE31C2">
        <w:t>rely on the</w:t>
      </w:r>
      <w:r w:rsidR="00FE264F" w:rsidRPr="00DE31C2">
        <w:t xml:space="preserve"> UL grant</w:t>
      </w:r>
      <w:r w:rsidR="002A20F7" w:rsidRPr="00DE31C2">
        <w:t>.</w:t>
      </w:r>
      <w:r w:rsidR="0021529E">
        <w:t xml:space="preserve"> 3) </w:t>
      </w:r>
      <w:r w:rsidR="002A20F7" w:rsidRPr="00DE31C2">
        <w:t>It will naturally well-coexist with Wi-Fi as the UE behaviour is not different from Wi-Fi stations.</w:t>
      </w:r>
    </w:p>
    <w:p w:rsidR="0021529E" w:rsidRDefault="0021529E" w:rsidP="0021529E">
      <w:pPr>
        <w:spacing w:before="120" w:after="0"/>
      </w:pPr>
    </w:p>
    <w:p w:rsidR="0021529E" w:rsidRPr="00DE31C2" w:rsidRDefault="0021529E" w:rsidP="0021529E">
      <w:pPr>
        <w:spacing w:before="120" w:after="0"/>
      </w:pPr>
    </w:p>
    <w:p w:rsidR="005F0F7B" w:rsidRPr="0099619E" w:rsidRDefault="0021529E" w:rsidP="0099619E">
      <w:pPr>
        <w:pStyle w:val="Heading1"/>
        <w:keepNext w:val="0"/>
        <w:widowControl w:val="0"/>
        <w:spacing w:before="480" w:after="120"/>
        <w:ind w:left="518"/>
        <w:rPr>
          <w:sz w:val="28"/>
          <w:lang w:val="en-US"/>
        </w:rPr>
      </w:pPr>
      <w:r>
        <w:rPr>
          <w:sz w:val="28"/>
          <w:lang w:val="en-US"/>
        </w:rPr>
        <w:lastRenderedPageBreak/>
        <w:t xml:space="preserve">Necessary </w:t>
      </w:r>
      <w:r w:rsidR="00337330">
        <w:rPr>
          <w:sz w:val="28"/>
          <w:lang w:val="en-US"/>
        </w:rPr>
        <w:t>C</w:t>
      </w:r>
      <w:r>
        <w:rPr>
          <w:sz w:val="28"/>
          <w:lang w:val="en-US"/>
        </w:rPr>
        <w:t xml:space="preserve">onsiderations to </w:t>
      </w:r>
      <w:r w:rsidR="00337330">
        <w:rPr>
          <w:sz w:val="28"/>
          <w:lang w:val="en-US"/>
        </w:rPr>
        <w:t>E</w:t>
      </w:r>
      <w:r>
        <w:rPr>
          <w:sz w:val="28"/>
          <w:lang w:val="en-US"/>
        </w:rPr>
        <w:t xml:space="preserve">nable </w:t>
      </w:r>
      <w:r w:rsidR="00337330">
        <w:rPr>
          <w:sz w:val="28"/>
          <w:lang w:val="en-US"/>
        </w:rPr>
        <w:t>A</w:t>
      </w:r>
      <w:r>
        <w:rPr>
          <w:sz w:val="28"/>
          <w:lang w:val="en-US"/>
        </w:rPr>
        <w:t xml:space="preserve">utonomous </w:t>
      </w:r>
      <w:r w:rsidR="00337330">
        <w:rPr>
          <w:sz w:val="28"/>
          <w:lang w:val="en-US"/>
        </w:rPr>
        <w:t>UL Access</w:t>
      </w:r>
    </w:p>
    <w:p w:rsidR="005321AB" w:rsidRPr="0099619E" w:rsidRDefault="0021529E" w:rsidP="0099619E">
      <w:pPr>
        <w:pStyle w:val="Heading2"/>
        <w:spacing w:before="360" w:after="120"/>
        <w:rPr>
          <w:rFonts w:ascii="Arial" w:hAnsi="Arial"/>
        </w:rPr>
      </w:pPr>
      <w:r>
        <w:rPr>
          <w:rFonts w:ascii="Arial" w:hAnsi="Arial"/>
        </w:rPr>
        <w:t xml:space="preserve">Overall </w:t>
      </w:r>
      <w:r w:rsidR="00337330">
        <w:rPr>
          <w:rFonts w:ascii="Arial" w:hAnsi="Arial"/>
        </w:rPr>
        <w:t>O</w:t>
      </w:r>
      <w:r>
        <w:rPr>
          <w:rFonts w:ascii="Arial" w:hAnsi="Arial"/>
        </w:rPr>
        <w:t>peration</w:t>
      </w:r>
      <w:r w:rsidR="005321AB" w:rsidRPr="0099619E">
        <w:rPr>
          <w:rFonts w:ascii="Arial" w:hAnsi="Arial"/>
        </w:rPr>
        <w:t xml:space="preserve"> </w:t>
      </w:r>
    </w:p>
    <w:p w:rsidR="004A613A" w:rsidRDefault="00E867D3" w:rsidP="0021529E">
      <w:pPr>
        <w:pStyle w:val="ListParagraph"/>
        <w:spacing w:before="120" w:after="0"/>
        <w:ind w:left="0"/>
      </w:pPr>
      <w:r>
        <w:t xml:space="preserve">In this </w:t>
      </w:r>
      <w:r w:rsidR="002A20F7">
        <w:t>section</w:t>
      </w:r>
      <w:r>
        <w:t xml:space="preserve">, </w:t>
      </w:r>
      <w:r w:rsidR="00AF0CD4">
        <w:t>the overall</w:t>
      </w:r>
      <w:r w:rsidR="00E9260F">
        <w:t xml:space="preserve"> operation</w:t>
      </w:r>
      <w:r w:rsidR="00AF0CD4">
        <w:t xml:space="preserve"> of the </w:t>
      </w:r>
      <w:r w:rsidR="00337330">
        <w:t>AUL</w:t>
      </w:r>
      <w:r w:rsidR="00E9260F">
        <w:t xml:space="preserve"> </w:t>
      </w:r>
      <w:r w:rsidR="00AF0CD4">
        <w:t>is</w:t>
      </w:r>
      <w:r w:rsidR="002A20F7">
        <w:t xml:space="preserve"> discussed </w:t>
      </w:r>
      <w:r w:rsidR="00E9260F">
        <w:t>including UL LBT, UL subframe design, scheduling, link adaptation</w:t>
      </w:r>
      <w:r w:rsidR="00085F49">
        <w:t xml:space="preserve"> and</w:t>
      </w:r>
      <w:r w:rsidR="004A613A">
        <w:t xml:space="preserve"> </w:t>
      </w:r>
      <w:r w:rsidR="002A20F7">
        <w:t xml:space="preserve">the </w:t>
      </w:r>
      <w:r w:rsidR="004A613A">
        <w:t>detection of UL burst at the eNB</w:t>
      </w:r>
      <w:r w:rsidR="00E9260F">
        <w:t xml:space="preserve">. </w:t>
      </w:r>
      <w:r w:rsidR="004A613A">
        <w:t xml:space="preserve"> Figure </w:t>
      </w:r>
      <w:r w:rsidR="00D63FED">
        <w:t>1</w:t>
      </w:r>
      <w:r w:rsidR="004A613A">
        <w:t xml:space="preserve"> illustrat</w:t>
      </w:r>
      <w:r w:rsidR="002A20F7">
        <w:t xml:space="preserve">es </w:t>
      </w:r>
      <w:r w:rsidR="00337330">
        <w:t>a schematic AUL</w:t>
      </w:r>
      <w:r w:rsidR="002A20F7">
        <w:t xml:space="preserve"> operation. </w:t>
      </w:r>
      <w:r w:rsidR="002A20F7" w:rsidRPr="0021529E">
        <w:t xml:space="preserve">The </w:t>
      </w:r>
      <w:r w:rsidR="004A613A" w:rsidRPr="0021529E">
        <w:t>UE that intends to transmit to the anchored eNB performs channel sensing without</w:t>
      </w:r>
      <w:r w:rsidR="002A20F7" w:rsidRPr="0021529E">
        <w:t xml:space="preserve"> the need for </w:t>
      </w:r>
      <w:r w:rsidR="004A613A" w:rsidRPr="0021529E">
        <w:t xml:space="preserve">UL grant from </w:t>
      </w:r>
      <w:r w:rsidR="002A20F7" w:rsidRPr="0021529E">
        <w:t xml:space="preserve">the </w:t>
      </w:r>
      <w:r w:rsidR="004A613A" w:rsidRPr="0021529E">
        <w:t xml:space="preserve">eNB. </w:t>
      </w:r>
      <w:r w:rsidR="00D63FED" w:rsidRPr="0021529E">
        <w:t>After completing the LBT,</w:t>
      </w:r>
      <w:r w:rsidR="002A20F7" w:rsidRPr="0021529E">
        <w:t xml:space="preserve"> the</w:t>
      </w:r>
      <w:r w:rsidR="00D63FED" w:rsidRPr="0021529E">
        <w:t xml:space="preserve"> </w:t>
      </w:r>
      <w:r w:rsidR="004A613A" w:rsidRPr="0021529E">
        <w:t>UE then</w:t>
      </w:r>
      <w:r w:rsidR="002A20F7" w:rsidRPr="0021529E">
        <w:t xml:space="preserve"> starts</w:t>
      </w:r>
      <w:r w:rsidR="004A613A" w:rsidRPr="0021529E">
        <w:t xml:space="preserve"> </w:t>
      </w:r>
      <w:r w:rsidR="002A20F7" w:rsidRPr="0021529E">
        <w:t>its transmission immediately.</w:t>
      </w:r>
      <w:r w:rsidR="002A20F7">
        <w:t xml:space="preserve"> </w:t>
      </w:r>
    </w:p>
    <w:p w:rsidR="004A613A" w:rsidRPr="00693221" w:rsidRDefault="004A613A" w:rsidP="004A613A">
      <w:pPr>
        <w:rPr>
          <w:lang w:val="en-US"/>
        </w:rPr>
      </w:pPr>
    </w:p>
    <w:p w:rsidR="004A613A" w:rsidRDefault="0021529E" w:rsidP="004A613A">
      <w:pPr>
        <w:keepNext/>
        <w:jc w:val="center"/>
      </w:pPr>
      <w:r w:rsidRPr="0021529E">
        <w:rPr>
          <w:noProof/>
          <w:lang w:val="en-US" w:eastAsia="ko-KR"/>
        </w:rPr>
        <w:drawing>
          <wp:inline distT="0" distB="0" distL="0" distR="0" wp14:anchorId="7677E508" wp14:editId="6BD490F3">
            <wp:extent cx="4957948" cy="346298"/>
            <wp:effectExtent l="0" t="0" r="0" b="0"/>
            <wp:docPr id="6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9"/>
                    <a:stretch>
                      <a:fillRect/>
                    </a:stretch>
                  </pic:blipFill>
                  <pic:spPr>
                    <a:xfrm>
                      <a:off x="0" y="0"/>
                      <a:ext cx="5077644" cy="354658"/>
                    </a:xfrm>
                    <a:prstGeom prst="rect">
                      <a:avLst/>
                    </a:prstGeom>
                  </pic:spPr>
                </pic:pic>
              </a:graphicData>
            </a:graphic>
          </wp:inline>
        </w:drawing>
      </w:r>
    </w:p>
    <w:p w:rsidR="0099619E" w:rsidRPr="0021529E" w:rsidRDefault="004A613A" w:rsidP="0021529E">
      <w:pPr>
        <w:pStyle w:val="Caption"/>
        <w:spacing w:before="240"/>
        <w:jc w:val="center"/>
        <w:rPr>
          <w:sz w:val="20"/>
          <w:szCs w:val="20"/>
        </w:rPr>
      </w:pPr>
      <w:r w:rsidRPr="001B7D9E">
        <w:rPr>
          <w:sz w:val="20"/>
          <w:szCs w:val="20"/>
        </w:rPr>
        <w:t xml:space="preserve">Figure </w:t>
      </w:r>
      <w:r w:rsidR="00B273E1">
        <w:rPr>
          <w:sz w:val="20"/>
          <w:szCs w:val="20"/>
        </w:rPr>
        <w:t>2</w:t>
      </w:r>
      <w:r w:rsidRPr="001B7D9E">
        <w:rPr>
          <w:sz w:val="20"/>
          <w:szCs w:val="20"/>
        </w:rPr>
        <w:t xml:space="preserve">: An illustration of </w:t>
      </w:r>
      <w:r w:rsidR="0021529E">
        <w:rPr>
          <w:sz w:val="20"/>
          <w:szCs w:val="20"/>
        </w:rPr>
        <w:t>autonomous</w:t>
      </w:r>
      <w:r w:rsidR="00337330">
        <w:rPr>
          <w:sz w:val="20"/>
          <w:szCs w:val="20"/>
        </w:rPr>
        <w:t xml:space="preserve"> UL access</w:t>
      </w:r>
    </w:p>
    <w:p w:rsidR="00E9260F" w:rsidRPr="0099619E" w:rsidRDefault="004A613A" w:rsidP="0099619E">
      <w:pPr>
        <w:pStyle w:val="Heading2"/>
        <w:spacing w:before="360" w:after="120"/>
        <w:rPr>
          <w:rFonts w:ascii="Arial" w:hAnsi="Arial"/>
        </w:rPr>
      </w:pPr>
      <w:r w:rsidRPr="0099619E">
        <w:rPr>
          <w:rFonts w:ascii="Arial" w:hAnsi="Arial"/>
        </w:rPr>
        <w:t xml:space="preserve">UL LBT </w:t>
      </w:r>
    </w:p>
    <w:p w:rsidR="00AB1371" w:rsidRDefault="00E867D3" w:rsidP="002D2344">
      <w:pPr>
        <w:pStyle w:val="Text"/>
        <w:spacing w:after="120" w:line="240" w:lineRule="auto"/>
        <w:ind w:firstLine="0"/>
        <w:rPr>
          <w:rFonts w:ascii="Times" w:hAnsi="Times"/>
          <w:szCs w:val="24"/>
          <w:lang w:val="en-GB"/>
        </w:rPr>
      </w:pPr>
      <w:r w:rsidRPr="0021529E">
        <w:rPr>
          <w:rFonts w:ascii="Times" w:hAnsi="Times"/>
          <w:szCs w:val="24"/>
          <w:lang w:val="en-GB"/>
        </w:rPr>
        <w:t xml:space="preserve">In order to maintain fair co-existence with incumbent systems and with other LAA networks, the non-scheduled UEs should perform </w:t>
      </w:r>
      <w:r w:rsidR="00E70948" w:rsidRPr="0021529E">
        <w:rPr>
          <w:rFonts w:ascii="Times" w:hAnsi="Times"/>
          <w:szCs w:val="24"/>
          <w:lang w:val="en-GB"/>
        </w:rPr>
        <w:t>full category 4</w:t>
      </w:r>
      <w:r w:rsidRPr="0021529E">
        <w:rPr>
          <w:rFonts w:ascii="Times" w:hAnsi="Times"/>
          <w:szCs w:val="24"/>
          <w:lang w:val="en-GB"/>
        </w:rPr>
        <w:t xml:space="preserve"> LBT.</w:t>
      </w:r>
      <w:r w:rsidR="00E70948">
        <w:rPr>
          <w:rFonts w:ascii="Times" w:hAnsi="Times"/>
          <w:szCs w:val="24"/>
          <w:lang w:val="en-GB"/>
        </w:rPr>
        <w:t xml:space="preserve"> This will ensure natural coexistence with neighbour Wi-Fi/LAA networks as it is </w:t>
      </w:r>
      <w:r w:rsidR="0021529E">
        <w:rPr>
          <w:rFonts w:ascii="Times" w:hAnsi="Times"/>
          <w:szCs w:val="24"/>
          <w:lang w:val="en-GB"/>
        </w:rPr>
        <w:t xml:space="preserve">shown in the </w:t>
      </w:r>
      <w:r w:rsidR="00E70948">
        <w:rPr>
          <w:rFonts w:ascii="Times" w:hAnsi="Times"/>
          <w:szCs w:val="24"/>
          <w:lang w:val="en-GB"/>
        </w:rPr>
        <w:t xml:space="preserve">performance evaluation </w:t>
      </w:r>
      <w:r w:rsidR="0021529E">
        <w:rPr>
          <w:rFonts w:ascii="Times" w:hAnsi="Times"/>
          <w:szCs w:val="24"/>
          <w:lang w:val="en-GB"/>
        </w:rPr>
        <w:t xml:space="preserve">results </w:t>
      </w:r>
      <w:r w:rsidR="00E70948">
        <w:rPr>
          <w:rFonts w:ascii="Times" w:hAnsi="Times"/>
          <w:szCs w:val="24"/>
          <w:lang w:val="en-GB"/>
        </w:rPr>
        <w:t>in Section 3.</w:t>
      </w:r>
      <w:r w:rsidR="00521550">
        <w:rPr>
          <w:rFonts w:ascii="Times" w:hAnsi="Times"/>
          <w:szCs w:val="24"/>
          <w:lang w:val="en-GB"/>
        </w:rPr>
        <w:t xml:space="preserve"> Further details will be discussed in our companion contribution [4].</w:t>
      </w:r>
      <w:r w:rsidR="00E70948">
        <w:rPr>
          <w:rFonts w:ascii="Times" w:hAnsi="Times"/>
          <w:szCs w:val="24"/>
          <w:lang w:val="en-GB"/>
        </w:rPr>
        <w:t xml:space="preserve"> </w:t>
      </w:r>
    </w:p>
    <w:p w:rsidR="00526CE7" w:rsidRPr="0099619E" w:rsidRDefault="00526CE7" w:rsidP="0099619E">
      <w:pPr>
        <w:pStyle w:val="Heading2"/>
        <w:spacing w:before="360" w:after="120"/>
        <w:rPr>
          <w:rFonts w:ascii="Arial" w:hAnsi="Arial"/>
        </w:rPr>
      </w:pPr>
      <w:r w:rsidRPr="0099619E">
        <w:rPr>
          <w:rFonts w:ascii="Arial" w:hAnsi="Arial"/>
        </w:rPr>
        <w:t>UL subframe design</w:t>
      </w:r>
    </w:p>
    <w:p w:rsidR="009D1D4A" w:rsidRPr="0021529E" w:rsidRDefault="003C18B1" w:rsidP="00CE79C8">
      <w:pPr>
        <w:rPr>
          <w:rFonts w:ascii="Times New Roman" w:hAnsi="Times New Roman"/>
        </w:rPr>
      </w:pPr>
      <w:r>
        <w:rPr>
          <w:rFonts w:ascii="Times New Roman" w:hAnsi="Times New Roman"/>
        </w:rPr>
        <w:t xml:space="preserve">The non-scheduled </w:t>
      </w:r>
      <w:r w:rsidR="00526CE7" w:rsidRPr="005D09C1">
        <w:rPr>
          <w:rFonts w:ascii="Times New Roman" w:hAnsi="Times New Roman"/>
        </w:rPr>
        <w:t xml:space="preserve">UE may sense the channel and perform UL transmission at any time. </w:t>
      </w:r>
      <w:r w:rsidR="00664F65">
        <w:rPr>
          <w:rFonts w:ascii="Times New Roman" w:hAnsi="Times New Roman"/>
        </w:rPr>
        <w:t xml:space="preserve">Based on the Release 14 FeLAA design made until now, </w:t>
      </w:r>
      <w:r w:rsidR="002C6AFC">
        <w:rPr>
          <w:rFonts w:ascii="Times New Roman" w:hAnsi="Times New Roman"/>
        </w:rPr>
        <w:t xml:space="preserve">a partial subframe for PUSCH transmission can be utilized along with AUL access. Alternatively, AUL </w:t>
      </w:r>
      <w:r w:rsidR="002C6AFC" w:rsidRPr="00304A33">
        <w:t>PUSCH can be transmitted without the alignment with PCell subframe boundary</w:t>
      </w:r>
      <w:r w:rsidR="002C6AFC">
        <w:t xml:space="preserve"> (aka floating subframe). However, the latter approach will impose higher specification impact. </w:t>
      </w:r>
      <w:r w:rsidR="00766B62">
        <w:t xml:space="preserve"> </w:t>
      </w:r>
    </w:p>
    <w:p w:rsidR="009D1D4A" w:rsidRPr="0099619E" w:rsidRDefault="009D1D4A" w:rsidP="0099619E">
      <w:pPr>
        <w:pStyle w:val="Heading2"/>
        <w:spacing w:before="360" w:after="120"/>
        <w:rPr>
          <w:rFonts w:ascii="Arial" w:hAnsi="Arial"/>
        </w:rPr>
      </w:pPr>
      <w:r w:rsidRPr="0099619E">
        <w:rPr>
          <w:rFonts w:ascii="Arial" w:hAnsi="Arial"/>
        </w:rPr>
        <w:t>PUSCH detection at eNB</w:t>
      </w:r>
    </w:p>
    <w:p w:rsidR="009D1D4A" w:rsidRPr="009D1D4A" w:rsidRDefault="00632297" w:rsidP="009D1D4A">
      <w:pPr>
        <w:rPr>
          <w:rFonts w:ascii="Times New Roman" w:hAnsi="Times New Roman"/>
        </w:rPr>
      </w:pPr>
      <w:r w:rsidRPr="0021529E">
        <w:rPr>
          <w:rFonts w:ascii="Times New Roman" w:hAnsi="Times New Roman"/>
        </w:rPr>
        <w:t>For the</w:t>
      </w:r>
      <w:r w:rsidR="003C18B1" w:rsidRPr="0021529E">
        <w:rPr>
          <w:rFonts w:ascii="Times New Roman" w:hAnsi="Times New Roman"/>
        </w:rPr>
        <w:t xml:space="preserve"> UE-autonomous transmission, the </w:t>
      </w:r>
      <w:r w:rsidR="009D1D4A" w:rsidRPr="0021529E">
        <w:rPr>
          <w:rFonts w:ascii="Times New Roman" w:hAnsi="Times New Roman"/>
        </w:rPr>
        <w:t>eNB needs to detect the presence of the UL burst</w:t>
      </w:r>
      <w:r w:rsidR="003C18B1" w:rsidRPr="0021529E">
        <w:rPr>
          <w:rFonts w:ascii="Times New Roman" w:hAnsi="Times New Roman"/>
        </w:rPr>
        <w:t>.</w:t>
      </w:r>
      <w:r w:rsidR="003C18B1">
        <w:rPr>
          <w:rFonts w:ascii="Times New Roman" w:hAnsi="Times New Roman"/>
        </w:rPr>
        <w:t xml:space="preserve"> The detection can be done via</w:t>
      </w:r>
      <w:r w:rsidR="009D1D4A">
        <w:rPr>
          <w:rFonts w:ascii="Times New Roman" w:hAnsi="Times New Roman"/>
        </w:rPr>
        <w:t xml:space="preserve">: </w:t>
      </w:r>
    </w:p>
    <w:p w:rsidR="009D1D4A" w:rsidRPr="009D1D4A" w:rsidRDefault="00632297" w:rsidP="00EC5174">
      <w:pPr>
        <w:pStyle w:val="ListParagraph"/>
        <w:numPr>
          <w:ilvl w:val="0"/>
          <w:numId w:val="11"/>
        </w:numPr>
        <w:spacing w:after="120"/>
      </w:pPr>
      <w:r>
        <w:t>P</w:t>
      </w:r>
      <w:r w:rsidR="003C18B1">
        <w:t>reamble signal</w:t>
      </w:r>
      <w:r w:rsidR="009D1D4A" w:rsidRPr="009D1D4A">
        <w:t xml:space="preserve"> (or initial signal)</w:t>
      </w:r>
    </w:p>
    <w:p w:rsidR="003C18B1" w:rsidRDefault="009D1D4A" w:rsidP="00EC5174">
      <w:pPr>
        <w:pStyle w:val="ListParagraph"/>
        <w:numPr>
          <w:ilvl w:val="0"/>
          <w:numId w:val="11"/>
        </w:numPr>
        <w:spacing w:after="120"/>
      </w:pPr>
      <w:r w:rsidRPr="009D1D4A">
        <w:t>DMRS</w:t>
      </w:r>
    </w:p>
    <w:p w:rsidR="009D1D4A" w:rsidRPr="009D1D4A" w:rsidRDefault="002C6AFC" w:rsidP="00632297">
      <w:r>
        <w:t xml:space="preserve">The advantage of DMRS based detection over preamble signal is the minimal specification impact. </w:t>
      </w:r>
      <w:r w:rsidR="004F4D11">
        <w:t>Newly introducing a preamble signal for AUL, including the design itself and performance validation, can be challenging in Release 15 timeframe. I</w:t>
      </w:r>
      <w:r w:rsidR="003C18B1">
        <w:t xml:space="preserve">n Section 3, </w:t>
      </w:r>
      <w:r w:rsidR="004F4D11">
        <w:t xml:space="preserve">we demonstrate that </w:t>
      </w:r>
      <w:r w:rsidR="003C18B1">
        <w:t>the DMRS-based presence detection</w:t>
      </w:r>
      <w:r w:rsidR="004F4D11">
        <w:t xml:space="preserve"> itself provides sufficient reliability. </w:t>
      </w:r>
    </w:p>
    <w:p w:rsidR="00CD6B34" w:rsidRPr="0099619E" w:rsidRDefault="003C18B1" w:rsidP="0099619E">
      <w:pPr>
        <w:pStyle w:val="Heading2"/>
        <w:tabs>
          <w:tab w:val="clear" w:pos="576"/>
          <w:tab w:val="left" w:pos="0"/>
          <w:tab w:val="num" w:pos="1836"/>
        </w:tabs>
        <w:spacing w:before="360" w:after="120"/>
        <w:jc w:val="left"/>
        <w:rPr>
          <w:rFonts w:ascii="Arial" w:hAnsi="Arial"/>
        </w:rPr>
      </w:pPr>
      <w:r>
        <w:rPr>
          <w:rFonts w:ascii="Arial" w:hAnsi="Arial"/>
        </w:rPr>
        <w:t>L</w:t>
      </w:r>
      <w:r w:rsidR="00CD6B34" w:rsidRPr="0099619E">
        <w:rPr>
          <w:rFonts w:ascii="Arial" w:hAnsi="Arial"/>
        </w:rPr>
        <w:t xml:space="preserve">ink adaptation  </w:t>
      </w:r>
    </w:p>
    <w:p w:rsidR="009F3AF0" w:rsidRDefault="00CD6B34" w:rsidP="00744B8D">
      <w:r w:rsidRPr="00744B8D">
        <w:t xml:space="preserve">Link adaptation and MCS selection at the UE </w:t>
      </w:r>
      <w:r w:rsidR="00463E78" w:rsidRPr="00744B8D">
        <w:t>can be</w:t>
      </w:r>
      <w:r w:rsidRPr="00744B8D">
        <w:t xml:space="preserve"> performed based on the CQI feedback from the eNB</w:t>
      </w:r>
      <w:r w:rsidR="003C18B1">
        <w:t>, using channel reciprocity</w:t>
      </w:r>
      <w:r w:rsidR="004F4D11">
        <w:t xml:space="preserve">, or </w:t>
      </w:r>
      <w:r w:rsidR="009F3AF0">
        <w:t>explicit MCS indication from the eNB</w:t>
      </w:r>
      <w:r w:rsidRPr="00744B8D">
        <w:t>.</w:t>
      </w:r>
      <w:r w:rsidR="003C18B1">
        <w:t xml:space="preserve"> </w:t>
      </w:r>
      <w:r w:rsidR="009F3AF0">
        <w:t>From the aspect of minimizing the confusion at the eNB upon the reception of AUL PUSCH, it seems using the MCS explicitly indicated by the eNB would be preferable. Further details will be discussed in our companion paper [5].</w:t>
      </w:r>
    </w:p>
    <w:p w:rsidR="0056156E" w:rsidRPr="0099619E" w:rsidRDefault="00093404" w:rsidP="0099619E">
      <w:pPr>
        <w:pStyle w:val="Heading1"/>
        <w:keepNext w:val="0"/>
        <w:widowControl w:val="0"/>
        <w:spacing w:before="480" w:after="120"/>
        <w:ind w:left="518"/>
        <w:rPr>
          <w:sz w:val="28"/>
          <w:lang w:val="en-US"/>
        </w:rPr>
      </w:pPr>
      <w:r w:rsidRPr="0099619E">
        <w:rPr>
          <w:sz w:val="28"/>
          <w:lang w:val="en-US"/>
        </w:rPr>
        <w:t xml:space="preserve">Performance Evaluation </w:t>
      </w:r>
    </w:p>
    <w:p w:rsidR="00093404" w:rsidRDefault="0056156E" w:rsidP="007519A5">
      <w:pPr>
        <w:pStyle w:val="BodyText"/>
        <w:rPr>
          <w:rFonts w:ascii="Times New Roman" w:eastAsia="Calibri" w:hAnsi="Times New Roman"/>
          <w:szCs w:val="20"/>
          <w:lang w:eastAsia="ja-JP"/>
        </w:rPr>
      </w:pPr>
      <w:r w:rsidRPr="0056156E">
        <w:rPr>
          <w:rFonts w:ascii="Times New Roman" w:eastAsia="Calibri" w:hAnsi="Times New Roman"/>
          <w:szCs w:val="20"/>
          <w:lang w:eastAsia="ja-JP"/>
        </w:rPr>
        <w:t xml:space="preserve">In this section, </w:t>
      </w:r>
      <w:r>
        <w:rPr>
          <w:rFonts w:ascii="Times New Roman" w:eastAsia="Calibri" w:hAnsi="Times New Roman"/>
          <w:szCs w:val="20"/>
          <w:lang w:eastAsia="ja-JP"/>
        </w:rPr>
        <w:t xml:space="preserve">we </w:t>
      </w:r>
      <w:r w:rsidR="007519A5">
        <w:rPr>
          <w:rFonts w:ascii="Times New Roman" w:eastAsia="Calibri" w:hAnsi="Times New Roman"/>
          <w:szCs w:val="20"/>
          <w:lang w:eastAsia="ja-JP"/>
        </w:rPr>
        <w:t xml:space="preserve">compare the performance of </w:t>
      </w:r>
      <w:r w:rsidR="00DF5816">
        <w:rPr>
          <w:rFonts w:ascii="Times New Roman" w:eastAsia="Calibri" w:hAnsi="Times New Roman"/>
          <w:szCs w:val="20"/>
          <w:lang w:eastAsia="ja-JP"/>
        </w:rPr>
        <w:t>AUL</w:t>
      </w:r>
      <w:r w:rsidR="00B273E1">
        <w:rPr>
          <w:rFonts w:ascii="Times New Roman" w:eastAsia="Calibri" w:hAnsi="Times New Roman"/>
          <w:szCs w:val="20"/>
          <w:lang w:eastAsia="ja-JP"/>
        </w:rPr>
        <w:t xml:space="preserve"> </w:t>
      </w:r>
      <w:r w:rsidR="007519A5">
        <w:rPr>
          <w:rFonts w:ascii="Times New Roman" w:eastAsia="Calibri" w:hAnsi="Times New Roman"/>
          <w:szCs w:val="20"/>
          <w:lang w:eastAsia="ja-JP"/>
        </w:rPr>
        <w:t xml:space="preserve">to that of the original scheduled operation. </w:t>
      </w:r>
      <w:r w:rsidR="004A2B7A">
        <w:rPr>
          <w:rFonts w:ascii="Times New Roman" w:eastAsia="Calibri" w:hAnsi="Times New Roman"/>
          <w:szCs w:val="20"/>
          <w:lang w:eastAsia="ja-JP"/>
        </w:rPr>
        <w:t>In addition, we provide the link-level</w:t>
      </w:r>
      <w:r w:rsidR="007519A5">
        <w:rPr>
          <w:rFonts w:ascii="Times New Roman" w:eastAsia="Calibri" w:hAnsi="Times New Roman"/>
          <w:szCs w:val="20"/>
          <w:lang w:eastAsia="ja-JP"/>
        </w:rPr>
        <w:t xml:space="preserve"> presence detection performance based on</w:t>
      </w:r>
      <w:r w:rsidR="004A2B7A">
        <w:rPr>
          <w:rFonts w:ascii="Times New Roman" w:eastAsia="Calibri" w:hAnsi="Times New Roman"/>
          <w:szCs w:val="20"/>
          <w:lang w:eastAsia="ja-JP"/>
        </w:rPr>
        <w:t xml:space="preserve"> DMRS. </w:t>
      </w:r>
    </w:p>
    <w:p w:rsidR="004A2B7A" w:rsidRPr="0099619E" w:rsidRDefault="004A2B7A" w:rsidP="0099619E">
      <w:pPr>
        <w:pStyle w:val="Heading2"/>
        <w:tabs>
          <w:tab w:val="clear" w:pos="576"/>
          <w:tab w:val="left" w:pos="0"/>
          <w:tab w:val="num" w:pos="1836"/>
        </w:tabs>
        <w:spacing w:before="360" w:after="120"/>
        <w:jc w:val="left"/>
        <w:rPr>
          <w:rFonts w:ascii="Arial" w:hAnsi="Arial"/>
        </w:rPr>
      </w:pPr>
      <w:r w:rsidRPr="0099619E">
        <w:rPr>
          <w:rFonts w:ascii="Arial" w:hAnsi="Arial"/>
        </w:rPr>
        <w:t xml:space="preserve">Comparison between scheduled and non-scheduled UL </w:t>
      </w:r>
      <w:r w:rsidR="007519A5">
        <w:rPr>
          <w:rFonts w:ascii="Arial" w:hAnsi="Arial"/>
        </w:rPr>
        <w:t>access</w:t>
      </w:r>
    </w:p>
    <w:p w:rsidR="00BD4A94" w:rsidRDefault="004A2B7A" w:rsidP="00637105">
      <w:pPr>
        <w:pStyle w:val="BodyText"/>
        <w:rPr>
          <w:rFonts w:ascii="Times New Roman" w:eastAsia="Calibri" w:hAnsi="Times New Roman"/>
          <w:szCs w:val="20"/>
          <w:lang w:eastAsia="ja-JP"/>
        </w:rPr>
      </w:pPr>
      <w:r>
        <w:rPr>
          <w:rFonts w:ascii="Times New Roman" w:eastAsia="Calibri" w:hAnsi="Times New Roman"/>
          <w:szCs w:val="20"/>
          <w:lang w:eastAsia="ja-JP"/>
        </w:rPr>
        <w:t>The simulation assumptions</w:t>
      </w:r>
      <w:r w:rsidR="00B273E1">
        <w:rPr>
          <w:rFonts w:ascii="Times New Roman" w:eastAsia="Calibri" w:hAnsi="Times New Roman"/>
          <w:szCs w:val="20"/>
          <w:lang w:eastAsia="ja-JP"/>
        </w:rPr>
        <w:t xml:space="preserve"> </w:t>
      </w:r>
      <w:r w:rsidR="007519A5">
        <w:rPr>
          <w:rFonts w:ascii="Times New Roman" w:eastAsia="Calibri" w:hAnsi="Times New Roman"/>
          <w:szCs w:val="20"/>
          <w:lang w:eastAsia="ja-JP"/>
        </w:rPr>
        <w:t>comply with 3GPP evaluation methodology [</w:t>
      </w:r>
      <w:r w:rsidR="00DF5816">
        <w:rPr>
          <w:rFonts w:ascii="Times New Roman" w:eastAsia="Calibri" w:hAnsi="Times New Roman"/>
          <w:szCs w:val="20"/>
          <w:lang w:eastAsia="ja-JP"/>
        </w:rPr>
        <w:t>6</w:t>
      </w:r>
      <w:r w:rsidR="007519A5">
        <w:rPr>
          <w:rFonts w:ascii="Times New Roman" w:eastAsia="Calibri" w:hAnsi="Times New Roman"/>
          <w:szCs w:val="20"/>
          <w:lang w:eastAsia="ja-JP"/>
        </w:rPr>
        <w:t>]</w:t>
      </w:r>
      <w:r>
        <w:rPr>
          <w:rFonts w:ascii="Times New Roman" w:eastAsia="Calibri" w:hAnsi="Times New Roman"/>
          <w:szCs w:val="20"/>
          <w:lang w:eastAsia="ja-JP"/>
        </w:rPr>
        <w:t xml:space="preserve">. </w:t>
      </w:r>
      <w:r w:rsidR="00BD4A94">
        <w:rPr>
          <w:rFonts w:ascii="Times New Roman" w:eastAsia="Calibri" w:hAnsi="Times New Roman"/>
          <w:szCs w:val="20"/>
          <w:lang w:eastAsia="ja-JP"/>
        </w:rPr>
        <w:t xml:space="preserve">Figure </w:t>
      </w:r>
      <w:r w:rsidR="00B273E1">
        <w:rPr>
          <w:rFonts w:ascii="Times New Roman" w:eastAsia="Calibri" w:hAnsi="Times New Roman"/>
          <w:szCs w:val="20"/>
          <w:lang w:eastAsia="ja-JP"/>
        </w:rPr>
        <w:t>3</w:t>
      </w:r>
      <w:r w:rsidR="00BD4A94">
        <w:rPr>
          <w:rFonts w:ascii="Times New Roman" w:eastAsia="Calibri" w:hAnsi="Times New Roman"/>
          <w:szCs w:val="20"/>
          <w:lang w:eastAsia="ja-JP"/>
        </w:rPr>
        <w:t xml:space="preserve"> provides the </w:t>
      </w:r>
      <w:r w:rsidR="00B273E1">
        <w:rPr>
          <w:rFonts w:ascii="Times New Roman" w:eastAsia="Calibri" w:hAnsi="Times New Roman"/>
          <w:szCs w:val="20"/>
          <w:lang w:eastAsia="ja-JP"/>
        </w:rPr>
        <w:t>UL UPT when Wi-Fi coexists with LAA without and with UL autonomous access</w:t>
      </w:r>
      <w:r w:rsidR="00BD4A94">
        <w:rPr>
          <w:rFonts w:ascii="Times New Roman" w:eastAsia="Calibri" w:hAnsi="Times New Roman"/>
          <w:szCs w:val="20"/>
          <w:lang w:eastAsia="ja-JP"/>
        </w:rPr>
        <w:t>.</w:t>
      </w:r>
      <w:r w:rsidR="00B273E1">
        <w:rPr>
          <w:rFonts w:ascii="Times New Roman" w:eastAsia="Calibri" w:hAnsi="Times New Roman"/>
          <w:szCs w:val="20"/>
          <w:lang w:eastAsia="ja-JP"/>
        </w:rPr>
        <w:t xml:space="preserve"> The traffic ratio for DL:UL was assumed 50%:50% and simulated for indoor scenario.</w:t>
      </w:r>
      <w:r w:rsidR="00BD4A94">
        <w:rPr>
          <w:rFonts w:ascii="Times New Roman" w:eastAsia="Calibri" w:hAnsi="Times New Roman"/>
          <w:szCs w:val="20"/>
          <w:lang w:eastAsia="ja-JP"/>
        </w:rPr>
        <w:t xml:space="preserve">  </w:t>
      </w:r>
    </w:p>
    <w:p w:rsidR="00B273E1" w:rsidRPr="00637105" w:rsidRDefault="00B273E1" w:rsidP="00637105">
      <w:pPr>
        <w:pStyle w:val="BodyText"/>
        <w:rPr>
          <w:rFonts w:ascii="Times New Roman" w:eastAsia="Calibri" w:hAnsi="Times New Roman"/>
          <w:szCs w:val="20"/>
          <w:lang w:eastAsia="ja-JP"/>
        </w:rPr>
      </w:pPr>
    </w:p>
    <w:p w:rsidR="00D46C6B" w:rsidRDefault="00B273E1" w:rsidP="00632297">
      <w:pPr>
        <w:pStyle w:val="BodyText"/>
        <w:keepNext/>
        <w:jc w:val="center"/>
      </w:pPr>
      <w:r w:rsidRPr="00B273E1">
        <w:rPr>
          <w:noProof/>
          <w:lang w:val="en-US" w:eastAsia="ko-KR"/>
        </w:rPr>
        <w:lastRenderedPageBreak/>
        <w:drawing>
          <wp:inline distT="0" distB="0" distL="0" distR="0" wp14:anchorId="04C660A7" wp14:editId="4976AC80">
            <wp:extent cx="4942188" cy="2466168"/>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942188" cy="2466168"/>
                    </a:xfrm>
                    <a:prstGeom prst="rect">
                      <a:avLst/>
                    </a:prstGeom>
                  </pic:spPr>
                </pic:pic>
              </a:graphicData>
            </a:graphic>
          </wp:inline>
        </w:drawing>
      </w:r>
    </w:p>
    <w:p w:rsidR="00093404" w:rsidRDefault="00D46C6B" w:rsidP="00B273E1">
      <w:pPr>
        <w:pStyle w:val="Caption"/>
        <w:spacing w:before="240"/>
        <w:jc w:val="center"/>
        <w:rPr>
          <w:rFonts w:ascii="10" w:hAnsi="10" w:hint="eastAsia"/>
          <w:sz w:val="20"/>
          <w:szCs w:val="20"/>
        </w:rPr>
      </w:pPr>
      <w:r w:rsidRPr="00632297">
        <w:rPr>
          <w:rFonts w:ascii="10" w:hAnsi="10"/>
          <w:sz w:val="20"/>
          <w:szCs w:val="20"/>
        </w:rPr>
        <w:t xml:space="preserve">Figure </w:t>
      </w:r>
      <w:r w:rsidR="00B273E1">
        <w:rPr>
          <w:rFonts w:ascii="10" w:hAnsi="10"/>
          <w:sz w:val="20"/>
          <w:szCs w:val="20"/>
        </w:rPr>
        <w:t>3</w:t>
      </w:r>
      <w:r w:rsidRPr="00632297">
        <w:rPr>
          <w:rFonts w:ascii="10" w:hAnsi="10"/>
          <w:sz w:val="20"/>
          <w:szCs w:val="20"/>
        </w:rPr>
        <w:t xml:space="preserve">: </w:t>
      </w:r>
      <w:r w:rsidR="00B273E1">
        <w:rPr>
          <w:rFonts w:ascii="10" w:hAnsi="10"/>
          <w:sz w:val="20"/>
          <w:szCs w:val="20"/>
        </w:rPr>
        <w:t>Improved LAA UL performance with UL autonomous transmission</w:t>
      </w:r>
    </w:p>
    <w:p w:rsidR="00B273E1" w:rsidRPr="00B273E1" w:rsidRDefault="00B273E1" w:rsidP="00B273E1"/>
    <w:p w:rsidR="009F304B" w:rsidRPr="00B273E1" w:rsidRDefault="009F304B" w:rsidP="009F304B">
      <w:pPr>
        <w:pStyle w:val="BodyText"/>
        <w:rPr>
          <w:rFonts w:ascii="Times New Roman" w:hAnsi="Times New Roman"/>
          <w:b/>
          <w:szCs w:val="20"/>
        </w:rPr>
      </w:pPr>
      <w:r w:rsidRPr="00B273E1">
        <w:rPr>
          <w:rFonts w:ascii="Times New Roman" w:hAnsi="Times New Roman"/>
          <w:b/>
          <w:szCs w:val="20"/>
          <w:lang w:val="en-US"/>
        </w:rPr>
        <w:t>Observation</w:t>
      </w:r>
      <w:r w:rsidR="00B273E1">
        <w:rPr>
          <w:rFonts w:ascii="Times New Roman" w:hAnsi="Times New Roman"/>
          <w:b/>
          <w:szCs w:val="20"/>
          <w:lang w:val="en-US"/>
        </w:rPr>
        <w:t xml:space="preserve"> 1:</w:t>
      </w:r>
      <w:r w:rsidRPr="00B273E1">
        <w:rPr>
          <w:rFonts w:ascii="Times New Roman" w:hAnsi="Times New Roman"/>
          <w:b/>
          <w:szCs w:val="20"/>
        </w:rPr>
        <w:t xml:space="preserve"> </w:t>
      </w:r>
    </w:p>
    <w:p w:rsidR="00B273E1" w:rsidRPr="00B273E1" w:rsidRDefault="00B273E1" w:rsidP="00B273E1">
      <w:pPr>
        <w:pStyle w:val="ListParagraph"/>
        <w:numPr>
          <w:ilvl w:val="0"/>
          <w:numId w:val="7"/>
        </w:numPr>
        <w:rPr>
          <w:lang w:val="en-US"/>
        </w:rPr>
      </w:pPr>
      <w:r w:rsidRPr="00B273E1">
        <w:rPr>
          <w:lang w:val="en-US"/>
        </w:rPr>
        <w:t xml:space="preserve">UL autonomous transmission can help to balance the UL performance between LAA and Wi-Fi. </w:t>
      </w:r>
    </w:p>
    <w:p w:rsidR="00D946DF" w:rsidRPr="00B273E1" w:rsidRDefault="007519A5" w:rsidP="00B273E1">
      <w:pPr>
        <w:pStyle w:val="ListParagraph"/>
        <w:numPr>
          <w:ilvl w:val="0"/>
          <w:numId w:val="7"/>
        </w:numPr>
        <w:rPr>
          <w:lang w:val="en-US"/>
        </w:rPr>
      </w:pPr>
      <w:r>
        <w:rPr>
          <w:lang w:val="en-US"/>
        </w:rPr>
        <w:t xml:space="preserve">The </w:t>
      </w:r>
      <w:r w:rsidR="000176A4" w:rsidRPr="00200B9D">
        <w:rPr>
          <w:lang w:val="en-US"/>
        </w:rPr>
        <w:t>LAA</w:t>
      </w:r>
      <w:r>
        <w:rPr>
          <w:lang w:val="en-US"/>
        </w:rPr>
        <w:t xml:space="preserve"> </w:t>
      </w:r>
      <w:r w:rsidR="000176A4" w:rsidRPr="00200B9D">
        <w:rPr>
          <w:lang w:val="en-US"/>
        </w:rPr>
        <w:t>with</w:t>
      </w:r>
      <w:r w:rsidR="00B273E1">
        <w:rPr>
          <w:lang w:val="en-US"/>
        </w:rPr>
        <w:t xml:space="preserve"> </w:t>
      </w:r>
      <w:r w:rsidR="00B273E1" w:rsidRPr="00B273E1">
        <w:rPr>
          <w:lang w:val="en-US"/>
        </w:rPr>
        <w:t>UL autonomous</w:t>
      </w:r>
      <w:r w:rsidR="00B273E1">
        <w:rPr>
          <w:lang w:val="en-US"/>
        </w:rPr>
        <w:t xml:space="preserve"> </w:t>
      </w:r>
      <w:r>
        <w:rPr>
          <w:lang w:val="en-US"/>
        </w:rPr>
        <w:t>access well co</w:t>
      </w:r>
      <w:r w:rsidR="000176A4" w:rsidRPr="00200B9D">
        <w:rPr>
          <w:lang w:val="en-US"/>
        </w:rPr>
        <w:t>exists with Wi</w:t>
      </w:r>
      <w:r w:rsidR="004A2B7A">
        <w:rPr>
          <w:lang w:val="en-US"/>
        </w:rPr>
        <w:t>-</w:t>
      </w:r>
      <w:r w:rsidR="000176A4" w:rsidRPr="00200B9D">
        <w:rPr>
          <w:lang w:val="en-US"/>
        </w:rPr>
        <w:t xml:space="preserve">Fi. </w:t>
      </w:r>
    </w:p>
    <w:p w:rsidR="004A2B7A" w:rsidRPr="0099619E" w:rsidRDefault="004A2B7A" w:rsidP="0099619E">
      <w:pPr>
        <w:pStyle w:val="Heading2"/>
        <w:tabs>
          <w:tab w:val="clear" w:pos="576"/>
          <w:tab w:val="left" w:pos="0"/>
          <w:tab w:val="num" w:pos="1836"/>
        </w:tabs>
        <w:spacing w:before="480" w:after="120"/>
        <w:jc w:val="left"/>
        <w:rPr>
          <w:rFonts w:ascii="Arial" w:hAnsi="Arial"/>
        </w:rPr>
      </w:pPr>
      <w:r w:rsidRPr="0099619E">
        <w:rPr>
          <w:rFonts w:ascii="Arial" w:hAnsi="Arial"/>
        </w:rPr>
        <w:t>DMRS based UL transmission presence detection</w:t>
      </w:r>
    </w:p>
    <w:p w:rsidR="004A2B7A" w:rsidRDefault="004A2B7A" w:rsidP="004A2B7A">
      <w:pPr>
        <w:rPr>
          <w:rFonts w:ascii="Times New Roman" w:eastAsia="Calibri" w:hAnsi="Times New Roman"/>
          <w:szCs w:val="22"/>
        </w:rPr>
      </w:pPr>
      <w:r w:rsidRPr="00B273E1">
        <w:rPr>
          <w:rFonts w:ascii="Times New Roman" w:eastAsia="Calibri" w:hAnsi="Times New Roman"/>
          <w:szCs w:val="22"/>
        </w:rPr>
        <w:t>We present the evaluation results for the DMRS based PUSCH presence detection as follows.</w:t>
      </w:r>
      <w:r>
        <w:rPr>
          <w:rFonts w:ascii="Times New Roman" w:eastAsia="Calibri" w:hAnsi="Times New Roman"/>
          <w:szCs w:val="22"/>
        </w:rPr>
        <w:t xml:space="preserve"> The simulation assumption is given in Table </w:t>
      </w:r>
      <w:r w:rsidR="00B273E1">
        <w:rPr>
          <w:rFonts w:ascii="Times New Roman" w:eastAsia="Calibri" w:hAnsi="Times New Roman"/>
          <w:szCs w:val="22"/>
        </w:rPr>
        <w:t>1</w:t>
      </w:r>
      <w:r w:rsidR="00D946DF">
        <w:rPr>
          <w:rFonts w:ascii="Times New Roman" w:eastAsia="Calibri" w:hAnsi="Times New Roman"/>
          <w:szCs w:val="22"/>
        </w:rPr>
        <w:t xml:space="preserve"> in appendix</w:t>
      </w:r>
      <w:r>
        <w:rPr>
          <w:rFonts w:ascii="Times New Roman" w:eastAsia="Calibri" w:hAnsi="Times New Roman"/>
          <w:szCs w:val="22"/>
        </w:rPr>
        <w:t>.</w:t>
      </w:r>
      <w:r w:rsidR="00B273E1">
        <w:rPr>
          <w:rFonts w:ascii="Times New Roman" w:eastAsia="Calibri" w:hAnsi="Times New Roman"/>
          <w:szCs w:val="22"/>
        </w:rPr>
        <w:t xml:space="preserve"> </w:t>
      </w:r>
      <w:r>
        <w:rPr>
          <w:rFonts w:ascii="Times New Roman" w:eastAsia="Calibri" w:hAnsi="Times New Roman"/>
          <w:szCs w:val="22"/>
        </w:rPr>
        <w:t xml:space="preserve">Figure </w:t>
      </w:r>
      <w:r w:rsidR="00B273E1">
        <w:rPr>
          <w:rFonts w:ascii="Times New Roman" w:eastAsia="Calibri" w:hAnsi="Times New Roman"/>
          <w:szCs w:val="22"/>
        </w:rPr>
        <w:t>4</w:t>
      </w:r>
      <w:r>
        <w:rPr>
          <w:rFonts w:ascii="Times New Roman" w:eastAsia="Calibri" w:hAnsi="Times New Roman"/>
          <w:szCs w:val="22"/>
        </w:rPr>
        <w:t xml:space="preserve"> illustrates the misdetection probability</w:t>
      </w:r>
      <w:r w:rsidR="00D946DF">
        <w:rPr>
          <w:rFonts w:ascii="Times New Roman" w:eastAsia="Calibri" w:hAnsi="Times New Roman"/>
          <w:szCs w:val="22"/>
        </w:rPr>
        <w:t xml:space="preserve"> at the given </w:t>
      </w:r>
      <w:r>
        <w:rPr>
          <w:rFonts w:ascii="Times New Roman" w:eastAsia="Calibri" w:hAnsi="Times New Roman"/>
          <w:szCs w:val="22"/>
        </w:rPr>
        <w:t xml:space="preserve">false-alarm probability. From Figure 3, we can observe that the SNR required to achieve detection probability </w:t>
      </w:r>
      <w:r w:rsidR="00D946DF">
        <w:rPr>
          <w:rFonts w:ascii="Times New Roman" w:eastAsia="Calibri" w:hAnsi="Times New Roman"/>
          <w:szCs w:val="22"/>
        </w:rPr>
        <w:t xml:space="preserve">higher </w:t>
      </w:r>
      <w:r>
        <w:rPr>
          <w:rFonts w:ascii="Times New Roman" w:eastAsia="Calibri" w:hAnsi="Times New Roman"/>
          <w:szCs w:val="22"/>
        </w:rPr>
        <w:t xml:space="preserve">than 99% and 99.9% are -14dB and -12.3dB, respectively, when targeting false-alarm probability is 1%. </w:t>
      </w:r>
      <w:r w:rsidRPr="00B273E1">
        <w:rPr>
          <w:rFonts w:ascii="Times New Roman" w:eastAsia="Calibri" w:hAnsi="Times New Roman"/>
          <w:szCs w:val="22"/>
        </w:rPr>
        <w:t xml:space="preserve">When the false-alarm probability is 0.1%, the SNR required to achieve detection probability </w:t>
      </w:r>
      <w:r w:rsidR="00D946DF" w:rsidRPr="00B273E1">
        <w:rPr>
          <w:rFonts w:ascii="Times New Roman" w:eastAsia="Calibri" w:hAnsi="Times New Roman"/>
          <w:szCs w:val="22"/>
        </w:rPr>
        <w:t xml:space="preserve">higher </w:t>
      </w:r>
      <w:r w:rsidRPr="00B273E1">
        <w:rPr>
          <w:rFonts w:ascii="Times New Roman" w:eastAsia="Calibri" w:hAnsi="Times New Roman"/>
          <w:szCs w:val="22"/>
        </w:rPr>
        <w:t>than 99% and 99.9% are -13.5dB and -11.4dB, respectively</w:t>
      </w:r>
      <w:r>
        <w:rPr>
          <w:rFonts w:ascii="Times New Roman" w:eastAsia="Calibri" w:hAnsi="Times New Roman"/>
          <w:szCs w:val="22"/>
        </w:rPr>
        <w:t xml:space="preserve">. Thus, we can conclude that the DMRS based detection can provide </w:t>
      </w:r>
      <w:r w:rsidR="00D946DF">
        <w:rPr>
          <w:rFonts w:ascii="Times New Roman" w:eastAsia="Calibri" w:hAnsi="Times New Roman"/>
          <w:szCs w:val="22"/>
        </w:rPr>
        <w:t xml:space="preserve">enough </w:t>
      </w:r>
      <w:r>
        <w:rPr>
          <w:rFonts w:ascii="Times New Roman" w:eastAsia="Calibri" w:hAnsi="Times New Roman"/>
          <w:szCs w:val="22"/>
        </w:rPr>
        <w:t xml:space="preserve">performance. </w:t>
      </w:r>
    </w:p>
    <w:p w:rsidR="00D946DF" w:rsidRDefault="00D946DF" w:rsidP="004A2B7A">
      <w:pPr>
        <w:rPr>
          <w:rFonts w:ascii="Times New Roman" w:eastAsia="Calibri" w:hAnsi="Times New Roman"/>
          <w:szCs w:val="22"/>
        </w:rPr>
      </w:pPr>
    </w:p>
    <w:p w:rsidR="004A2B7A" w:rsidRDefault="0099619E" w:rsidP="0099619E">
      <w:pPr>
        <w:rPr>
          <w:rFonts w:ascii="Times New Roman" w:eastAsia="Calibri" w:hAnsi="Times New Roman"/>
          <w:szCs w:val="22"/>
        </w:rPr>
      </w:pPr>
      <w:r>
        <w:rPr>
          <w:rFonts w:ascii="Times New Roman" w:eastAsia="Calibri" w:hAnsi="Times New Roman"/>
          <w:szCs w:val="22"/>
        </w:rPr>
        <w:t xml:space="preserve">               </w:t>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255520" cy="2019300"/>
            <wp:effectExtent l="0" t="0" r="0" b="0"/>
            <wp:docPr id="2" name="Picture 2" descr="DFT-1UE-nRB100-EPA-5-Pf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T-1UE-nRB100-EPA-5-Pfa-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5520" cy="2019300"/>
                    </a:xfrm>
                    <a:prstGeom prst="rect">
                      <a:avLst/>
                    </a:prstGeom>
                    <a:noFill/>
                    <a:ln>
                      <a:noFill/>
                    </a:ln>
                  </pic:spPr>
                </pic:pic>
              </a:graphicData>
            </a:graphic>
          </wp:inline>
        </w:drawing>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362200" cy="1958340"/>
            <wp:effectExtent l="0" t="0" r="0" b="3810"/>
            <wp:docPr id="1" name="Picture 3" descr="DFT-1UE-nRB100-EPA-5-Pf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T-1UE-nRB100-EPA-5-Pfa-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2200" cy="1958340"/>
                    </a:xfrm>
                    <a:prstGeom prst="rect">
                      <a:avLst/>
                    </a:prstGeom>
                    <a:noFill/>
                    <a:ln>
                      <a:noFill/>
                    </a:ln>
                  </pic:spPr>
                </pic:pic>
              </a:graphicData>
            </a:graphic>
          </wp:inline>
        </w:drawing>
      </w:r>
    </w:p>
    <w:p w:rsidR="004A2B7A" w:rsidRPr="00BB2627" w:rsidRDefault="004A2B7A" w:rsidP="004A2B7A">
      <w:pPr>
        <w:rPr>
          <w:sz w:val="18"/>
          <w:szCs w:val="18"/>
        </w:rPr>
      </w:pPr>
      <w:r>
        <w:t xml:space="preserve">                                        </w:t>
      </w:r>
      <w:r w:rsidR="0099619E">
        <w:t xml:space="preserve">   </w:t>
      </w:r>
      <w:r>
        <w:t xml:space="preserve">    </w:t>
      </w:r>
      <w:r w:rsidRPr="00BB2627">
        <w:rPr>
          <w:sz w:val="18"/>
          <w:szCs w:val="18"/>
        </w:rPr>
        <w:t>1)  P</w:t>
      </w:r>
      <w:r w:rsidRPr="00BB2627">
        <w:rPr>
          <w:sz w:val="18"/>
          <w:szCs w:val="18"/>
          <w:vertAlign w:val="subscript"/>
        </w:rPr>
        <w:t>fa</w:t>
      </w:r>
      <w:r w:rsidRPr="00BB2627">
        <w:rPr>
          <w:sz w:val="18"/>
          <w:szCs w:val="18"/>
        </w:rPr>
        <w:t xml:space="preserve"> = 1%                                                                   </w:t>
      </w:r>
      <w:r w:rsidR="0099619E">
        <w:rPr>
          <w:sz w:val="18"/>
          <w:szCs w:val="18"/>
        </w:rPr>
        <w:t xml:space="preserve">    </w:t>
      </w:r>
      <w:r w:rsidRPr="00BB2627">
        <w:rPr>
          <w:sz w:val="18"/>
          <w:szCs w:val="18"/>
        </w:rPr>
        <w:t xml:space="preserve">  2)  P</w:t>
      </w:r>
      <w:r w:rsidRPr="00BB2627">
        <w:rPr>
          <w:sz w:val="18"/>
          <w:szCs w:val="18"/>
          <w:vertAlign w:val="subscript"/>
        </w:rPr>
        <w:t>fa</w:t>
      </w:r>
      <w:r w:rsidRPr="00BB2627">
        <w:rPr>
          <w:sz w:val="18"/>
          <w:szCs w:val="18"/>
        </w:rPr>
        <w:t xml:space="preserve"> = 0.1%</w:t>
      </w:r>
    </w:p>
    <w:p w:rsidR="004A2B7A" w:rsidRPr="00DB4E89" w:rsidRDefault="004A2B7A" w:rsidP="00632297">
      <w:pPr>
        <w:pStyle w:val="Caption"/>
        <w:jc w:val="center"/>
        <w:rPr>
          <w:rFonts w:ascii="Times New Roman" w:hAnsi="Times New Roman"/>
          <w:sz w:val="20"/>
        </w:rPr>
      </w:pPr>
      <w:r w:rsidRPr="00161BE1">
        <w:rPr>
          <w:rFonts w:ascii="Times New Roman" w:hAnsi="Times New Roman"/>
          <w:sz w:val="20"/>
        </w:rPr>
        <w:t xml:space="preserve">Figure </w:t>
      </w:r>
      <w:r w:rsidR="00B273E1">
        <w:rPr>
          <w:rFonts w:ascii="Times New Roman" w:hAnsi="Times New Roman"/>
          <w:sz w:val="20"/>
        </w:rPr>
        <w:t>4</w:t>
      </w:r>
      <w:r w:rsidRPr="00161BE1">
        <w:rPr>
          <w:rFonts w:ascii="Times New Roman" w:hAnsi="Times New Roman"/>
          <w:sz w:val="20"/>
        </w:rPr>
        <w:t>: DMRS</w:t>
      </w:r>
      <w:r w:rsidR="005F61E1">
        <w:rPr>
          <w:rFonts w:ascii="Times New Roman" w:hAnsi="Times New Roman"/>
          <w:sz w:val="20"/>
        </w:rPr>
        <w:t>-</w:t>
      </w:r>
      <w:r w:rsidRPr="00161BE1">
        <w:rPr>
          <w:rFonts w:ascii="Times New Roman" w:hAnsi="Times New Roman"/>
          <w:sz w:val="20"/>
        </w:rPr>
        <w:t xml:space="preserve">based </w:t>
      </w:r>
      <w:r w:rsidR="00D946DF">
        <w:rPr>
          <w:rFonts w:ascii="Times New Roman" w:hAnsi="Times New Roman"/>
          <w:sz w:val="20"/>
        </w:rPr>
        <w:t xml:space="preserve">presence </w:t>
      </w:r>
      <w:r w:rsidRPr="00161BE1">
        <w:rPr>
          <w:rFonts w:ascii="Times New Roman" w:hAnsi="Times New Roman"/>
          <w:sz w:val="20"/>
        </w:rPr>
        <w:t xml:space="preserve">detection for non-scheduled </w:t>
      </w:r>
      <w:r w:rsidR="00D946DF">
        <w:rPr>
          <w:rFonts w:ascii="Times New Roman" w:hAnsi="Times New Roman"/>
          <w:sz w:val="20"/>
        </w:rPr>
        <w:t>UL access</w:t>
      </w:r>
    </w:p>
    <w:p w:rsidR="004A2B7A" w:rsidRPr="00560FB6" w:rsidRDefault="004A2B7A" w:rsidP="00560FB6">
      <w:pPr>
        <w:rPr>
          <w:rFonts w:ascii="Times New Roman" w:hAnsi="Times New Roman"/>
          <w:b/>
          <w:szCs w:val="20"/>
          <w:lang w:eastAsia="ja-JP"/>
        </w:rPr>
      </w:pPr>
      <w:r>
        <w:rPr>
          <w:rFonts w:ascii="Times New Roman" w:eastAsia="Calibri" w:hAnsi="Times New Roman"/>
          <w:szCs w:val="22"/>
        </w:rPr>
        <w:t xml:space="preserve"> </w:t>
      </w:r>
      <w:r w:rsidRPr="00427643">
        <w:rPr>
          <w:rFonts w:ascii="Times New Roman" w:hAnsi="Times New Roman"/>
          <w:b/>
          <w:szCs w:val="20"/>
          <w:lang w:eastAsia="ja-JP"/>
        </w:rPr>
        <w:t>Observation</w:t>
      </w:r>
      <w:r w:rsidR="00EA365B">
        <w:rPr>
          <w:rFonts w:ascii="Times New Roman" w:hAnsi="Times New Roman"/>
          <w:b/>
          <w:szCs w:val="20"/>
          <w:lang w:eastAsia="ja-JP"/>
        </w:rPr>
        <w:t xml:space="preserve"> 2</w:t>
      </w:r>
      <w:r w:rsidRPr="00427643">
        <w:rPr>
          <w:rFonts w:ascii="Times New Roman" w:hAnsi="Times New Roman"/>
          <w:b/>
          <w:szCs w:val="20"/>
          <w:lang w:eastAsia="ja-JP"/>
        </w:rPr>
        <w:t xml:space="preserve">:  </w:t>
      </w:r>
      <w:r w:rsidRPr="00560FB6">
        <w:rPr>
          <w:b/>
        </w:rPr>
        <w:t xml:space="preserve">The DMRS based detection can provide sufficiently good performance for </w:t>
      </w:r>
      <w:r w:rsidR="00D946DF" w:rsidRPr="00560FB6">
        <w:rPr>
          <w:b/>
        </w:rPr>
        <w:t xml:space="preserve">non-scheduled </w:t>
      </w:r>
      <w:r w:rsidRPr="00560FB6">
        <w:rPr>
          <w:b/>
        </w:rPr>
        <w:t>PUSCH detection.</w:t>
      </w:r>
    </w:p>
    <w:p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rsidR="00B273E1" w:rsidRDefault="005D09C1" w:rsidP="005D09C1">
      <w:r>
        <w:lastRenderedPageBreak/>
        <w:t>In this contribution,</w:t>
      </w:r>
      <w:r w:rsidR="00B273E1">
        <w:t xml:space="preserve"> </w:t>
      </w:r>
      <w:r w:rsidR="00210370">
        <w:t>we motivated the</w:t>
      </w:r>
      <w:r w:rsidR="00560FB6">
        <w:t xml:space="preserve"> UL autonomous transmission</w:t>
      </w:r>
      <w:r w:rsidR="00210370">
        <w:t xml:space="preserve"> along with suggestions on design considerations</w:t>
      </w:r>
      <w:r w:rsidR="00560FB6">
        <w:t>The following observations were made through the performance evaluation.</w:t>
      </w:r>
      <w:r w:rsidR="00B273E1">
        <w:t xml:space="preserve"> </w:t>
      </w:r>
    </w:p>
    <w:p w:rsidR="00D946DF" w:rsidRPr="00D946DF" w:rsidRDefault="00D946DF" w:rsidP="00632297">
      <w:pPr>
        <w:spacing w:before="240"/>
        <w:rPr>
          <w:rFonts w:ascii="Times New Roman" w:hAnsi="Times New Roman"/>
          <w:b/>
          <w:szCs w:val="20"/>
          <w:lang w:eastAsia="ja-JP"/>
        </w:rPr>
      </w:pPr>
      <w:r w:rsidRPr="00A96271">
        <w:rPr>
          <w:rFonts w:ascii="Times New Roman" w:hAnsi="Times New Roman"/>
          <w:b/>
          <w:szCs w:val="20"/>
          <w:lang w:eastAsia="ja-JP"/>
        </w:rPr>
        <w:t xml:space="preserve">Observation 1: </w:t>
      </w:r>
      <w:r w:rsidRPr="00D946DF">
        <w:rPr>
          <w:rFonts w:ascii="Times New Roman" w:hAnsi="Times New Roman"/>
          <w:b/>
          <w:szCs w:val="20"/>
          <w:lang w:eastAsia="ja-JP"/>
        </w:rPr>
        <w:t xml:space="preserve"> </w:t>
      </w:r>
    </w:p>
    <w:p w:rsidR="00D946DF" w:rsidRPr="00D946DF" w:rsidRDefault="00D946DF" w:rsidP="00632297">
      <w:pPr>
        <w:pStyle w:val="ListParagraph"/>
        <w:numPr>
          <w:ilvl w:val="0"/>
          <w:numId w:val="10"/>
        </w:numPr>
        <w:autoSpaceDE w:val="0"/>
        <w:autoSpaceDN w:val="0"/>
        <w:adjustRightInd w:val="0"/>
        <w:spacing w:before="120" w:after="20"/>
        <w:jc w:val="left"/>
        <w:rPr>
          <w:b/>
        </w:rPr>
      </w:pPr>
      <w:r w:rsidRPr="00D946DF">
        <w:rPr>
          <w:b/>
        </w:rPr>
        <w:t>The LAA UL performance is significantly improved by non-scheduled access.</w:t>
      </w:r>
    </w:p>
    <w:p w:rsidR="00D946DF" w:rsidRPr="00632297" w:rsidRDefault="00D946DF" w:rsidP="00632297">
      <w:pPr>
        <w:pStyle w:val="ListParagraph"/>
        <w:numPr>
          <w:ilvl w:val="0"/>
          <w:numId w:val="10"/>
        </w:numPr>
        <w:autoSpaceDE w:val="0"/>
        <w:autoSpaceDN w:val="0"/>
        <w:adjustRightInd w:val="0"/>
        <w:spacing w:before="120" w:after="20"/>
        <w:jc w:val="left"/>
        <w:rPr>
          <w:b/>
        </w:rPr>
      </w:pPr>
      <w:r w:rsidRPr="00D946DF">
        <w:rPr>
          <w:b/>
        </w:rPr>
        <w:t xml:space="preserve">LAA with non-scheduled UL access well coexists with Wi-Fi. </w:t>
      </w:r>
    </w:p>
    <w:p w:rsidR="00560FB6" w:rsidRDefault="00560FB6" w:rsidP="00632297">
      <w:pPr>
        <w:spacing w:before="240"/>
        <w:rPr>
          <w:rFonts w:ascii="Times New Roman" w:hAnsi="Times New Roman"/>
          <w:b/>
          <w:lang w:val="en-US"/>
        </w:rPr>
      </w:pPr>
      <w:r w:rsidRPr="00560FB6">
        <w:rPr>
          <w:rFonts w:ascii="Times New Roman" w:hAnsi="Times New Roman"/>
          <w:b/>
          <w:lang w:val="en-US"/>
        </w:rPr>
        <w:t>Observation 2: The DMRS based detection can provide sufficiently good performance for non-scheduled PUSCH detection.</w:t>
      </w:r>
    </w:p>
    <w:p w:rsidR="00210370" w:rsidRDefault="00210370" w:rsidP="00632297">
      <w:pPr>
        <w:spacing w:before="240"/>
      </w:pPr>
      <w:r w:rsidRPr="00210370">
        <w:t>Based</w:t>
      </w:r>
      <w:r>
        <w:t xml:space="preserve"> on the above observations, </w:t>
      </w:r>
      <w:r w:rsidR="00163577">
        <w:t>we propose the following:</w:t>
      </w:r>
    </w:p>
    <w:p w:rsidR="00163577" w:rsidRDefault="00163577" w:rsidP="00163577">
      <w:pPr>
        <w:spacing w:before="240"/>
        <w:rPr>
          <w:rFonts w:ascii="Times New Roman" w:hAnsi="Times New Roman"/>
          <w:b/>
          <w:lang w:val="en-US"/>
        </w:rPr>
      </w:pPr>
      <w:r>
        <w:rPr>
          <w:rFonts w:ascii="Times New Roman" w:hAnsi="Times New Roman"/>
          <w:b/>
          <w:lang w:val="en-US"/>
        </w:rPr>
        <w:t>Proposal</w:t>
      </w:r>
      <w:r w:rsidRPr="00560FB6">
        <w:rPr>
          <w:rFonts w:ascii="Times New Roman" w:hAnsi="Times New Roman"/>
          <w:b/>
          <w:lang w:val="en-US"/>
        </w:rPr>
        <w:t xml:space="preserve">: </w:t>
      </w:r>
      <w:r>
        <w:rPr>
          <w:rFonts w:ascii="Times New Roman" w:hAnsi="Times New Roman"/>
          <w:b/>
          <w:lang w:val="en-US"/>
        </w:rPr>
        <w:t xml:space="preserve">RAN1 to </w:t>
      </w:r>
      <w:r w:rsidRPr="00163577">
        <w:rPr>
          <w:rFonts w:ascii="Times New Roman" w:hAnsi="Times New Roman"/>
          <w:b/>
          <w:lang w:val="en-US"/>
        </w:rPr>
        <w:t xml:space="preserve">specify </w:t>
      </w:r>
      <w:r>
        <w:rPr>
          <w:rFonts w:ascii="Times New Roman" w:hAnsi="Times New Roman"/>
          <w:b/>
          <w:lang w:val="en-US"/>
        </w:rPr>
        <w:t xml:space="preserve">the </w:t>
      </w:r>
      <w:r w:rsidRPr="00163577">
        <w:rPr>
          <w:rFonts w:ascii="Times New Roman" w:hAnsi="Times New Roman"/>
          <w:b/>
          <w:lang w:val="en-US"/>
        </w:rPr>
        <w:t>support for autonomous uplink access with Frame Structure type 3</w:t>
      </w:r>
      <w:r w:rsidRPr="00560FB6">
        <w:rPr>
          <w:rFonts w:ascii="Times New Roman" w:hAnsi="Times New Roman"/>
          <w:b/>
          <w:lang w:val="en-US"/>
        </w:rPr>
        <w:t>.</w:t>
      </w:r>
    </w:p>
    <w:p w:rsidR="00163577" w:rsidRPr="00210370" w:rsidRDefault="00163577" w:rsidP="00632297">
      <w:pPr>
        <w:spacing w:before="240"/>
      </w:pPr>
    </w:p>
    <w:p w:rsidR="00210370" w:rsidRDefault="00210370" w:rsidP="00632297">
      <w:pPr>
        <w:spacing w:before="240"/>
        <w:rPr>
          <w:rFonts w:ascii="Times New Roman" w:hAnsi="Times New Roman"/>
          <w:b/>
          <w:lang w:val="en-US"/>
        </w:rPr>
      </w:pPr>
    </w:p>
    <w:p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DE31C2" w:rsidRPr="00DE31C2" w:rsidRDefault="00DE31C2" w:rsidP="00DE31C2">
      <w:pPr>
        <w:pStyle w:val="BodyText"/>
        <w:overflowPunct w:val="0"/>
        <w:ind w:left="42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rsidR="0017557F" w:rsidRDefault="0017557F" w:rsidP="00DE31C2">
      <w:pPr>
        <w:pStyle w:val="BodyText"/>
        <w:overflowPunct w:val="0"/>
        <w:autoSpaceDE w:val="0"/>
        <w:autoSpaceDN w:val="0"/>
        <w:adjustRightInd w:val="0"/>
        <w:ind w:left="420"/>
        <w:textAlignment w:val="baseline"/>
        <w:rPr>
          <w:rFonts w:ascii="Times New Roman" w:hAnsi="Times New Roman"/>
        </w:rPr>
      </w:pPr>
      <w:r>
        <w:rPr>
          <w:rFonts w:ascii="Times New Roman" w:hAnsi="Times New Roman"/>
        </w:rPr>
        <w:t>[</w:t>
      </w:r>
      <w:r w:rsidR="00DE31C2">
        <w:rPr>
          <w:rFonts w:ascii="Times New Roman" w:hAnsi="Times New Roman"/>
        </w:rPr>
        <w:t>2</w:t>
      </w:r>
      <w:r>
        <w:rPr>
          <w:rFonts w:ascii="Times New Roman" w:hAnsi="Times New Roman"/>
        </w:rPr>
        <w:t xml:space="preserve">] </w:t>
      </w:r>
      <w:r>
        <w:t>R1-160425</w:t>
      </w:r>
      <w:r w:rsidRPr="00915C3F">
        <w:t xml:space="preserve">, </w:t>
      </w:r>
      <w:r>
        <w:t>“On the UL scheduling starvation issue”</w:t>
      </w:r>
      <w:r w:rsidRPr="00915C3F">
        <w:t>, 3GPP TSG RAN WG1 #8</w:t>
      </w:r>
      <w:r>
        <w:t>4</w:t>
      </w:r>
      <w:r w:rsidRPr="00915C3F">
        <w:t xml:space="preserve">, </w:t>
      </w:r>
      <w:r>
        <w:t>Intel Corporation</w:t>
      </w:r>
      <w:r w:rsidRPr="00915C3F">
        <w:t xml:space="preserve">, </w:t>
      </w:r>
      <w:r>
        <w:t>Feb.</w:t>
      </w:r>
      <w:r w:rsidRPr="00915C3F">
        <w:t>, 201</w:t>
      </w:r>
      <w:r>
        <w:t>6</w:t>
      </w:r>
    </w:p>
    <w:p w:rsidR="0017557F" w:rsidRDefault="00427643">
      <w:pPr>
        <w:pStyle w:val="BodyText"/>
        <w:overflowPunct w:val="0"/>
        <w:autoSpaceDE w:val="0"/>
        <w:autoSpaceDN w:val="0"/>
        <w:adjustRightInd w:val="0"/>
        <w:ind w:left="420"/>
        <w:textAlignment w:val="baseline"/>
        <w:rPr>
          <w:rFonts w:ascii="Times New Roman" w:hAnsi="Times New Roman"/>
          <w:bCs/>
          <w:kern w:val="2"/>
          <w:szCs w:val="20"/>
          <w:lang w:val="en-US"/>
        </w:rPr>
      </w:pPr>
      <w:r w:rsidRPr="001078FE">
        <w:rPr>
          <w:rFonts w:ascii="Times New Roman" w:hAnsi="Times New Roman"/>
        </w:rPr>
        <w:t>[</w:t>
      </w:r>
      <w:r w:rsidR="00DE31C2">
        <w:rPr>
          <w:rFonts w:ascii="Times New Roman" w:hAnsi="Times New Roman"/>
        </w:rPr>
        <w:t>3</w:t>
      </w:r>
      <w:r w:rsidRPr="001078FE">
        <w:rPr>
          <w:rFonts w:ascii="Times New Roman" w:hAnsi="Times New Roman"/>
        </w:rPr>
        <w:t xml:space="preserve">] </w:t>
      </w:r>
      <w:r w:rsidR="00EA365B">
        <w:rPr>
          <w:rFonts w:ascii="Times New Roman" w:hAnsi="Times New Roman"/>
          <w:bCs/>
          <w:kern w:val="2"/>
          <w:szCs w:val="20"/>
        </w:rPr>
        <w:t>R1-160424</w:t>
      </w:r>
      <w:r w:rsidRPr="001078FE">
        <w:rPr>
          <w:rFonts w:ascii="Times New Roman" w:hAnsi="Times New Roman"/>
          <w:kern w:val="2"/>
          <w:szCs w:val="20"/>
          <w:lang w:val="en-US"/>
        </w:rPr>
        <w:t>, “</w:t>
      </w:r>
      <w:r w:rsidRPr="001078FE">
        <w:rPr>
          <w:rFonts w:ascii="Times New Roman" w:hAnsi="Times New Roman"/>
          <w:bCs/>
          <w:kern w:val="2"/>
          <w:szCs w:val="20"/>
          <w:lang w:val="en-US"/>
        </w:rPr>
        <w:t>On the Remaining details for UL LBT”, 3GPP</w:t>
      </w:r>
      <w:r w:rsidR="00EA365B">
        <w:rPr>
          <w:rFonts w:ascii="Times New Roman" w:hAnsi="Times New Roman"/>
          <w:kern w:val="2"/>
          <w:szCs w:val="20"/>
          <w:lang w:val="en-US"/>
        </w:rPr>
        <w:t xml:space="preserve"> TSG RAN WG1 #84</w:t>
      </w:r>
      <w:r w:rsidRPr="001078FE">
        <w:rPr>
          <w:rFonts w:ascii="Times New Roman" w:hAnsi="Times New Roman"/>
          <w:kern w:val="2"/>
          <w:szCs w:val="20"/>
          <w:lang w:val="en-US"/>
        </w:rPr>
        <w:t xml:space="preserve">, </w:t>
      </w:r>
      <w:r w:rsidRPr="001078FE">
        <w:rPr>
          <w:rFonts w:ascii="Times New Roman" w:hAnsi="Times New Roman"/>
          <w:bCs/>
          <w:kern w:val="2"/>
          <w:szCs w:val="20"/>
          <w:lang w:val="en-US"/>
        </w:rPr>
        <w:t>Intel Corporation, Feb., 2016</w:t>
      </w:r>
    </w:p>
    <w:p w:rsidR="00521550" w:rsidRDefault="00BD4A94" w:rsidP="00560FB6">
      <w:pPr>
        <w:pStyle w:val="BodyText"/>
        <w:overflowPunct w:val="0"/>
        <w:autoSpaceDE w:val="0"/>
        <w:autoSpaceDN w:val="0"/>
        <w:adjustRightInd w:val="0"/>
        <w:ind w:left="420"/>
        <w:textAlignment w:val="baseline"/>
        <w:rPr>
          <w:rFonts w:ascii="Times New Roman" w:hAnsi="Times New Roman"/>
          <w:bCs/>
          <w:kern w:val="2"/>
          <w:szCs w:val="20"/>
          <w:lang w:val="en-US"/>
        </w:rPr>
      </w:pPr>
      <w:r>
        <w:rPr>
          <w:rFonts w:ascii="Times New Roman" w:hAnsi="Times New Roman"/>
        </w:rPr>
        <w:t>[</w:t>
      </w:r>
      <w:r w:rsidR="00DE31C2">
        <w:rPr>
          <w:rFonts w:ascii="Times New Roman" w:hAnsi="Times New Roman"/>
        </w:rPr>
        <w:t>4</w:t>
      </w:r>
      <w:r w:rsidRPr="001078FE">
        <w:rPr>
          <w:rFonts w:ascii="Times New Roman" w:hAnsi="Times New Roman"/>
        </w:rPr>
        <w:t xml:space="preserve">] </w:t>
      </w:r>
      <w:r w:rsidR="00521550">
        <w:rPr>
          <w:rFonts w:ascii="Times New Roman" w:hAnsi="Times New Roman"/>
        </w:rPr>
        <w:t>R1-1712480, “</w:t>
      </w:r>
      <w:r w:rsidR="00521550" w:rsidRPr="00521550">
        <w:rPr>
          <w:rFonts w:ascii="Times New Roman" w:hAnsi="Times New Roman"/>
        </w:rPr>
        <w:t>Consideration on channel access mechanism for autonomous uplink access</w:t>
      </w:r>
      <w:r w:rsidR="00521550">
        <w:rPr>
          <w:rFonts w:ascii="Times New Roman" w:hAnsi="Times New Roman"/>
        </w:rPr>
        <w:t xml:space="preserve">,” </w:t>
      </w:r>
      <w:r w:rsidR="00963443" w:rsidRPr="001078FE">
        <w:rPr>
          <w:rFonts w:ascii="Times New Roman" w:hAnsi="Times New Roman"/>
          <w:bCs/>
          <w:kern w:val="2"/>
          <w:szCs w:val="20"/>
          <w:lang w:val="en-US"/>
        </w:rPr>
        <w:t>3GPP</w:t>
      </w:r>
      <w:r w:rsidR="00963443">
        <w:rPr>
          <w:rFonts w:ascii="Times New Roman" w:hAnsi="Times New Roman"/>
          <w:kern w:val="2"/>
          <w:szCs w:val="20"/>
          <w:lang w:val="en-US"/>
        </w:rPr>
        <w:t xml:space="preserve"> TSG RAN WG1 #90</w:t>
      </w:r>
      <w:r w:rsidR="00963443" w:rsidRPr="001078FE">
        <w:rPr>
          <w:rFonts w:ascii="Times New Roman" w:hAnsi="Times New Roman"/>
          <w:kern w:val="2"/>
          <w:szCs w:val="20"/>
          <w:lang w:val="en-US"/>
        </w:rPr>
        <w:t xml:space="preserve">, </w:t>
      </w:r>
      <w:r w:rsidR="00963443" w:rsidRPr="001078FE">
        <w:rPr>
          <w:rFonts w:ascii="Times New Roman" w:hAnsi="Times New Roman"/>
          <w:bCs/>
          <w:kern w:val="2"/>
          <w:szCs w:val="20"/>
          <w:lang w:val="en-US"/>
        </w:rPr>
        <w:t xml:space="preserve">Intel Corporation, </w:t>
      </w:r>
      <w:r w:rsidR="00963443">
        <w:rPr>
          <w:rFonts w:ascii="Times New Roman" w:hAnsi="Times New Roman"/>
          <w:bCs/>
          <w:kern w:val="2"/>
          <w:szCs w:val="20"/>
          <w:lang w:val="en-US"/>
        </w:rPr>
        <w:t>Aug</w:t>
      </w:r>
      <w:r w:rsidR="00963443" w:rsidRPr="001078FE">
        <w:rPr>
          <w:rFonts w:ascii="Times New Roman" w:hAnsi="Times New Roman"/>
          <w:bCs/>
          <w:kern w:val="2"/>
          <w:szCs w:val="20"/>
          <w:lang w:val="en-US"/>
        </w:rPr>
        <w:t>., 201</w:t>
      </w:r>
      <w:r w:rsidR="00963443">
        <w:rPr>
          <w:rFonts w:ascii="Times New Roman" w:hAnsi="Times New Roman"/>
          <w:bCs/>
          <w:kern w:val="2"/>
          <w:szCs w:val="20"/>
          <w:lang w:val="en-US"/>
        </w:rPr>
        <w:t>7</w:t>
      </w:r>
    </w:p>
    <w:p w:rsidR="009F3AF0" w:rsidRDefault="009F3AF0" w:rsidP="009F3AF0">
      <w:pPr>
        <w:pStyle w:val="BodyText"/>
        <w:overflowPunct w:val="0"/>
        <w:autoSpaceDE w:val="0"/>
        <w:autoSpaceDN w:val="0"/>
        <w:adjustRightInd w:val="0"/>
        <w:ind w:left="420"/>
        <w:textAlignment w:val="baseline"/>
        <w:rPr>
          <w:rFonts w:ascii="Times New Roman" w:hAnsi="Times New Roman"/>
          <w:bCs/>
          <w:kern w:val="2"/>
          <w:szCs w:val="20"/>
          <w:lang w:val="en-US"/>
        </w:rPr>
      </w:pPr>
      <w:r>
        <w:rPr>
          <w:rFonts w:ascii="Times New Roman" w:hAnsi="Times New Roman"/>
        </w:rPr>
        <w:t>[5</w:t>
      </w:r>
      <w:r w:rsidRPr="001078FE">
        <w:rPr>
          <w:rFonts w:ascii="Times New Roman" w:hAnsi="Times New Roman"/>
        </w:rPr>
        <w:t xml:space="preserve">] </w:t>
      </w:r>
      <w:r>
        <w:rPr>
          <w:rFonts w:ascii="Times New Roman" w:hAnsi="Times New Roman"/>
        </w:rPr>
        <w:t>R1-17124</w:t>
      </w:r>
      <w:r w:rsidR="007C0871">
        <w:rPr>
          <w:rFonts w:ascii="Times New Roman" w:hAnsi="Times New Roman"/>
        </w:rPr>
        <w:t>78</w:t>
      </w:r>
      <w:r>
        <w:rPr>
          <w:rFonts w:ascii="Times New Roman" w:hAnsi="Times New Roman"/>
        </w:rPr>
        <w:t>, “</w:t>
      </w:r>
      <w:r w:rsidR="007C0871">
        <w:rPr>
          <w:rFonts w:ascii="Times New Roman" w:hAnsi="Times New Roman"/>
        </w:rPr>
        <w:t>A framework to enable autonomous uplink access</w:t>
      </w:r>
      <w:r>
        <w:rPr>
          <w:rFonts w:ascii="Times New Roman" w:hAnsi="Times New Roman"/>
        </w:rPr>
        <w:t xml:space="preserve">,” </w:t>
      </w:r>
      <w:r w:rsidRPr="001078FE">
        <w:rPr>
          <w:rFonts w:ascii="Times New Roman" w:hAnsi="Times New Roman"/>
          <w:bCs/>
          <w:kern w:val="2"/>
          <w:szCs w:val="20"/>
          <w:lang w:val="en-US"/>
        </w:rPr>
        <w:t>3GPP</w:t>
      </w:r>
      <w:r>
        <w:rPr>
          <w:rFonts w:ascii="Times New Roman" w:hAnsi="Times New Roman"/>
          <w:kern w:val="2"/>
          <w:szCs w:val="20"/>
          <w:lang w:val="en-US"/>
        </w:rPr>
        <w:t xml:space="preserve"> TSG RAN WG1 #90</w:t>
      </w:r>
      <w:r w:rsidRPr="001078FE">
        <w:rPr>
          <w:rFonts w:ascii="Times New Roman" w:hAnsi="Times New Roman"/>
          <w:kern w:val="2"/>
          <w:szCs w:val="20"/>
          <w:lang w:val="en-US"/>
        </w:rPr>
        <w:t xml:space="preserve">, </w:t>
      </w:r>
      <w:r w:rsidRPr="001078FE">
        <w:rPr>
          <w:rFonts w:ascii="Times New Roman" w:hAnsi="Times New Roman"/>
          <w:bCs/>
          <w:kern w:val="2"/>
          <w:szCs w:val="20"/>
          <w:lang w:val="en-US"/>
        </w:rPr>
        <w:t xml:space="preserve">Intel Corporation, </w:t>
      </w:r>
      <w:r>
        <w:rPr>
          <w:rFonts w:ascii="Times New Roman" w:hAnsi="Times New Roman"/>
          <w:bCs/>
          <w:kern w:val="2"/>
          <w:szCs w:val="20"/>
          <w:lang w:val="en-US"/>
        </w:rPr>
        <w:t>Aug</w:t>
      </w:r>
      <w:r w:rsidRPr="001078FE">
        <w:rPr>
          <w:rFonts w:ascii="Times New Roman" w:hAnsi="Times New Roman"/>
          <w:bCs/>
          <w:kern w:val="2"/>
          <w:szCs w:val="20"/>
          <w:lang w:val="en-US"/>
        </w:rPr>
        <w:t>., 201</w:t>
      </w:r>
      <w:r>
        <w:rPr>
          <w:rFonts w:ascii="Times New Roman" w:hAnsi="Times New Roman"/>
          <w:bCs/>
          <w:kern w:val="2"/>
          <w:szCs w:val="20"/>
          <w:lang w:val="en-US"/>
        </w:rPr>
        <w:t>7</w:t>
      </w:r>
    </w:p>
    <w:p w:rsidR="00B273E1" w:rsidRDefault="00DF5816" w:rsidP="00560FB6">
      <w:pPr>
        <w:pStyle w:val="BodyText"/>
        <w:overflowPunct w:val="0"/>
        <w:autoSpaceDE w:val="0"/>
        <w:autoSpaceDN w:val="0"/>
        <w:adjustRightInd w:val="0"/>
        <w:ind w:left="420"/>
        <w:textAlignment w:val="baseline"/>
        <w:rPr>
          <w:rFonts w:ascii="Times New Roman" w:hAnsi="Times New Roman"/>
          <w:bCs/>
          <w:kern w:val="2"/>
          <w:szCs w:val="20"/>
        </w:rPr>
      </w:pPr>
      <w:r>
        <w:rPr>
          <w:rFonts w:ascii="Times New Roman" w:hAnsi="Times New Roman"/>
          <w:bCs/>
          <w:kern w:val="2"/>
          <w:szCs w:val="20"/>
          <w:lang w:val="en-US"/>
        </w:rPr>
        <w:t xml:space="preserve">[6] </w:t>
      </w:r>
      <w:r w:rsidR="00BD4A94">
        <w:rPr>
          <w:rFonts w:ascii="Times New Roman" w:hAnsi="Times New Roman"/>
          <w:bCs/>
          <w:kern w:val="2"/>
          <w:szCs w:val="20"/>
        </w:rPr>
        <w:t>TR 36.889</w:t>
      </w:r>
      <w:r w:rsidR="00055BE6">
        <w:rPr>
          <w:rFonts w:ascii="Times New Roman" w:hAnsi="Times New Roman"/>
          <w:bCs/>
          <w:kern w:val="2"/>
          <w:szCs w:val="20"/>
        </w:rPr>
        <w:t>, “Study on Licensed-Assisted Access to Unlicensed Spectrum,” V13.0.0, Jun. 2015.</w:t>
      </w:r>
      <w:r w:rsidR="00BD4A94">
        <w:rPr>
          <w:rFonts w:ascii="Times New Roman" w:hAnsi="Times New Roman"/>
          <w:bCs/>
          <w:kern w:val="2"/>
          <w:szCs w:val="20"/>
        </w:rPr>
        <w:t xml:space="preserve"> </w:t>
      </w: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364C31" w:rsidRDefault="00364C31"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P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B273E1" w:rsidRPr="00560FB6" w:rsidRDefault="00427643" w:rsidP="00560FB6">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Appendix</w:t>
      </w:r>
    </w:p>
    <w:p w:rsidR="009553E4" w:rsidRPr="00632297" w:rsidRDefault="009553E4" w:rsidP="00632297">
      <w:pPr>
        <w:pStyle w:val="Caption"/>
        <w:keepNext/>
        <w:spacing w:before="240"/>
        <w:rPr>
          <w:sz w:val="20"/>
          <w:szCs w:val="20"/>
        </w:rPr>
      </w:pPr>
      <w:r w:rsidRPr="00632297">
        <w:rPr>
          <w:sz w:val="20"/>
          <w:szCs w:val="20"/>
        </w:rPr>
        <w:t xml:space="preserve">Table </w:t>
      </w:r>
      <w:r w:rsidR="00B273E1">
        <w:rPr>
          <w:sz w:val="20"/>
          <w:szCs w:val="20"/>
        </w:rPr>
        <w:t>1</w:t>
      </w:r>
      <w:r w:rsidRPr="00632297">
        <w:rPr>
          <w:sz w:val="20"/>
          <w:szCs w:val="20"/>
        </w:rPr>
        <w:t>: Simulation Assumptions for DMRS Based Detection</w:t>
      </w:r>
    </w:p>
    <w:tbl>
      <w:tblPr>
        <w:tblW w:w="0" w:type="auto"/>
        <w:tblCellMar>
          <w:left w:w="0" w:type="dxa"/>
          <w:right w:w="0" w:type="dxa"/>
        </w:tblCellMar>
        <w:tblLook w:val="0420" w:firstRow="1" w:lastRow="0" w:firstColumn="0" w:lastColumn="0" w:noHBand="0" w:noVBand="1"/>
      </w:tblPr>
      <w:tblGrid>
        <w:gridCol w:w="1762"/>
        <w:gridCol w:w="3898"/>
        <w:gridCol w:w="4249"/>
      </w:tblGrid>
      <w:tr w:rsidR="009553E4" w:rsidRPr="00EF5D11" w:rsidTr="00632297">
        <w:trPr>
          <w:trHeight w:val="331"/>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r w:rsidRPr="00EF5D11">
              <w:rPr>
                <w:b/>
                <w:bCs/>
                <w:lang w:val="en-US"/>
              </w:rPr>
              <w:t>Comments</w:t>
            </w:r>
          </w:p>
        </w:tc>
      </w:tr>
      <w:tr w:rsidR="009553E4" w:rsidRPr="00EF5D11" w:rsidTr="00632297">
        <w:trPr>
          <w:trHeight w:val="16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Simulation setup</w:t>
            </w: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x-none"/>
              </w:rPr>
              <w:t>System bandwidth</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20 MHz</w:t>
            </w:r>
          </w:p>
        </w:tc>
      </w:tr>
      <w:tr w:rsidR="009553E4" w:rsidRPr="00EF5D11" w:rsidTr="00632297">
        <w:trPr>
          <w:trHeight w:val="160"/>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transmitter antennas</w:t>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w:t>
            </w:r>
          </w:p>
        </w:tc>
      </w:tr>
      <w:tr w:rsidR="009553E4" w:rsidRPr="00EF5D11" w:rsidTr="00632297">
        <w:trPr>
          <w:trHeight w:val="16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tabs>
                <w:tab w:val="center" w:pos="1216"/>
              </w:tabs>
              <w:spacing w:after="0"/>
              <w:rPr>
                <w:rFonts w:ascii="Times New Roman" w:hAnsi="Times New Roman"/>
                <w:sz w:val="18"/>
                <w:lang w:val="en-US"/>
              </w:rPr>
            </w:pPr>
            <w:r w:rsidRPr="001B2A8C">
              <w:rPr>
                <w:rFonts w:ascii="Times New Roman" w:hAnsi="Times New Roman"/>
                <w:sz w:val="18"/>
                <w:lang w:val="en-US"/>
              </w:rPr>
              <w:t>Number of receiver antennas</w:t>
            </w:r>
            <w:r w:rsidRPr="001B2A8C">
              <w:rPr>
                <w:rFonts w:ascii="Times New Roman" w:hAnsi="Times New Roman"/>
                <w:sz w:val="18"/>
                <w:lang w:val="en-US"/>
              </w:rPr>
              <w:tab/>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w:t>
            </w:r>
          </w:p>
        </w:tc>
      </w:tr>
      <w:tr w:rsidR="009553E4" w:rsidRPr="00EF5D11" w:rsidTr="00632297">
        <w:trPr>
          <w:trHeight w:val="23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Channel model</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EPA-5Hz </w:t>
            </w:r>
          </w:p>
        </w:tc>
      </w:tr>
      <w:tr w:rsidR="009553E4" w:rsidRPr="00EF5D11" w:rsidTr="00632297">
        <w:trPr>
          <w:trHeight w:val="259"/>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PRBs for PUSCH transmission</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100 PRBs</w:t>
            </w:r>
          </w:p>
        </w:tc>
      </w:tr>
      <w:tr w:rsidR="009553E4"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UEs that can simultaneously transmit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At most 1 UE</w:t>
            </w:r>
          </w:p>
        </w:tc>
      </w:tr>
      <w:tr w:rsidR="00EA365B"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EA365B" w:rsidRPr="001B2A8C" w:rsidRDefault="00EA365B"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8B58FD" w:rsidP="005C0049">
            <w:pPr>
              <w:spacing w:after="0"/>
              <w:rPr>
                <w:rFonts w:ascii="Times New Roman" w:hAnsi="Times New Roman"/>
                <w:sz w:val="18"/>
                <w:lang w:val="en-US"/>
              </w:rPr>
            </w:pPr>
            <w:r w:rsidRPr="001B2A8C">
              <w:rPr>
                <w:rFonts w:ascii="Times New Roman" w:hAnsi="Times New Roman"/>
                <w:sz w:val="18"/>
                <w:lang w:val="en-US"/>
              </w:rPr>
              <w:t>N</w:t>
            </w:r>
            <w:r w:rsidR="00EA365B" w:rsidRPr="001B2A8C">
              <w:rPr>
                <w:rFonts w:ascii="Times New Roman" w:hAnsi="Times New Roman"/>
                <w:sz w:val="18"/>
                <w:lang w:val="en-US"/>
              </w:rPr>
              <w:t>umber of UEs anchored at eNB</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EA365B" w:rsidP="005C0049">
            <w:pPr>
              <w:spacing w:after="0"/>
              <w:rPr>
                <w:rFonts w:ascii="Times New Roman" w:hAnsi="Times New Roman"/>
                <w:sz w:val="18"/>
                <w:lang w:val="en-US"/>
              </w:rPr>
            </w:pPr>
            <w:r w:rsidRPr="001B2A8C">
              <w:rPr>
                <w:rFonts w:ascii="Times New Roman" w:hAnsi="Times New Roman"/>
                <w:sz w:val="18"/>
                <w:lang w:val="en-US"/>
              </w:rPr>
              <w:t>12</w:t>
            </w:r>
          </w:p>
        </w:tc>
      </w:tr>
      <w:tr w:rsidR="009553E4" w:rsidRPr="00EF5D11" w:rsidTr="00632297">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Targeting false-alarm probability</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1%, 0.1% </w:t>
            </w:r>
          </w:p>
        </w:tc>
      </w:tr>
      <w:tr w:rsidR="009553E4" w:rsidRPr="00EF5D11" w:rsidTr="00632297">
        <w:trPr>
          <w:trHeight w:val="7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FC1D60" w:rsidP="005C0049">
            <w:pPr>
              <w:spacing w:after="0"/>
              <w:rPr>
                <w:rFonts w:ascii="Times New Roman" w:hAnsi="Times New Roman"/>
                <w:sz w:val="18"/>
                <w:lang w:val="en-US"/>
              </w:rPr>
            </w:pPr>
            <w:r>
              <w:rPr>
                <w:rFonts w:ascii="Times New Roman" w:hAnsi="Times New Roman"/>
                <w:sz w:val="18"/>
                <w:lang w:val="en-US"/>
              </w:rPr>
              <w:t xml:space="preserve">Key </w:t>
            </w:r>
            <w:r w:rsidR="009553E4" w:rsidRPr="001B2A8C">
              <w:rPr>
                <w:rFonts w:ascii="Times New Roman" w:hAnsi="Times New Roman"/>
                <w:sz w:val="18"/>
                <w:lang w:val="en-US"/>
              </w:rPr>
              <w:t>performance metrics</w:t>
            </w: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False-alarm probability (</w:t>
            </w:r>
            <w:r w:rsidRPr="001B2A8C">
              <w:rPr>
                <w:rFonts w:ascii="Times New Roman" w:eastAsia="Calibri" w:hAnsi="Times New Roman"/>
                <w:sz w:val="18"/>
                <w:szCs w:val="22"/>
              </w:rPr>
              <w:t>P</w:t>
            </w:r>
            <w:r w:rsidRPr="001B2A8C">
              <w:rPr>
                <w:rFonts w:ascii="Times New Roman" w:eastAsia="Calibri" w:hAnsi="Times New Roman"/>
                <w:sz w:val="18"/>
                <w:szCs w:val="22"/>
                <w:vertAlign w:val="subscript"/>
              </w:rPr>
              <w:t>fa</w:t>
            </w:r>
            <w:r w:rsidRPr="001B2A8C">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The probability that no PUSCH is transmitted in the subframe, but eNB detects the presence of the signal.</w:t>
            </w:r>
          </w:p>
        </w:tc>
      </w:tr>
      <w:tr w:rsidR="009553E4" w:rsidRPr="00EF5D11" w:rsidTr="00632297">
        <w:trPr>
          <w:trHeight w:val="34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Pr>
                <w:sz w:val="18"/>
                <w:lang w:val="en-US"/>
              </w:rPr>
              <w:t>Misdetection probability (</w:t>
            </w:r>
            <w:r w:rsidRPr="00F15E38">
              <w:rPr>
                <w:rFonts w:ascii="Times New Roman" w:eastAsia="Calibri" w:hAnsi="Times New Roman"/>
                <w:sz w:val="18"/>
                <w:szCs w:val="22"/>
              </w:rPr>
              <w:t>P</w:t>
            </w:r>
            <w:r w:rsidRPr="00F15E38">
              <w:rPr>
                <w:rFonts w:ascii="Times New Roman" w:eastAsia="Calibri" w:hAnsi="Times New Roman"/>
                <w:sz w:val="18"/>
                <w:szCs w:val="22"/>
                <w:vertAlign w:val="subscript"/>
              </w:rPr>
              <w:t>m</w:t>
            </w:r>
            <w:r>
              <w:rPr>
                <w:rFonts w:ascii="Times New Roman" w:eastAsia="Calibri" w:hAnsi="Times New Roman"/>
                <w:sz w:val="18"/>
                <w:szCs w:val="22"/>
                <w:vertAlign w:val="subscript"/>
              </w:rPr>
              <w:t>d</w:t>
            </w:r>
            <w:r w:rsidRPr="00F15E38">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sidRPr="001F38DC">
              <w:rPr>
                <w:sz w:val="18"/>
                <w:lang w:val="en-US"/>
              </w:rPr>
              <w:t>The probability that the UE transmits, but eNB detects that the UE of interest does not transmit</w:t>
            </w:r>
            <w:r>
              <w:rPr>
                <w:sz w:val="18"/>
                <w:lang w:val="en-US"/>
              </w:rPr>
              <w:t>.</w:t>
            </w:r>
          </w:p>
        </w:tc>
      </w:tr>
    </w:tbl>
    <w:p w:rsidR="00670572" w:rsidRPr="00BF6FBD" w:rsidRDefault="00670572" w:rsidP="00EA365B">
      <w:pPr>
        <w:pStyle w:val="BodyText"/>
        <w:overflowPunct w:val="0"/>
        <w:autoSpaceDE w:val="0"/>
        <w:autoSpaceDN w:val="0"/>
        <w:adjustRightInd w:val="0"/>
        <w:textAlignment w:val="baseline"/>
        <w:rPr>
          <w:rFonts w:ascii="Times New Roman" w:hAnsi="Times New Roman"/>
          <w:szCs w:val="20"/>
        </w:rPr>
      </w:pPr>
    </w:p>
    <w:sectPr w:rsidR="00670572" w:rsidRPr="00BF6FBD"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8F4" w:rsidRDefault="003D58F4"/>
  </w:endnote>
  <w:endnote w:type="continuationSeparator" w:id="0">
    <w:p w:rsidR="003D58F4" w:rsidRDefault="003D5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1E" w:rsidRDefault="00F9081E">
    <w:pPr>
      <w:pStyle w:val="Footer"/>
      <w:jc w:val="center"/>
    </w:pPr>
    <w:r>
      <w:fldChar w:fldCharType="begin"/>
    </w:r>
    <w:r>
      <w:instrText xml:space="preserve"> PAGE   \* MERGEFORMAT </w:instrText>
    </w:r>
    <w:r>
      <w:fldChar w:fldCharType="separate"/>
    </w:r>
    <w:r w:rsidR="005552D1">
      <w:rPr>
        <w:noProof/>
      </w:rPr>
      <w:t>5</w:t>
    </w:r>
    <w:r>
      <w:rPr>
        <w:noProof/>
      </w:rPr>
      <w:fldChar w:fldCharType="end"/>
    </w:r>
  </w:p>
  <w:p w:rsidR="00F9081E" w:rsidRDefault="00F9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8F4" w:rsidRDefault="003D58F4"/>
  </w:footnote>
  <w:footnote w:type="continuationSeparator" w:id="0">
    <w:p w:rsidR="003D58F4" w:rsidRDefault="003D58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0"/>
  </w:num>
  <w:num w:numId="5">
    <w:abstractNumId w:val="7"/>
  </w:num>
  <w:num w:numId="6">
    <w:abstractNumId w:val="4"/>
  </w:num>
  <w:num w:numId="7">
    <w:abstractNumId w:val="1"/>
  </w:num>
  <w:num w:numId="8">
    <w:abstractNumId w:val="12"/>
  </w:num>
  <w:num w:numId="9">
    <w:abstractNumId w:val="9"/>
  </w:num>
  <w:num w:numId="10">
    <w:abstractNumId w:val="5"/>
  </w:num>
  <w:num w:numId="11">
    <w:abstractNumId w:val="2"/>
  </w:num>
  <w:num w:numId="12">
    <w:abstractNumId w:val="8"/>
  </w:num>
  <w:num w:numId="13">
    <w:abstractNumId w:val="1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13"/>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58F4"/>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2D1"/>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10A"/>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648"/>
    <w:rsid w:val="00B9572F"/>
    <w:rsid w:val="00B96390"/>
    <w:rsid w:val="00BA0177"/>
    <w:rsid w:val="00BA11FF"/>
    <w:rsid w:val="00BA1EC0"/>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A820D-94E1-4735-9D10-019FAED4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8419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2017-08-12T03:48:00Z</dcterms:created>
  <dcterms:modified xsi:type="dcterms:W3CDTF">2017-08-12T03:48:00Z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