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D03FED" w14:textId="72D5B2BD" w:rsidR="00C86BEF" w:rsidRPr="003B03F8" w:rsidRDefault="00C86BEF" w:rsidP="00C86BEF">
      <w:pPr>
        <w:pStyle w:val="3GPPHeader"/>
        <w:spacing w:after="0"/>
        <w:rPr>
          <w:sz w:val="32"/>
          <w:szCs w:val="32"/>
          <w:highlight w:val="yellow"/>
        </w:rPr>
      </w:pPr>
      <w:bookmarkStart w:id="0" w:name="OLE_LINK2"/>
      <w:bookmarkStart w:id="1" w:name="OLE_LINK1"/>
      <w:r w:rsidRPr="003B03F8">
        <w:t>3GPP TSG RAN WG1 Meeting</w:t>
      </w:r>
      <w:r>
        <w:t xml:space="preserve"> #90</w:t>
      </w:r>
      <w:r w:rsidRPr="003B03F8">
        <w:tab/>
      </w:r>
      <w:r w:rsidR="003B70D8">
        <w:t>R1-1713312</w:t>
      </w:r>
    </w:p>
    <w:p w14:paraId="0B3153D2" w14:textId="77777777" w:rsidR="00C86BEF" w:rsidRPr="00B91B06" w:rsidRDefault="00C86BEF" w:rsidP="00C86BEF">
      <w:pPr>
        <w:tabs>
          <w:tab w:val="center" w:pos="4536"/>
          <w:tab w:val="right" w:pos="9072"/>
        </w:tabs>
        <w:ind w:left="1440" w:hanging="1440"/>
        <w:rPr>
          <w:b/>
          <w:sz w:val="24"/>
        </w:rPr>
      </w:pPr>
      <w:r>
        <w:rPr>
          <w:b/>
          <w:sz w:val="24"/>
        </w:rPr>
        <w:t>Prague</w:t>
      </w:r>
      <w:r w:rsidRPr="00B91B06">
        <w:rPr>
          <w:b/>
          <w:sz w:val="24"/>
        </w:rPr>
        <w:t xml:space="preserve">, </w:t>
      </w:r>
      <w:r>
        <w:rPr>
          <w:b/>
          <w:sz w:val="24"/>
        </w:rPr>
        <w:t>Czech Republic, 21st</w:t>
      </w:r>
      <w:r w:rsidRPr="00B91B06">
        <w:rPr>
          <w:b/>
          <w:sz w:val="24"/>
        </w:rPr>
        <w:t xml:space="preserve"> – </w:t>
      </w:r>
      <w:r>
        <w:rPr>
          <w:b/>
          <w:sz w:val="24"/>
        </w:rPr>
        <w:t>25</w:t>
      </w:r>
      <w:r w:rsidRPr="00B91B06">
        <w:rPr>
          <w:b/>
          <w:sz w:val="24"/>
        </w:rPr>
        <w:t xml:space="preserve">th </w:t>
      </w:r>
      <w:r>
        <w:rPr>
          <w:b/>
          <w:sz w:val="24"/>
        </w:rPr>
        <w:t>August</w:t>
      </w:r>
      <w:r w:rsidRPr="00B91B06">
        <w:rPr>
          <w:b/>
          <w:sz w:val="24"/>
        </w:rPr>
        <w:t xml:space="preserve"> 2017</w:t>
      </w:r>
    </w:p>
    <w:p w14:paraId="525A6285" w14:textId="77777777" w:rsidR="00F34210" w:rsidRPr="00C86BEF" w:rsidRDefault="00F34210" w:rsidP="00F34210">
      <w:pPr>
        <w:pStyle w:val="TdocHeader2"/>
        <w:rPr>
          <w:sz w:val="22"/>
          <w:lang w:val="en-GB"/>
        </w:rPr>
      </w:pPr>
    </w:p>
    <w:p w14:paraId="70827975" w14:textId="77777777" w:rsidR="00F34210" w:rsidRDefault="00F34210" w:rsidP="00F34210">
      <w:pPr>
        <w:pStyle w:val="TdocHeader2"/>
        <w:rPr>
          <w:sz w:val="20"/>
        </w:rPr>
      </w:pPr>
      <w:r>
        <w:rPr>
          <w:sz w:val="20"/>
        </w:rPr>
        <w:t xml:space="preserve">Source: </w:t>
      </w:r>
      <w:r>
        <w:rPr>
          <w:sz w:val="20"/>
        </w:rPr>
        <w:tab/>
        <w:t>Ericsson</w:t>
      </w:r>
    </w:p>
    <w:p w14:paraId="587A61FB" w14:textId="2D146538" w:rsidR="00F34210" w:rsidRDefault="00F34210" w:rsidP="00F34210">
      <w:pPr>
        <w:pStyle w:val="TdocHeader2"/>
        <w:rPr>
          <w:sz w:val="20"/>
        </w:rPr>
      </w:pPr>
      <w:r>
        <w:rPr>
          <w:sz w:val="20"/>
        </w:rPr>
        <w:t>Title:</w:t>
      </w:r>
      <w:bookmarkStart w:id="2" w:name="Title"/>
      <w:bookmarkEnd w:id="2"/>
      <w:r>
        <w:rPr>
          <w:sz w:val="20"/>
        </w:rPr>
        <w:tab/>
      </w:r>
      <w:r w:rsidR="0012619E" w:rsidRPr="0012619E">
        <w:rPr>
          <w:bCs/>
          <w:iCs/>
          <w:sz w:val="20"/>
        </w:rPr>
        <w:t xml:space="preserve">On Channel Access for </w:t>
      </w:r>
      <w:proofErr w:type="spellStart"/>
      <w:r w:rsidR="0012619E" w:rsidRPr="0012619E">
        <w:rPr>
          <w:bCs/>
          <w:iCs/>
          <w:sz w:val="20"/>
        </w:rPr>
        <w:t>AUL</w:t>
      </w:r>
      <w:proofErr w:type="spellEnd"/>
    </w:p>
    <w:p w14:paraId="6A0DCA59" w14:textId="3A3437B0" w:rsidR="00F34210" w:rsidRDefault="00F34210" w:rsidP="00F34210">
      <w:pPr>
        <w:pStyle w:val="TdocHeader2"/>
        <w:rPr>
          <w:sz w:val="20"/>
        </w:rPr>
      </w:pPr>
      <w:r>
        <w:rPr>
          <w:sz w:val="20"/>
        </w:rPr>
        <w:t>Agenda Item:</w:t>
      </w:r>
      <w:r>
        <w:rPr>
          <w:sz w:val="20"/>
        </w:rPr>
        <w:tab/>
      </w:r>
      <w:r w:rsidR="00150CFB">
        <w:rPr>
          <w:bCs/>
          <w:iCs/>
          <w:sz w:val="20"/>
        </w:rPr>
        <w:t>5.2.2.3.3</w:t>
      </w:r>
    </w:p>
    <w:p w14:paraId="2E18B550" w14:textId="77777777" w:rsidR="00F34210" w:rsidRDefault="00F34210" w:rsidP="00F34210">
      <w:pPr>
        <w:pStyle w:val="TdocHeader2"/>
        <w:rPr>
          <w:sz w:val="20"/>
        </w:rPr>
      </w:pPr>
      <w:r>
        <w:rPr>
          <w:sz w:val="20"/>
        </w:rPr>
        <w:t>Document for:</w:t>
      </w:r>
      <w:r>
        <w:rPr>
          <w:sz w:val="20"/>
        </w:rPr>
        <w:tab/>
        <w:t>Discussion and Decision</w:t>
      </w:r>
      <w:bookmarkEnd w:id="0"/>
      <w:bookmarkEnd w:id="1"/>
    </w:p>
    <w:p w14:paraId="36030964" w14:textId="77777777" w:rsidR="00625B29" w:rsidRPr="00F34210" w:rsidRDefault="00625B29" w:rsidP="00625B29"/>
    <w:p w14:paraId="2D8C18B2" w14:textId="77777777" w:rsidR="00625B29" w:rsidRPr="00CE0424" w:rsidRDefault="00625B29" w:rsidP="00625B29">
      <w:pPr>
        <w:pStyle w:val="Heading1"/>
      </w:pPr>
      <w:r w:rsidRPr="00CE0424">
        <w:t>Introduction</w:t>
      </w:r>
    </w:p>
    <w:p w14:paraId="307A8908" w14:textId="0D13A9D5" w:rsidR="00047242" w:rsidRPr="00670ADC" w:rsidRDefault="00047242" w:rsidP="00047242">
      <w:r w:rsidRPr="00670ADC">
        <w:t>A work item on enhancements to LTE operation in unlicensed spectrum</w:t>
      </w:r>
      <w:r w:rsidR="00991C45">
        <w:t xml:space="preserve"> [1]</w:t>
      </w:r>
      <w:r w:rsidRPr="00670ADC">
        <w:t xml:space="preserve"> was agreed in RAN #75 meeting to further enhance the </w:t>
      </w:r>
      <w:proofErr w:type="spellStart"/>
      <w:r w:rsidRPr="00670ADC">
        <w:t>LAA</w:t>
      </w:r>
      <w:proofErr w:type="spellEnd"/>
      <w:r w:rsidRPr="00670ADC">
        <w:t xml:space="preserve"> performance in Rel-15. One objective of the work item is </w:t>
      </w:r>
    </w:p>
    <w:p w14:paraId="67E7CDD9" w14:textId="77777777" w:rsidR="00047242" w:rsidRPr="00670ADC" w:rsidRDefault="00047242" w:rsidP="00047242">
      <w:pPr>
        <w:pStyle w:val="ListParagraph"/>
        <w:numPr>
          <w:ilvl w:val="0"/>
          <w:numId w:val="31"/>
        </w:numPr>
        <w:rPr>
          <w:rFonts w:ascii="Arial" w:hAnsi="Arial"/>
          <w:lang w:eastAsia="zh-CN"/>
        </w:rPr>
      </w:pPr>
      <w:r w:rsidRPr="00670ADC">
        <w:rPr>
          <w:rFonts w:ascii="Arial" w:hAnsi="Arial"/>
          <w:lang w:eastAsia="zh-CN"/>
        </w:rPr>
        <w:t>(Starting in RAN1#90): Study, and specify if needed, support for autonomous uplink access with Frame Structure type 3 considering solutions from the L2 latency reduction work item [RAN1, RAN2, RAN4]</w:t>
      </w:r>
    </w:p>
    <w:p w14:paraId="729C368F" w14:textId="271713ED" w:rsidR="00625B29" w:rsidRPr="00CE0424" w:rsidRDefault="00F34210" w:rsidP="00104718">
      <w:r>
        <w:t xml:space="preserve">In this contribution, we provide our views on channel access for autonomous uplink transmissions on </w:t>
      </w:r>
      <w:proofErr w:type="spellStart"/>
      <w:r>
        <w:t>LAA</w:t>
      </w:r>
      <w:proofErr w:type="spellEnd"/>
      <w:r>
        <w:t xml:space="preserve"> </w:t>
      </w:r>
      <w:proofErr w:type="spellStart"/>
      <w:r>
        <w:t>SCells</w:t>
      </w:r>
      <w:proofErr w:type="spellEnd"/>
      <w:r>
        <w:t>.</w:t>
      </w:r>
    </w:p>
    <w:p w14:paraId="6DE5FA3E" w14:textId="77777777" w:rsidR="00625B29" w:rsidRPr="00CE0424" w:rsidRDefault="00625B29" w:rsidP="00625B29">
      <w:pPr>
        <w:pStyle w:val="Heading1"/>
      </w:pPr>
      <w:bookmarkStart w:id="3" w:name="_Ref178064866"/>
      <w:r w:rsidRPr="00CE0424">
        <w:t>Discussion</w:t>
      </w:r>
      <w:bookmarkEnd w:id="3"/>
    </w:p>
    <w:p w14:paraId="1809CA54" w14:textId="0B9750CC" w:rsidR="0071334D" w:rsidRDefault="00401C38" w:rsidP="0071334D">
      <w:pPr>
        <w:spacing w:before="240"/>
        <w:rPr>
          <w:rFonts w:cs="Arial"/>
        </w:rPr>
      </w:pPr>
      <w:r>
        <w:rPr>
          <w:rFonts w:cs="Arial"/>
        </w:rPr>
        <w:t xml:space="preserve">Similar to rel-14 eLAA, </w:t>
      </w:r>
      <w:proofErr w:type="spellStart"/>
      <w:r w:rsidR="0071334D" w:rsidRPr="00C7356B">
        <w:t>P</w:t>
      </w:r>
      <w:r w:rsidR="0071334D">
        <w:t>USCH</w:t>
      </w:r>
      <w:proofErr w:type="spellEnd"/>
      <w:r w:rsidR="0071334D">
        <w:t xml:space="preserve"> transmission</w:t>
      </w:r>
      <w:r w:rsidR="003F5DE1">
        <w:t xml:space="preserve"> of autonomous UL</w:t>
      </w:r>
      <w:r w:rsidR="0071334D">
        <w:t xml:space="preserve"> should be </w:t>
      </w:r>
      <w:r w:rsidR="0071334D" w:rsidRPr="00C7356B">
        <w:t>subframe aligned</w:t>
      </w:r>
      <w:r w:rsidR="0071334D">
        <w:rPr>
          <w:rFonts w:cs="Arial"/>
        </w:rPr>
        <w:t xml:space="preserve">. </w:t>
      </w:r>
      <w:r w:rsidR="00EA0776">
        <w:t>T</w:t>
      </w:r>
      <w:r w:rsidR="00EA0776" w:rsidRPr="00B627E8">
        <w:t xml:space="preserve">he </w:t>
      </w:r>
      <w:proofErr w:type="spellStart"/>
      <w:r w:rsidR="00EA0776" w:rsidRPr="00B627E8">
        <w:t>PUSCH</w:t>
      </w:r>
      <w:proofErr w:type="spellEnd"/>
      <w:r w:rsidR="00EA0776" w:rsidRPr="00B627E8">
        <w:t xml:space="preserve"> transmission start</w:t>
      </w:r>
      <w:r w:rsidR="003F5DE1">
        <w:t>ing</w:t>
      </w:r>
      <w:r w:rsidR="00EA0776" w:rsidRPr="00B627E8">
        <w:t xml:space="preserve"> point is restrict</w:t>
      </w:r>
      <w:r w:rsidR="00EA0776">
        <w:t xml:space="preserve">ed and </w:t>
      </w:r>
      <w:proofErr w:type="spellStart"/>
      <w:r w:rsidR="00EA0776">
        <w:t>signalled</w:t>
      </w:r>
      <w:proofErr w:type="spellEnd"/>
      <w:r w:rsidR="00EA0776">
        <w:t xml:space="preserve"> by the eNB</w:t>
      </w:r>
      <w:r w:rsidR="00EA0776">
        <w:rPr>
          <w:rFonts w:cs="Arial"/>
        </w:rPr>
        <w:t>.</w:t>
      </w:r>
      <w:r w:rsidR="0071334D">
        <w:rPr>
          <w:rFonts w:cs="Arial"/>
        </w:rPr>
        <w:t xml:space="preserve"> Maximum one symbol can be used by the UE for the purpose of </w:t>
      </w:r>
      <w:proofErr w:type="spellStart"/>
      <w:r w:rsidR="0071334D">
        <w:rPr>
          <w:rFonts w:cs="Arial"/>
        </w:rPr>
        <w:t>LBT</w:t>
      </w:r>
      <w:proofErr w:type="spellEnd"/>
      <w:r w:rsidR="0071334D">
        <w:rPr>
          <w:rFonts w:cs="Arial"/>
        </w:rPr>
        <w:t xml:space="preserve"> operation. Accordingly, the starting positions can be OFDM 0 or 1. </w:t>
      </w:r>
    </w:p>
    <w:p w14:paraId="63FAF2F5" w14:textId="24328ED1" w:rsidR="00C7356B" w:rsidRPr="00FF2702" w:rsidRDefault="00C7356B" w:rsidP="00C7356B">
      <w:pPr>
        <w:pStyle w:val="Proposal"/>
        <w:tabs>
          <w:tab w:val="clear" w:pos="1304"/>
        </w:tabs>
        <w:spacing w:before="240"/>
        <w:ind w:left="1701" w:hanging="1701"/>
        <w:rPr>
          <w:sz w:val="18"/>
          <w:szCs w:val="18"/>
        </w:rPr>
      </w:pPr>
      <w:proofErr w:type="spellStart"/>
      <w:r w:rsidRPr="00FF2702">
        <w:rPr>
          <w:sz w:val="18"/>
          <w:szCs w:val="18"/>
        </w:rPr>
        <w:t>PUSCH</w:t>
      </w:r>
      <w:proofErr w:type="spellEnd"/>
      <w:r w:rsidRPr="00FF2702">
        <w:rPr>
          <w:sz w:val="18"/>
          <w:szCs w:val="18"/>
        </w:rPr>
        <w:t xml:space="preserve"> transmission is subframe </w:t>
      </w:r>
      <w:r w:rsidR="00FF2702" w:rsidRPr="00FF2702">
        <w:rPr>
          <w:sz w:val="18"/>
          <w:szCs w:val="18"/>
        </w:rPr>
        <w:t xml:space="preserve">aligned. </w:t>
      </w:r>
      <w:proofErr w:type="spellStart"/>
      <w:r w:rsidR="00FF2702" w:rsidRPr="00FF2702">
        <w:rPr>
          <w:sz w:val="18"/>
          <w:szCs w:val="18"/>
        </w:rPr>
        <w:t>PUSCH</w:t>
      </w:r>
      <w:proofErr w:type="spellEnd"/>
      <w:r w:rsidR="00FF2702" w:rsidRPr="00FF2702">
        <w:rPr>
          <w:sz w:val="18"/>
          <w:szCs w:val="18"/>
        </w:rPr>
        <w:t xml:space="preserve"> s</w:t>
      </w:r>
      <w:r w:rsidRPr="00FF2702">
        <w:rPr>
          <w:sz w:val="18"/>
          <w:szCs w:val="18"/>
        </w:rPr>
        <w:t xml:space="preserve">tarting position can be OS 0 or 1. </w:t>
      </w:r>
      <w:r w:rsidR="00FF2702">
        <w:rPr>
          <w:sz w:val="18"/>
          <w:szCs w:val="18"/>
        </w:rPr>
        <w:t>The starting position is configured by the eNB.</w:t>
      </w:r>
    </w:p>
    <w:p w14:paraId="0AA047A8" w14:textId="2C56C35F" w:rsidR="00EA0776" w:rsidRPr="00AC2FEA" w:rsidRDefault="00B95F8D" w:rsidP="00AC2FEA">
      <w:pPr>
        <w:pStyle w:val="Heading2"/>
      </w:pPr>
      <w:r w:rsidRPr="00B95F8D">
        <w:t xml:space="preserve">Channel access </w:t>
      </w:r>
      <w:r w:rsidR="00EA0776" w:rsidRPr="00AC2FEA">
        <w:t xml:space="preserve"> </w:t>
      </w:r>
    </w:p>
    <w:p w14:paraId="37699D73" w14:textId="2F6DBD76" w:rsidR="00EA0776" w:rsidRDefault="00EA0776" w:rsidP="00B95F8D">
      <w:pPr>
        <w:spacing w:before="240"/>
      </w:pPr>
      <w:r>
        <w:t xml:space="preserve">The eNB does not indicate the </w:t>
      </w:r>
      <w:proofErr w:type="spellStart"/>
      <w:r>
        <w:t>LBT</w:t>
      </w:r>
      <w:proofErr w:type="spellEnd"/>
      <w:r>
        <w:t xml:space="preserve"> type for autonomous UL transmission. </w:t>
      </w:r>
      <w:r w:rsidR="00AC2FEA">
        <w:t xml:space="preserve">Instead, </w:t>
      </w:r>
      <w:r>
        <w:t xml:space="preserve">the UE </w:t>
      </w:r>
      <w:r w:rsidR="00AC2FEA">
        <w:t>performs</w:t>
      </w:r>
      <w:r>
        <w:t xml:space="preserve"> CAT4 </w:t>
      </w:r>
      <w:proofErr w:type="spellStart"/>
      <w:r>
        <w:t>LBT</w:t>
      </w:r>
      <w:proofErr w:type="spellEnd"/>
      <w:r>
        <w:t xml:space="preserve"> preceding </w:t>
      </w:r>
      <w:r w:rsidR="00AC2FEA">
        <w:t>every</w:t>
      </w:r>
      <w:r>
        <w:t xml:space="preserve"> autonomous UL burst. The UE refers to the four </w:t>
      </w:r>
      <w:proofErr w:type="spellStart"/>
      <w:r>
        <w:t>LBT</w:t>
      </w:r>
      <w:proofErr w:type="spellEnd"/>
      <w:r>
        <w:t xml:space="preserve"> priority classes defined in rel-14 to determine </w:t>
      </w:r>
      <w:proofErr w:type="spellStart"/>
      <w:r>
        <w:t>LBT</w:t>
      </w:r>
      <w:proofErr w:type="spellEnd"/>
      <w:r>
        <w:t xml:space="preserve"> parameters (minimum contention window, maximum contention window, </w:t>
      </w:r>
      <w:r w:rsidR="00AC2FEA">
        <w:t>defer period</w:t>
      </w:r>
      <w:r>
        <w:t>)</w:t>
      </w:r>
      <w:r w:rsidR="00AC2FEA">
        <w:t xml:space="preserve"> and </w:t>
      </w:r>
      <w:proofErr w:type="spellStart"/>
      <w:r w:rsidR="00AC2FEA">
        <w:t>MCOT</w:t>
      </w:r>
      <w:proofErr w:type="spellEnd"/>
      <w:r w:rsidR="00AC2FEA">
        <w:t xml:space="preserve"> duration corresponding to the traffic type. </w:t>
      </w:r>
    </w:p>
    <w:p w14:paraId="0D8A3EB8" w14:textId="77777777" w:rsidR="00AC2FEA" w:rsidRDefault="00AC2FEA" w:rsidP="00AC2FEA">
      <w:pPr>
        <w:pStyle w:val="Proposal"/>
        <w:tabs>
          <w:tab w:val="clear" w:pos="1304"/>
        </w:tabs>
        <w:spacing w:before="240"/>
        <w:ind w:left="1701" w:hanging="1701"/>
      </w:pPr>
      <w:r w:rsidRPr="00AC2FEA">
        <w:t>CAT 4</w:t>
      </w:r>
      <w:r>
        <w:t xml:space="preserve"> </w:t>
      </w:r>
      <w:proofErr w:type="spellStart"/>
      <w:r>
        <w:t>LBT</w:t>
      </w:r>
      <w:proofErr w:type="spellEnd"/>
      <w:r>
        <w:t xml:space="preserve"> is used for autonomous UL transmission</w:t>
      </w:r>
    </w:p>
    <w:p w14:paraId="10C81D68" w14:textId="5B53927B" w:rsidR="00AC2FEA" w:rsidRPr="00AC2FEA" w:rsidRDefault="00AC2FEA" w:rsidP="00AC2FEA">
      <w:pPr>
        <w:pStyle w:val="Proposal"/>
        <w:tabs>
          <w:tab w:val="clear" w:pos="1304"/>
        </w:tabs>
        <w:spacing w:before="240"/>
        <w:ind w:left="1701" w:hanging="1701"/>
      </w:pPr>
      <w:r>
        <w:t>UE follows</w:t>
      </w:r>
      <w:r w:rsidRPr="00AC2FEA">
        <w:t xml:space="preserve"> </w:t>
      </w:r>
      <w:r w:rsidR="008D65AA">
        <w:t>R</w:t>
      </w:r>
      <w:r>
        <w:t xml:space="preserve">el-14 </w:t>
      </w:r>
      <w:r w:rsidRPr="00AC2FEA">
        <w:t>priority class</w:t>
      </w:r>
      <w:r>
        <w:t xml:space="preserve"> to determine </w:t>
      </w:r>
      <w:proofErr w:type="spellStart"/>
      <w:r>
        <w:t>LBT</w:t>
      </w:r>
      <w:proofErr w:type="spellEnd"/>
      <w:r>
        <w:t xml:space="preserve"> parameters and </w:t>
      </w:r>
      <w:proofErr w:type="spellStart"/>
      <w:r>
        <w:t>MCOT</w:t>
      </w:r>
      <w:proofErr w:type="spellEnd"/>
      <w:r>
        <w:t xml:space="preserve"> duratio</w:t>
      </w:r>
      <w:r w:rsidR="00047242">
        <w:t>n</w:t>
      </w:r>
    </w:p>
    <w:p w14:paraId="0FD0BDDD" w14:textId="29E8727B" w:rsidR="00B95F8D" w:rsidRDefault="00FF2702" w:rsidP="00B95F8D">
      <w:pPr>
        <w:spacing w:before="240"/>
        <w:rPr>
          <w:rFonts w:cs="Arial"/>
        </w:rPr>
      </w:pPr>
      <w:r>
        <w:rPr>
          <w:rFonts w:cs="Arial"/>
        </w:rPr>
        <w:t>Furthermore</w:t>
      </w:r>
      <w:r w:rsidR="00AC2FEA">
        <w:rPr>
          <w:rFonts w:cs="Arial"/>
        </w:rPr>
        <w:t xml:space="preserve">, an </w:t>
      </w:r>
      <w:proofErr w:type="spellStart"/>
      <w:r w:rsidR="00AC2FEA">
        <w:rPr>
          <w:rFonts w:cs="Arial"/>
        </w:rPr>
        <w:t>MCOT</w:t>
      </w:r>
      <w:proofErr w:type="spellEnd"/>
      <w:r w:rsidR="00AC2FEA">
        <w:rPr>
          <w:rFonts w:cs="Arial"/>
        </w:rPr>
        <w:t xml:space="preserve"> acquired by an autonomous UL UE can be shared with the eNB. The DL transmission can start immediately after a quick </w:t>
      </w:r>
      <w:proofErr w:type="spellStart"/>
      <w:r w:rsidR="00AC2FEA">
        <w:rPr>
          <w:rFonts w:cs="Arial"/>
        </w:rPr>
        <w:t>CCA</w:t>
      </w:r>
      <w:proofErr w:type="spellEnd"/>
      <w:r w:rsidR="00AC2FEA">
        <w:rPr>
          <w:rFonts w:cs="Arial"/>
        </w:rPr>
        <w:t xml:space="preserve"> check. One major advantage of enabling </w:t>
      </w:r>
      <w:r w:rsidR="00AA0E09">
        <w:rPr>
          <w:rFonts w:cs="Arial"/>
        </w:rPr>
        <w:t>UL followed by DL</w:t>
      </w:r>
      <w:r w:rsidR="00AC2FEA">
        <w:rPr>
          <w:rFonts w:cs="Arial"/>
        </w:rPr>
        <w:t xml:space="preserve"> </w:t>
      </w:r>
      <w:proofErr w:type="spellStart"/>
      <w:r w:rsidR="00AC2FEA">
        <w:rPr>
          <w:rFonts w:cs="Arial"/>
        </w:rPr>
        <w:t>MCOT</w:t>
      </w:r>
      <w:proofErr w:type="spellEnd"/>
      <w:r w:rsidR="00AC2FEA">
        <w:rPr>
          <w:rFonts w:cs="Arial"/>
        </w:rPr>
        <w:t xml:space="preserve"> is to allow fast transmission of UL </w:t>
      </w:r>
      <w:proofErr w:type="spellStart"/>
      <w:r w:rsidR="00AC2FEA">
        <w:rPr>
          <w:rFonts w:cs="Arial"/>
        </w:rPr>
        <w:t>HAR</w:t>
      </w:r>
      <w:r>
        <w:rPr>
          <w:rFonts w:cs="Arial"/>
        </w:rPr>
        <w:t>Q</w:t>
      </w:r>
      <w:proofErr w:type="spellEnd"/>
      <w:r>
        <w:rPr>
          <w:rFonts w:cs="Arial"/>
        </w:rPr>
        <w:t xml:space="preserve"> feedback as discussed in our companion</w:t>
      </w:r>
      <w:r w:rsidR="00AC2FEA">
        <w:rPr>
          <w:rFonts w:cs="Arial"/>
        </w:rPr>
        <w:t xml:space="preserve"> contribution </w:t>
      </w:r>
      <w:r w:rsidR="00047242">
        <w:rPr>
          <w:rFonts w:cs="Arial"/>
        </w:rPr>
        <w:t>[2].</w:t>
      </w:r>
    </w:p>
    <w:p w14:paraId="29E1AA2F" w14:textId="547EC8DF" w:rsidR="00B95F8D" w:rsidRPr="00B3106D" w:rsidRDefault="00B3106D" w:rsidP="00B3106D">
      <w:pPr>
        <w:pStyle w:val="Proposal"/>
        <w:tabs>
          <w:tab w:val="clear" w:pos="1304"/>
        </w:tabs>
        <w:spacing w:before="240"/>
        <w:ind w:left="1701" w:hanging="1701"/>
      </w:pPr>
      <w:proofErr w:type="spellStart"/>
      <w:r w:rsidRPr="00B3106D">
        <w:lastRenderedPageBreak/>
        <w:t>MCOT</w:t>
      </w:r>
      <w:proofErr w:type="spellEnd"/>
      <w:r w:rsidRPr="00B3106D">
        <w:t xml:space="preserve"> acquired by UE can be shared with eNB</w:t>
      </w:r>
    </w:p>
    <w:p w14:paraId="70170C2D" w14:textId="766A09E0" w:rsidR="005F735B" w:rsidRPr="0076173F" w:rsidRDefault="00FF2702" w:rsidP="00C7356B">
      <w:pPr>
        <w:pStyle w:val="Heading2"/>
        <w:rPr>
          <w:szCs w:val="28"/>
        </w:rPr>
      </w:pPr>
      <w:r>
        <w:t xml:space="preserve">Collision avoidance in </w:t>
      </w:r>
      <w:proofErr w:type="spellStart"/>
      <w:r>
        <w:t>AUL</w:t>
      </w:r>
      <w:proofErr w:type="spellEnd"/>
    </w:p>
    <w:p w14:paraId="4C7DCFF7" w14:textId="246DAEE2" w:rsidR="005F735B" w:rsidRPr="005F735B" w:rsidRDefault="005F735B" w:rsidP="00C7356B">
      <w:pPr>
        <w:spacing w:before="240"/>
        <w:rPr>
          <w:rFonts w:cs="Arial"/>
        </w:rPr>
      </w:pPr>
      <w:r w:rsidRPr="000B5C6F">
        <w:rPr>
          <w:rFonts w:cs="Arial"/>
        </w:rPr>
        <w:t xml:space="preserve">The back off </w:t>
      </w:r>
      <w:r w:rsidR="00047242">
        <w:rPr>
          <w:rFonts w:cs="Arial"/>
        </w:rPr>
        <w:t xml:space="preserve">(BO) </w:t>
      </w:r>
      <w:r w:rsidRPr="005F735B">
        <w:rPr>
          <w:rFonts w:cs="Arial"/>
        </w:rPr>
        <w:t xml:space="preserve">counter for the </w:t>
      </w:r>
      <w:proofErr w:type="spellStart"/>
      <w:r w:rsidRPr="005F735B">
        <w:rPr>
          <w:rFonts w:cs="Arial"/>
        </w:rPr>
        <w:t>LBT</w:t>
      </w:r>
      <w:proofErr w:type="spellEnd"/>
      <w:r w:rsidRPr="005F735B">
        <w:rPr>
          <w:rFonts w:cs="Arial"/>
        </w:rPr>
        <w:t xml:space="preserve"> procedure may or may not be reduced continuously outside the allowed transmission period (referred to as freeze period). Nevertheless, if the </w:t>
      </w:r>
      <w:proofErr w:type="spellStart"/>
      <w:r w:rsidRPr="005F735B">
        <w:rPr>
          <w:rFonts w:cs="Arial"/>
        </w:rPr>
        <w:t>LBT</w:t>
      </w:r>
      <w:proofErr w:type="spellEnd"/>
      <w:r w:rsidRPr="005F735B">
        <w:rPr>
          <w:rFonts w:cs="Arial"/>
        </w:rPr>
        <w:t xml:space="preserve"> procedure finishes during the freeze period, the transmission cannot start immediately, instead</w:t>
      </w:r>
      <w:r w:rsidRPr="000B5C6F">
        <w:rPr>
          <w:rFonts w:cs="Arial"/>
        </w:rPr>
        <w:t xml:space="preserve"> it is postponed until the next allowed transmission period. </w:t>
      </w:r>
    </w:p>
    <w:p w14:paraId="4591583C" w14:textId="55B48E99" w:rsidR="005F735B" w:rsidRPr="000B5C6F" w:rsidRDefault="00FF2702" w:rsidP="005F735B">
      <w:pPr>
        <w:rPr>
          <w:rFonts w:cs="Arial"/>
        </w:rPr>
      </w:pPr>
      <w:r>
        <w:rPr>
          <w:rFonts w:cs="Arial"/>
        </w:rPr>
        <w:t xml:space="preserve">As described in [3], there are benefits from assigning same SPS resources to different </w:t>
      </w:r>
      <w:proofErr w:type="spellStart"/>
      <w:r>
        <w:rPr>
          <w:rFonts w:cs="Arial"/>
        </w:rPr>
        <w:t>UEs</w:t>
      </w:r>
      <w:proofErr w:type="spellEnd"/>
      <w:r>
        <w:rPr>
          <w:rFonts w:cs="Arial"/>
        </w:rPr>
        <w:t>. Given that</w:t>
      </w:r>
      <w:r w:rsidR="005F735B" w:rsidRPr="000B5C6F">
        <w:rPr>
          <w:rFonts w:cs="Arial"/>
        </w:rPr>
        <w:t xml:space="preserve">, the number of </w:t>
      </w:r>
      <w:proofErr w:type="spellStart"/>
      <w:r w:rsidR="005F735B" w:rsidRPr="000B5C6F">
        <w:rPr>
          <w:rFonts w:cs="Arial"/>
        </w:rPr>
        <w:t>UE</w:t>
      </w:r>
      <w:r w:rsidR="005F735B">
        <w:rPr>
          <w:rFonts w:cs="Arial"/>
        </w:rPr>
        <w:t>s</w:t>
      </w:r>
      <w:proofErr w:type="spellEnd"/>
      <w:r w:rsidR="005F735B" w:rsidRPr="000B5C6F">
        <w:rPr>
          <w:rFonts w:cs="Arial"/>
        </w:rPr>
        <w:t xml:space="preserve"> attempting to transmit at the same time is not controlled by the eNB</w:t>
      </w:r>
      <w:r w:rsidR="005F735B">
        <w:rPr>
          <w:rFonts w:cs="Arial"/>
        </w:rPr>
        <w:t>.</w:t>
      </w:r>
      <w:r w:rsidR="005F735B" w:rsidRPr="000B5C6F">
        <w:rPr>
          <w:rFonts w:cs="Arial"/>
        </w:rPr>
        <w:t xml:space="preserve"> For instance, if two </w:t>
      </w:r>
      <w:proofErr w:type="spellStart"/>
      <w:r w:rsidR="005F735B" w:rsidRPr="000B5C6F">
        <w:rPr>
          <w:rFonts w:cs="Arial"/>
        </w:rPr>
        <w:t>UEs</w:t>
      </w:r>
      <w:proofErr w:type="spellEnd"/>
      <w:r w:rsidR="005F735B" w:rsidRPr="000B5C6F">
        <w:rPr>
          <w:rFonts w:cs="Arial"/>
        </w:rPr>
        <w:t xml:space="preserve"> with different initial BO value finish their BO at different points during the freeze period, they will be deferred until the next possible allowed transmission period. Both </w:t>
      </w:r>
      <w:proofErr w:type="spellStart"/>
      <w:r w:rsidR="00724C7E">
        <w:rPr>
          <w:rFonts w:cs="Arial"/>
        </w:rPr>
        <w:t>UEs</w:t>
      </w:r>
      <w:proofErr w:type="spellEnd"/>
      <w:r w:rsidR="00724C7E">
        <w:rPr>
          <w:rFonts w:cs="Arial"/>
        </w:rPr>
        <w:t xml:space="preserve"> </w:t>
      </w:r>
      <w:r w:rsidR="005F735B" w:rsidRPr="000B5C6F">
        <w:rPr>
          <w:rFonts w:cs="Arial"/>
        </w:rPr>
        <w:t xml:space="preserve">will perform a final </w:t>
      </w:r>
      <w:proofErr w:type="spellStart"/>
      <w:r w:rsidR="005F735B" w:rsidRPr="000B5C6F">
        <w:rPr>
          <w:rFonts w:cs="Arial"/>
        </w:rPr>
        <w:t>CCA</w:t>
      </w:r>
      <w:proofErr w:type="spellEnd"/>
      <w:r w:rsidR="005F735B" w:rsidRPr="000B5C6F">
        <w:rPr>
          <w:rFonts w:cs="Arial"/>
        </w:rPr>
        <w:t xml:space="preserve"> check, start simultaneous transmission and collide.  </w:t>
      </w:r>
    </w:p>
    <w:p w14:paraId="2BA19403" w14:textId="3BEEFDF0" w:rsidR="0076173F" w:rsidRDefault="005F735B" w:rsidP="005F735B">
      <w:pPr>
        <w:rPr>
          <w:rFonts w:cs="Arial"/>
        </w:rPr>
      </w:pPr>
      <w:r w:rsidRPr="000B5C6F">
        <w:rPr>
          <w:rFonts w:cs="Arial"/>
        </w:rPr>
        <w:t xml:space="preserve">To overcome this problem and reduce the chances that different </w:t>
      </w:r>
      <w:proofErr w:type="spellStart"/>
      <w:r w:rsidRPr="000B5C6F">
        <w:rPr>
          <w:rFonts w:cs="Arial"/>
        </w:rPr>
        <w:t>UE</w:t>
      </w:r>
      <w:r w:rsidR="00724C7E">
        <w:rPr>
          <w:rFonts w:cs="Arial"/>
        </w:rPr>
        <w:t>s</w:t>
      </w:r>
      <w:proofErr w:type="spellEnd"/>
      <w:r w:rsidRPr="000B5C6F">
        <w:rPr>
          <w:rFonts w:cs="Arial"/>
        </w:rPr>
        <w:t xml:space="preserve"> start their transmission at the same time, the eNB can spread out the earliest possible transmission time for </w:t>
      </w:r>
      <w:proofErr w:type="spellStart"/>
      <w:r w:rsidRPr="000B5C6F">
        <w:rPr>
          <w:rFonts w:cs="Arial"/>
        </w:rPr>
        <w:t>UEs</w:t>
      </w:r>
      <w:proofErr w:type="spellEnd"/>
      <w:r w:rsidRPr="000B5C6F">
        <w:rPr>
          <w:rFonts w:cs="Arial"/>
        </w:rPr>
        <w:t xml:space="preserve"> with non-empty UL buffer by assigning different sensing duration before the next possible allowed transm</w:t>
      </w:r>
      <w:r w:rsidR="0076173F">
        <w:rPr>
          <w:rFonts w:cs="Arial"/>
        </w:rPr>
        <w:t xml:space="preserve">ission period. </w:t>
      </w:r>
    </w:p>
    <w:p w14:paraId="3DA9C188" w14:textId="74F67DE6" w:rsidR="0076173F" w:rsidRDefault="0076173F" w:rsidP="005F735B">
      <w:pPr>
        <w:rPr>
          <w:rFonts w:cs="Arial"/>
        </w:rPr>
      </w:pPr>
      <m:oMathPara>
        <m:oMath>
          <m:r>
            <w:rPr>
              <w:rFonts w:ascii="Cambria Math" w:hAnsi="Cambria Math" w:cs="Arial"/>
            </w:rPr>
            <m:t>final CC</m:t>
          </m:r>
          <m:r>
            <w:rPr>
              <w:rFonts w:ascii="Cambria Math" w:hAnsi="Cambria Math" w:cs="Cambria Math"/>
            </w:rPr>
            <m:t>A</m:t>
          </m:r>
          <m:r>
            <w:rPr>
              <w:rFonts w:ascii="Cambria Math" w:hAnsi="Cambria Math" w:cs="Arial"/>
            </w:rPr>
            <m:t xml:space="preserve"> = minimum sensing time + BO slot duration * offset. </m:t>
          </m:r>
        </m:oMath>
      </m:oMathPara>
    </w:p>
    <w:p w14:paraId="29DB0E62" w14:textId="73788C32" w:rsidR="00E24D4E" w:rsidRDefault="00B95F8D" w:rsidP="00E24D4E">
      <w:pPr>
        <w:rPr>
          <w:rFonts w:cs="Arial"/>
        </w:rPr>
      </w:pPr>
      <w:r>
        <w:rPr>
          <w:rFonts w:cs="Arial"/>
        </w:rPr>
        <w:t>This</w:t>
      </w:r>
      <w:r w:rsidR="005F735B" w:rsidRPr="000B5C6F">
        <w:rPr>
          <w:rFonts w:cs="Arial"/>
        </w:rPr>
        <w:t xml:space="preserve"> will give the </w:t>
      </w:r>
      <w:proofErr w:type="spellStart"/>
      <w:r w:rsidR="005F735B" w:rsidRPr="000B5C6F">
        <w:rPr>
          <w:rFonts w:cs="Arial"/>
        </w:rPr>
        <w:t>UEs</w:t>
      </w:r>
      <w:proofErr w:type="spellEnd"/>
      <w:r w:rsidR="005F735B" w:rsidRPr="000B5C6F">
        <w:rPr>
          <w:rFonts w:cs="Arial"/>
        </w:rPr>
        <w:t xml:space="preserve"> different priority to access the channel at the next transmission period. The UE with the minimum offset value, if not deferred by any other ongoing interference, will finish its final </w:t>
      </w:r>
      <w:proofErr w:type="spellStart"/>
      <w:r w:rsidR="005F735B" w:rsidRPr="000B5C6F">
        <w:rPr>
          <w:rFonts w:cs="Arial"/>
        </w:rPr>
        <w:t>CCA</w:t>
      </w:r>
      <w:proofErr w:type="spellEnd"/>
      <w:r w:rsidR="005F735B" w:rsidRPr="000B5C6F">
        <w:rPr>
          <w:rFonts w:cs="Arial"/>
        </w:rPr>
        <w:t xml:space="preserve"> the earliest and grab the channel before other </w:t>
      </w:r>
      <w:proofErr w:type="spellStart"/>
      <w:r w:rsidR="005F735B" w:rsidRPr="000B5C6F">
        <w:rPr>
          <w:rFonts w:cs="Arial"/>
        </w:rPr>
        <w:t>UEs</w:t>
      </w:r>
      <w:proofErr w:type="spellEnd"/>
      <w:r w:rsidR="005F735B" w:rsidRPr="000B5C6F">
        <w:rPr>
          <w:rFonts w:cs="Arial"/>
        </w:rPr>
        <w:t xml:space="preserve"> with higher offset value</w:t>
      </w:r>
      <w:r w:rsidR="00047242">
        <w:rPr>
          <w:rFonts w:cs="Arial"/>
        </w:rPr>
        <w:t>, as shown in figure 1</w:t>
      </w:r>
      <w:r w:rsidR="005F735B" w:rsidRPr="000B5C6F">
        <w:rPr>
          <w:rFonts w:cs="Arial"/>
        </w:rPr>
        <w:t xml:space="preserve">. </w:t>
      </w:r>
    </w:p>
    <w:p w14:paraId="4A6C0A3A" w14:textId="6E3CB43A" w:rsidR="00E24D4E" w:rsidRPr="000B5C6F" w:rsidRDefault="00E24D4E" w:rsidP="00E24D4E">
      <w:pPr>
        <w:rPr>
          <w:rFonts w:cs="Arial"/>
        </w:rPr>
      </w:pPr>
      <w:r>
        <w:rPr>
          <w:rFonts w:cs="Arial"/>
        </w:rPr>
        <w:t xml:space="preserve">The starting position of the </w:t>
      </w:r>
      <w:proofErr w:type="spellStart"/>
      <w:r>
        <w:rPr>
          <w:rFonts w:cs="Arial"/>
        </w:rPr>
        <w:t>AUL</w:t>
      </w:r>
      <w:proofErr w:type="spellEnd"/>
      <w:r>
        <w:rPr>
          <w:rFonts w:cs="Arial"/>
        </w:rPr>
        <w:t xml:space="preserve"> transmission can be between OS0 and OS1. CP extension is used for transmissions before the next allowed transmission boundary where the data transmission starts.</w:t>
      </w:r>
    </w:p>
    <w:p w14:paraId="0AB9AE8C" w14:textId="4E231CB8" w:rsidR="0076173F" w:rsidRDefault="0076173F" w:rsidP="005F735B">
      <w:pPr>
        <w:rPr>
          <w:rFonts w:cs="Arial"/>
        </w:rPr>
      </w:pPr>
    </w:p>
    <w:p w14:paraId="3411AF16" w14:textId="7216C334" w:rsidR="00C7356B" w:rsidRDefault="00C7356B" w:rsidP="005F735B">
      <w:pPr>
        <w:rPr>
          <w:rFonts w:cs="Arial"/>
        </w:rPr>
      </w:pPr>
    </w:p>
    <w:p w14:paraId="0DEAD8FD" w14:textId="77777777" w:rsidR="00047242" w:rsidRDefault="00C7356B" w:rsidP="00047242">
      <w:pPr>
        <w:keepNext/>
      </w:pPr>
      <w:r>
        <w:rPr>
          <w:rFonts w:cs="Arial"/>
          <w:noProof/>
        </w:rPr>
        <w:drawing>
          <wp:inline distT="0" distB="0" distL="0" distR="0" wp14:anchorId="4D52FA1D" wp14:editId="2B5E5BE6">
            <wp:extent cx="6115050" cy="13620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7683B4" w14:textId="7B16E2B1" w:rsidR="00625B29" w:rsidRPr="00047242" w:rsidRDefault="00047242" w:rsidP="00047242">
      <w:pPr>
        <w:pStyle w:val="Caption"/>
        <w:rPr>
          <w:rFonts w:cs="Arial"/>
          <w:sz w:val="14"/>
          <w:szCs w:val="14"/>
        </w:rPr>
      </w:pPr>
      <w:r w:rsidRPr="00047242">
        <w:rPr>
          <w:sz w:val="14"/>
          <w:szCs w:val="14"/>
        </w:rPr>
        <w:t xml:space="preserve">Figure </w:t>
      </w:r>
      <w:r w:rsidR="00991C45">
        <w:rPr>
          <w:sz w:val="14"/>
          <w:szCs w:val="14"/>
        </w:rPr>
        <w:t>1</w:t>
      </w:r>
      <w:r w:rsidRPr="00047242">
        <w:rPr>
          <w:sz w:val="14"/>
          <w:szCs w:val="14"/>
        </w:rPr>
        <w:t xml:space="preserve"> </w:t>
      </w:r>
      <w:r>
        <w:rPr>
          <w:sz w:val="14"/>
          <w:szCs w:val="14"/>
        </w:rPr>
        <w:t>Competing a</w:t>
      </w:r>
      <w:r w:rsidRPr="00047242">
        <w:rPr>
          <w:sz w:val="14"/>
          <w:szCs w:val="14"/>
        </w:rPr>
        <w:t>utonomous UL transmissions with and without BO offset</w:t>
      </w:r>
    </w:p>
    <w:p w14:paraId="48A18162" w14:textId="7173C81F" w:rsidR="00B95F8D" w:rsidRPr="00B95F8D" w:rsidRDefault="00B95F8D" w:rsidP="00B95F8D">
      <w:pPr>
        <w:pStyle w:val="Proposal"/>
        <w:tabs>
          <w:tab w:val="clear" w:pos="1304"/>
        </w:tabs>
        <w:spacing w:before="240"/>
        <w:ind w:left="1701" w:hanging="1701"/>
      </w:pPr>
      <w:proofErr w:type="spellStart"/>
      <w:r>
        <w:t>A</w:t>
      </w:r>
      <w:r w:rsidRPr="00B95F8D">
        <w:t>UL</w:t>
      </w:r>
      <w:proofErr w:type="spellEnd"/>
      <w:r w:rsidRPr="00B95F8D">
        <w:t xml:space="preserve"> SPS mechanism supports indication of UE-specific </w:t>
      </w:r>
      <w:proofErr w:type="spellStart"/>
      <w:r w:rsidRPr="00B95F8D">
        <w:t>LBT</w:t>
      </w:r>
      <w:proofErr w:type="spellEnd"/>
      <w:r w:rsidRPr="00B95F8D">
        <w:t xml:space="preserve"> offsets.</w:t>
      </w:r>
    </w:p>
    <w:p w14:paraId="1FA75E18" w14:textId="404BF60A" w:rsidR="00625B29" w:rsidRDefault="00625B29" w:rsidP="00625B29">
      <w:pPr>
        <w:pStyle w:val="Heading1"/>
      </w:pPr>
      <w:r w:rsidRPr="00CE0424">
        <w:t>Conclusion</w:t>
      </w:r>
    </w:p>
    <w:p w14:paraId="4E5F4112" w14:textId="32739412" w:rsidR="00047242" w:rsidRPr="00047242" w:rsidRDefault="00047242" w:rsidP="00047242">
      <w:r>
        <w:rPr>
          <w:bCs/>
        </w:rPr>
        <w:t xml:space="preserve">In this contribution, we provide our view on channel access for </w:t>
      </w:r>
      <w:proofErr w:type="spellStart"/>
      <w:r>
        <w:rPr>
          <w:bCs/>
        </w:rPr>
        <w:t>LAA</w:t>
      </w:r>
      <w:proofErr w:type="spellEnd"/>
      <w:r>
        <w:rPr>
          <w:bCs/>
        </w:rPr>
        <w:t xml:space="preserve"> autonomous UL transmissions. accordingly, we propose the following: </w:t>
      </w:r>
    </w:p>
    <w:p w14:paraId="365C1006" w14:textId="77777777" w:rsidR="00047242" w:rsidRDefault="00047242" w:rsidP="00047242">
      <w:pPr>
        <w:pStyle w:val="Proposal"/>
        <w:numPr>
          <w:ilvl w:val="0"/>
          <w:numId w:val="32"/>
        </w:numPr>
        <w:tabs>
          <w:tab w:val="clear" w:pos="1304"/>
        </w:tabs>
        <w:spacing w:before="240"/>
      </w:pPr>
      <w:proofErr w:type="spellStart"/>
      <w:r w:rsidRPr="00C7356B">
        <w:t>PUSCH</w:t>
      </w:r>
      <w:proofErr w:type="spellEnd"/>
      <w:r w:rsidRPr="00C7356B">
        <w:t xml:space="preserve"> transmission is subframe aligned. Starting position can be OS 0 or 1</w:t>
      </w:r>
      <w:r>
        <w:t>.</w:t>
      </w:r>
      <w:r w:rsidRPr="00C7356B">
        <w:t xml:space="preserve"> </w:t>
      </w:r>
    </w:p>
    <w:p w14:paraId="39A213B9" w14:textId="77777777" w:rsidR="00047242" w:rsidRDefault="00047242" w:rsidP="00047242">
      <w:pPr>
        <w:pStyle w:val="Proposal"/>
        <w:numPr>
          <w:ilvl w:val="0"/>
          <w:numId w:val="32"/>
        </w:numPr>
        <w:tabs>
          <w:tab w:val="clear" w:pos="1304"/>
        </w:tabs>
        <w:spacing w:before="240"/>
      </w:pPr>
      <w:r w:rsidRPr="00AC2FEA">
        <w:lastRenderedPageBreak/>
        <w:t>CAT 4</w:t>
      </w:r>
      <w:r>
        <w:t xml:space="preserve"> </w:t>
      </w:r>
      <w:proofErr w:type="spellStart"/>
      <w:r>
        <w:t>LBT</w:t>
      </w:r>
      <w:proofErr w:type="spellEnd"/>
      <w:r>
        <w:t xml:space="preserve"> is used for autonomous UL transmission</w:t>
      </w:r>
    </w:p>
    <w:p w14:paraId="0F89BDC8" w14:textId="6D0B1676" w:rsidR="00625B29" w:rsidRPr="00047242" w:rsidRDefault="00047242" w:rsidP="00047242">
      <w:pPr>
        <w:pStyle w:val="Proposal"/>
        <w:numPr>
          <w:ilvl w:val="0"/>
          <w:numId w:val="32"/>
        </w:numPr>
        <w:tabs>
          <w:tab w:val="clear" w:pos="1304"/>
        </w:tabs>
        <w:spacing w:before="240"/>
      </w:pPr>
      <w:r>
        <w:t>UE follows</w:t>
      </w:r>
      <w:r w:rsidRPr="00AC2FEA">
        <w:t xml:space="preserve"> </w:t>
      </w:r>
      <w:r>
        <w:t xml:space="preserve">Rel-14 </w:t>
      </w:r>
      <w:r w:rsidRPr="00AC2FEA">
        <w:t>priority class</w:t>
      </w:r>
      <w:r>
        <w:t xml:space="preserve"> to determine </w:t>
      </w:r>
      <w:proofErr w:type="spellStart"/>
      <w:r>
        <w:t>LBT</w:t>
      </w:r>
      <w:proofErr w:type="spellEnd"/>
      <w:r>
        <w:t xml:space="preserve"> parameters and </w:t>
      </w:r>
      <w:proofErr w:type="spellStart"/>
      <w:r>
        <w:t>MCOT</w:t>
      </w:r>
      <w:proofErr w:type="spellEnd"/>
      <w:r>
        <w:t xml:space="preserve"> duration</w:t>
      </w:r>
    </w:p>
    <w:p w14:paraId="32424F97" w14:textId="35855B63" w:rsidR="00625B29" w:rsidRPr="00047242" w:rsidRDefault="00047242" w:rsidP="00047242">
      <w:pPr>
        <w:pStyle w:val="Proposal"/>
        <w:numPr>
          <w:ilvl w:val="0"/>
          <w:numId w:val="32"/>
        </w:numPr>
        <w:tabs>
          <w:tab w:val="clear" w:pos="1304"/>
        </w:tabs>
        <w:spacing w:before="240"/>
      </w:pPr>
      <w:proofErr w:type="spellStart"/>
      <w:r w:rsidRPr="00B3106D">
        <w:t>MCOT</w:t>
      </w:r>
      <w:proofErr w:type="spellEnd"/>
      <w:r w:rsidRPr="00B3106D">
        <w:t xml:space="preserve"> acquired by UE can be shared with eNB</w:t>
      </w:r>
    </w:p>
    <w:p w14:paraId="12C6E2AA" w14:textId="1EC0B172" w:rsidR="00625B29" w:rsidRPr="00CE0424" w:rsidRDefault="00047242" w:rsidP="00104718">
      <w:pPr>
        <w:pStyle w:val="Proposal"/>
        <w:numPr>
          <w:ilvl w:val="0"/>
          <w:numId w:val="32"/>
        </w:numPr>
        <w:tabs>
          <w:tab w:val="clear" w:pos="1304"/>
        </w:tabs>
        <w:spacing w:before="240"/>
      </w:pPr>
      <w:proofErr w:type="spellStart"/>
      <w:r>
        <w:t>A</w:t>
      </w:r>
      <w:r w:rsidRPr="00B95F8D">
        <w:t>UL</w:t>
      </w:r>
      <w:proofErr w:type="spellEnd"/>
      <w:r w:rsidRPr="00B95F8D">
        <w:t xml:space="preserve"> SPS mechanism supports indication of UE-specific </w:t>
      </w:r>
      <w:proofErr w:type="spellStart"/>
      <w:r w:rsidRPr="00B95F8D">
        <w:t>LBT</w:t>
      </w:r>
      <w:proofErr w:type="spellEnd"/>
      <w:r w:rsidRPr="00B95F8D">
        <w:t xml:space="preserve"> offsets.</w:t>
      </w:r>
      <w:bookmarkStart w:id="4" w:name="_GoBack"/>
      <w:bookmarkEnd w:id="4"/>
    </w:p>
    <w:p w14:paraId="72F24642" w14:textId="77777777" w:rsidR="00625B29" w:rsidRPr="00CE0424" w:rsidRDefault="00625B29" w:rsidP="00625B29">
      <w:pPr>
        <w:pStyle w:val="Heading1"/>
      </w:pPr>
      <w:bookmarkStart w:id="5" w:name="_In-sequence_SDU_delivery"/>
      <w:bookmarkEnd w:id="5"/>
      <w:r w:rsidRPr="00CE0424">
        <w:t>References</w:t>
      </w:r>
    </w:p>
    <w:p w14:paraId="34AB89D3" w14:textId="77777777" w:rsidR="00047242" w:rsidRPr="00EE5AB8" w:rsidRDefault="00047242" w:rsidP="00047242">
      <w:pPr>
        <w:pStyle w:val="Reference"/>
        <w:rPr>
          <w:rFonts w:eastAsia="MS Mincho"/>
        </w:rPr>
      </w:pPr>
      <w:bookmarkStart w:id="6" w:name="_Ref481745189"/>
      <w:bookmarkStart w:id="7" w:name="_Ref488236109"/>
      <w:r w:rsidRPr="00281DD8">
        <w:rPr>
          <w:rFonts w:eastAsia="MS Mincho"/>
        </w:rPr>
        <w:t>RP-170848</w:t>
      </w:r>
      <w:bookmarkEnd w:id="6"/>
      <w:r>
        <w:rPr>
          <w:rFonts w:eastAsia="MS Mincho"/>
        </w:rPr>
        <w:t xml:space="preserve"> </w:t>
      </w:r>
      <w:r w:rsidRPr="00281DD8">
        <w:rPr>
          <w:rFonts w:eastAsia="MS Mincho"/>
        </w:rPr>
        <w:t>Work Item on Enhancements to LTE operation in unlicensed spectrum</w:t>
      </w:r>
      <w:r>
        <w:rPr>
          <w:rFonts w:eastAsia="MS Mincho"/>
        </w:rPr>
        <w:t xml:space="preserve">, </w:t>
      </w:r>
      <w:r w:rsidRPr="0097229A">
        <w:rPr>
          <w:rFonts w:eastAsia="MS Mincho"/>
        </w:rPr>
        <w:t>Nokia, Ericsson, Intel, Qualcomm</w:t>
      </w:r>
      <w:bookmarkEnd w:id="7"/>
    </w:p>
    <w:p w14:paraId="4B1E6E9B" w14:textId="23EB6CB5" w:rsidR="00047242" w:rsidRDefault="0054747B" w:rsidP="0054747B">
      <w:pPr>
        <w:pStyle w:val="Reference"/>
        <w:rPr>
          <w:rFonts w:eastAsia="MS Mincho"/>
        </w:rPr>
      </w:pPr>
      <w:r w:rsidRPr="0054747B">
        <w:rPr>
          <w:rFonts w:eastAsia="MS Mincho"/>
        </w:rPr>
        <w:t>R1-1713311</w:t>
      </w:r>
      <w:r w:rsidR="00047242">
        <w:rPr>
          <w:rFonts w:eastAsia="MS Mincho"/>
        </w:rPr>
        <w:t>, O</w:t>
      </w:r>
      <w:r w:rsidR="00047242" w:rsidRPr="00047242">
        <w:rPr>
          <w:rFonts w:eastAsia="MS Mincho"/>
        </w:rPr>
        <w:t xml:space="preserve">n </w:t>
      </w:r>
      <w:proofErr w:type="spellStart"/>
      <w:r w:rsidR="00047242" w:rsidRPr="00047242">
        <w:rPr>
          <w:rFonts w:eastAsia="MS Mincho"/>
        </w:rPr>
        <w:t>HARQ</w:t>
      </w:r>
      <w:proofErr w:type="spellEnd"/>
      <w:r w:rsidR="00047242" w:rsidRPr="00047242">
        <w:rPr>
          <w:rFonts w:eastAsia="MS Mincho"/>
        </w:rPr>
        <w:t xml:space="preserve"> for </w:t>
      </w:r>
      <w:proofErr w:type="spellStart"/>
      <w:r w:rsidR="00047242" w:rsidRPr="00047242">
        <w:rPr>
          <w:rFonts w:eastAsia="MS Mincho"/>
        </w:rPr>
        <w:t>AUL</w:t>
      </w:r>
      <w:proofErr w:type="spellEnd"/>
      <w:r w:rsidR="00047242">
        <w:rPr>
          <w:rFonts w:eastAsia="MS Mincho"/>
        </w:rPr>
        <w:t>, Ericsson</w:t>
      </w:r>
    </w:p>
    <w:p w14:paraId="1BDFDFA4" w14:textId="1B71EF8F" w:rsidR="00FF2702" w:rsidRPr="00670ADC" w:rsidRDefault="0054747B" w:rsidP="0054747B">
      <w:pPr>
        <w:pStyle w:val="Reference"/>
        <w:rPr>
          <w:rFonts w:eastAsia="MS Mincho"/>
        </w:rPr>
      </w:pPr>
      <w:r w:rsidRPr="0054747B">
        <w:rPr>
          <w:rFonts w:eastAsia="MS Mincho"/>
        </w:rPr>
        <w:t>R1-1713310</w:t>
      </w:r>
      <w:r w:rsidR="00FF2702">
        <w:rPr>
          <w:rFonts w:eastAsia="MS Mincho"/>
        </w:rPr>
        <w:t xml:space="preserve">, </w:t>
      </w:r>
      <w:r w:rsidR="00FF2702" w:rsidRPr="00FF2702">
        <w:rPr>
          <w:rFonts w:eastAsia="MS Mincho"/>
        </w:rPr>
        <w:t xml:space="preserve">on </w:t>
      </w:r>
      <w:proofErr w:type="spellStart"/>
      <w:r w:rsidR="00FF2702" w:rsidRPr="00FF2702">
        <w:rPr>
          <w:rFonts w:eastAsia="MS Mincho"/>
        </w:rPr>
        <w:t>AUL</w:t>
      </w:r>
      <w:proofErr w:type="spellEnd"/>
      <w:r w:rsidR="00FF2702" w:rsidRPr="00FF2702">
        <w:rPr>
          <w:rFonts w:eastAsia="MS Mincho"/>
        </w:rPr>
        <w:t xml:space="preserve"> support on </w:t>
      </w:r>
      <w:proofErr w:type="spellStart"/>
      <w:r w:rsidR="00FF2702" w:rsidRPr="00FF2702">
        <w:rPr>
          <w:rFonts w:eastAsia="MS Mincho"/>
        </w:rPr>
        <w:t>LAA</w:t>
      </w:r>
      <w:proofErr w:type="spellEnd"/>
      <w:r w:rsidR="00FF2702" w:rsidRPr="00FF2702">
        <w:rPr>
          <w:rFonts w:eastAsia="MS Mincho"/>
        </w:rPr>
        <w:t xml:space="preserve"> </w:t>
      </w:r>
      <w:proofErr w:type="spellStart"/>
      <w:r w:rsidR="00FF2702" w:rsidRPr="00FF2702">
        <w:rPr>
          <w:rFonts w:eastAsia="MS Mincho"/>
        </w:rPr>
        <w:t>sCell</w:t>
      </w:r>
      <w:proofErr w:type="spellEnd"/>
      <w:r w:rsidR="00FF2702">
        <w:rPr>
          <w:rFonts w:eastAsia="MS Mincho"/>
        </w:rPr>
        <w:t>, Ericsson</w:t>
      </w:r>
    </w:p>
    <w:p w14:paraId="5498E414" w14:textId="75F50016" w:rsidR="003A7EF3" w:rsidRPr="00047242" w:rsidRDefault="003A7EF3" w:rsidP="00625B29">
      <w:pPr>
        <w:pStyle w:val="BodyText"/>
      </w:pPr>
    </w:p>
    <w:sectPr w:rsidR="003A7EF3" w:rsidRPr="00047242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E3D8FC" w14:textId="77777777" w:rsidR="00E11F6D" w:rsidRDefault="00E11F6D">
      <w:r>
        <w:separator/>
      </w:r>
    </w:p>
  </w:endnote>
  <w:endnote w:type="continuationSeparator" w:id="0">
    <w:p w14:paraId="27E95D85" w14:textId="77777777" w:rsidR="00E11F6D" w:rsidRDefault="00E11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Arial Unicode MS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6149E8" w14:textId="77777777" w:rsidR="000548E4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</w:p>
  <w:p w14:paraId="3F6EE19C" w14:textId="099244AD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9C6DC6" w14:textId="77777777" w:rsidR="00E11F6D" w:rsidRDefault="00E11F6D">
      <w:r>
        <w:separator/>
      </w:r>
    </w:p>
  </w:footnote>
  <w:footnote w:type="continuationSeparator" w:id="0">
    <w:p w14:paraId="2C660016" w14:textId="77777777" w:rsidR="00E11F6D" w:rsidRDefault="00E11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EFA240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</w:t>
    </w:r>
    <w:proofErr w:type="spellStart"/>
    <w:r>
      <w:t>YYYY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910A5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D7662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D7B6F234"/>
    <w:lvl w:ilvl="0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57F3A3D"/>
    <w:multiLevelType w:val="hybridMultilevel"/>
    <w:tmpl w:val="582E631E"/>
    <w:lvl w:ilvl="0" w:tplc="E7AC5BC6">
      <w:start w:val="1"/>
      <w:numFmt w:val="decimal"/>
      <w:lvlText w:val="%1."/>
      <w:lvlJc w:val="left"/>
      <w:pPr>
        <w:ind w:left="720" w:hanging="360"/>
      </w:pPr>
      <w:rPr>
        <w:color w:val="00B05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FB8368A"/>
    <w:multiLevelType w:val="hybridMultilevel"/>
    <w:tmpl w:val="3A50933C"/>
    <w:lvl w:ilvl="0" w:tplc="CD1676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A48E0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38FA6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260F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BA6D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B847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CA3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CE18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7E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171967"/>
    <w:multiLevelType w:val="hybridMultilevel"/>
    <w:tmpl w:val="5D04C9E4"/>
    <w:lvl w:ilvl="0" w:tplc="BFC20F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3D4AB84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65943C2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42CE589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B1208F0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060A30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9D62287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C7605A8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5DEA300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A91C97"/>
    <w:multiLevelType w:val="hybridMultilevel"/>
    <w:tmpl w:val="FF146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651575"/>
    <w:multiLevelType w:val="hybridMultilevel"/>
    <w:tmpl w:val="3AA41C6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4D6392"/>
    <w:multiLevelType w:val="hybridMultilevel"/>
    <w:tmpl w:val="32F43B5A"/>
    <w:lvl w:ilvl="0" w:tplc="2552122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B330B3"/>
    <w:multiLevelType w:val="hybridMultilevel"/>
    <w:tmpl w:val="3244BC4C"/>
    <w:lvl w:ilvl="0" w:tplc="64824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301278"/>
    <w:multiLevelType w:val="hybridMultilevel"/>
    <w:tmpl w:val="55923686"/>
    <w:lvl w:ilvl="0" w:tplc="5784CBB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10"/>
  </w:num>
  <w:num w:numId="4">
    <w:abstractNumId w:val="11"/>
  </w:num>
  <w:num w:numId="5">
    <w:abstractNumId w:val="8"/>
  </w:num>
  <w:num w:numId="6">
    <w:abstractNumId w:val="13"/>
  </w:num>
  <w:num w:numId="7">
    <w:abstractNumId w:val="17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6"/>
  </w:num>
  <w:num w:numId="14">
    <w:abstractNumId w:val="0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1"/>
  </w:num>
  <w:num w:numId="18">
    <w:abstractNumId w:val="12"/>
  </w:num>
  <w:num w:numId="19">
    <w:abstractNumId w:val="14"/>
  </w:num>
  <w:num w:numId="20">
    <w:abstractNumId w:val="10"/>
  </w:num>
  <w:num w:numId="21">
    <w:abstractNumId w:val="19"/>
  </w:num>
  <w:num w:numId="22">
    <w:abstractNumId w:val="16"/>
  </w:num>
  <w:num w:numId="23">
    <w:abstractNumId w:val="4"/>
  </w:num>
  <w:num w:numId="24">
    <w:abstractNumId w:val="20"/>
  </w:num>
  <w:num w:numId="25">
    <w:abstractNumId w:val="10"/>
  </w:num>
  <w:num w:numId="26">
    <w:abstractNumId w:val="10"/>
  </w:num>
  <w:num w:numId="27">
    <w:abstractNumId w:val="5"/>
  </w:num>
  <w:num w:numId="28">
    <w:abstractNumId w:val="6"/>
  </w:num>
  <w:num w:numId="29">
    <w:abstractNumId w:val="10"/>
  </w:num>
  <w:num w:numId="30">
    <w:abstractNumId w:val="10"/>
  </w:num>
  <w:num w:numId="31">
    <w:abstractNumId w:val="18"/>
  </w:num>
  <w:num w:numId="32">
    <w:abstractNumId w:val="10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6446"/>
    <w:rsid w:val="00006896"/>
    <w:rsid w:val="00007CDC"/>
    <w:rsid w:val="00011B28"/>
    <w:rsid w:val="00015D15"/>
    <w:rsid w:val="0002564D"/>
    <w:rsid w:val="00025ECA"/>
    <w:rsid w:val="000325B8"/>
    <w:rsid w:val="00033883"/>
    <w:rsid w:val="00034C15"/>
    <w:rsid w:val="00036BA1"/>
    <w:rsid w:val="000422E2"/>
    <w:rsid w:val="00042F22"/>
    <w:rsid w:val="000444EF"/>
    <w:rsid w:val="00047242"/>
    <w:rsid w:val="00052A07"/>
    <w:rsid w:val="000534E3"/>
    <w:rsid w:val="000548E4"/>
    <w:rsid w:val="0005606A"/>
    <w:rsid w:val="00057117"/>
    <w:rsid w:val="000616E7"/>
    <w:rsid w:val="0006487E"/>
    <w:rsid w:val="00065E1A"/>
    <w:rsid w:val="00077E5F"/>
    <w:rsid w:val="0008036A"/>
    <w:rsid w:val="000817DE"/>
    <w:rsid w:val="00081AE6"/>
    <w:rsid w:val="00083138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4718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19E"/>
    <w:rsid w:val="00126B4A"/>
    <w:rsid w:val="00132FD0"/>
    <w:rsid w:val="001344C0"/>
    <w:rsid w:val="001346FA"/>
    <w:rsid w:val="00135252"/>
    <w:rsid w:val="00137AB5"/>
    <w:rsid w:val="00137F0B"/>
    <w:rsid w:val="00150CFB"/>
    <w:rsid w:val="00151E23"/>
    <w:rsid w:val="001521A7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514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592A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36ED5"/>
    <w:rsid w:val="00342BD7"/>
    <w:rsid w:val="00343A0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0D8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5DE1"/>
    <w:rsid w:val="003F6BBE"/>
    <w:rsid w:val="004000E8"/>
    <w:rsid w:val="00401C3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4558"/>
    <w:rsid w:val="004B7AE1"/>
    <w:rsid w:val="004B7C0C"/>
    <w:rsid w:val="004C3898"/>
    <w:rsid w:val="004D36B1"/>
    <w:rsid w:val="004D6E48"/>
    <w:rsid w:val="004D7EBD"/>
    <w:rsid w:val="004E2680"/>
    <w:rsid w:val="004E28F9"/>
    <w:rsid w:val="004E462E"/>
    <w:rsid w:val="004E56DC"/>
    <w:rsid w:val="004E76F4"/>
    <w:rsid w:val="004F0B4E"/>
    <w:rsid w:val="004F0B6C"/>
    <w:rsid w:val="004F164B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4747B"/>
    <w:rsid w:val="00547F4D"/>
    <w:rsid w:val="00550419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25AF"/>
    <w:rsid w:val="005C33B0"/>
    <w:rsid w:val="005C74FB"/>
    <w:rsid w:val="005D1602"/>
    <w:rsid w:val="005E385F"/>
    <w:rsid w:val="005E5B81"/>
    <w:rsid w:val="005F2CB1"/>
    <w:rsid w:val="005F3025"/>
    <w:rsid w:val="005F618C"/>
    <w:rsid w:val="005F70BD"/>
    <w:rsid w:val="005F735B"/>
    <w:rsid w:val="0060283C"/>
    <w:rsid w:val="00604F14"/>
    <w:rsid w:val="00611B83"/>
    <w:rsid w:val="00613257"/>
    <w:rsid w:val="00617568"/>
    <w:rsid w:val="00620A71"/>
    <w:rsid w:val="00620D80"/>
    <w:rsid w:val="006212A9"/>
    <w:rsid w:val="006234A6"/>
    <w:rsid w:val="00625B29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3FF1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B0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4C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334D"/>
    <w:rsid w:val="007148D3"/>
    <w:rsid w:val="00715B9A"/>
    <w:rsid w:val="00724C7E"/>
    <w:rsid w:val="00726EA6"/>
    <w:rsid w:val="00727208"/>
    <w:rsid w:val="00727680"/>
    <w:rsid w:val="00732461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173F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5AA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229A"/>
    <w:rsid w:val="0097603D"/>
    <w:rsid w:val="00976949"/>
    <w:rsid w:val="00980477"/>
    <w:rsid w:val="00985253"/>
    <w:rsid w:val="009853B3"/>
    <w:rsid w:val="00990630"/>
    <w:rsid w:val="00991761"/>
    <w:rsid w:val="00991C45"/>
    <w:rsid w:val="00994DCA"/>
    <w:rsid w:val="009960EC"/>
    <w:rsid w:val="009970DD"/>
    <w:rsid w:val="009A0FBA"/>
    <w:rsid w:val="009A1601"/>
    <w:rsid w:val="009A462D"/>
    <w:rsid w:val="009A5817"/>
    <w:rsid w:val="009A5CBA"/>
    <w:rsid w:val="009B1F30"/>
    <w:rsid w:val="009B3AC2"/>
    <w:rsid w:val="009B4DF4"/>
    <w:rsid w:val="009B564E"/>
    <w:rsid w:val="009B64E5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E09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2FEA"/>
    <w:rsid w:val="00AC3119"/>
    <w:rsid w:val="00AC3E64"/>
    <w:rsid w:val="00AC49FB"/>
    <w:rsid w:val="00AC5A10"/>
    <w:rsid w:val="00AD0444"/>
    <w:rsid w:val="00AD0AA3"/>
    <w:rsid w:val="00AD3F94"/>
    <w:rsid w:val="00AD4A5A"/>
    <w:rsid w:val="00AE27AC"/>
    <w:rsid w:val="00AE2834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4F3"/>
    <w:rsid w:val="00B30929"/>
    <w:rsid w:val="00B3106D"/>
    <w:rsid w:val="00B372AA"/>
    <w:rsid w:val="00B40445"/>
    <w:rsid w:val="00B40BEF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95F8D"/>
    <w:rsid w:val="00B97752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356B"/>
    <w:rsid w:val="00C75D2F"/>
    <w:rsid w:val="00C767BE"/>
    <w:rsid w:val="00C76E3C"/>
    <w:rsid w:val="00C81568"/>
    <w:rsid w:val="00C86BEF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5E04"/>
    <w:rsid w:val="00D10249"/>
    <w:rsid w:val="00D115C3"/>
    <w:rsid w:val="00D11897"/>
    <w:rsid w:val="00D13135"/>
    <w:rsid w:val="00D13E4E"/>
    <w:rsid w:val="00D239A7"/>
    <w:rsid w:val="00D23F47"/>
    <w:rsid w:val="00D36E71"/>
    <w:rsid w:val="00D36EF0"/>
    <w:rsid w:val="00D37D87"/>
    <w:rsid w:val="00D40B33"/>
    <w:rsid w:val="00D40E2E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15C5"/>
    <w:rsid w:val="00D77B1D"/>
    <w:rsid w:val="00D8021F"/>
    <w:rsid w:val="00D80383"/>
    <w:rsid w:val="00D823C6"/>
    <w:rsid w:val="00D85373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4194"/>
    <w:rsid w:val="00DC53EF"/>
    <w:rsid w:val="00DE5608"/>
    <w:rsid w:val="00DE58D0"/>
    <w:rsid w:val="00DE654F"/>
    <w:rsid w:val="00DF0B6E"/>
    <w:rsid w:val="00DF15E0"/>
    <w:rsid w:val="00DF37A0"/>
    <w:rsid w:val="00DF71A0"/>
    <w:rsid w:val="00E110E7"/>
    <w:rsid w:val="00E11B20"/>
    <w:rsid w:val="00E11F6D"/>
    <w:rsid w:val="00E17FA2"/>
    <w:rsid w:val="00E22330"/>
    <w:rsid w:val="00E24D4E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1B9"/>
    <w:rsid w:val="00E446F1"/>
    <w:rsid w:val="00E46886"/>
    <w:rsid w:val="00E47AEF"/>
    <w:rsid w:val="00E53B75"/>
    <w:rsid w:val="00E54E3B"/>
    <w:rsid w:val="00E57565"/>
    <w:rsid w:val="00E63838"/>
    <w:rsid w:val="00E64434"/>
    <w:rsid w:val="00E660D3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776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4BD"/>
    <w:rsid w:val="00F15FA5"/>
    <w:rsid w:val="00F168C6"/>
    <w:rsid w:val="00F209B7"/>
    <w:rsid w:val="00F2376F"/>
    <w:rsid w:val="00F243D8"/>
    <w:rsid w:val="00F26787"/>
    <w:rsid w:val="00F30828"/>
    <w:rsid w:val="00F313D6"/>
    <w:rsid w:val="00F34210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57E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358"/>
    <w:rsid w:val="00FA2BB3"/>
    <w:rsid w:val="00FB4C80"/>
    <w:rsid w:val="00FB6A6A"/>
    <w:rsid w:val="00FC258C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2702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A08D9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548E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548E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548E4"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</w:pPr>
  </w:style>
  <w:style w:type="paragraph" w:customStyle="1" w:styleId="B2">
    <w:name w:val="B2"/>
    <w:basedOn w:val="List2"/>
    <w:rsid w:val="00D50F97"/>
    <w:pPr>
      <w:spacing w:after="180"/>
    </w:pPr>
  </w:style>
  <w:style w:type="paragraph" w:customStyle="1" w:styleId="B3">
    <w:name w:val="B3"/>
    <w:basedOn w:val="List3"/>
    <w:rsid w:val="00D50F97"/>
    <w:pPr>
      <w:spacing w:after="180"/>
    </w:pPr>
  </w:style>
  <w:style w:type="paragraph" w:customStyle="1" w:styleId="B4">
    <w:name w:val="B4"/>
    <w:basedOn w:val="List4"/>
    <w:rsid w:val="00D50F97"/>
    <w:pPr>
      <w:spacing w:after="180"/>
    </w:p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</w:p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</w:p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</w:pPr>
    <w:rPr>
      <w:b/>
    </w:rPr>
  </w:style>
  <w:style w:type="character" w:customStyle="1" w:styleId="ListParagraphChar">
    <w:name w:val="List Paragraph Char"/>
    <w:link w:val="ListParagraph"/>
    <w:uiPriority w:val="34"/>
    <w:locked/>
    <w:rsid w:val="00AC3E64"/>
    <w:rPr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AC3E64"/>
    <w:pPr>
      <w:spacing w:after="180"/>
      <w:ind w:left="720"/>
      <w:contextualSpacing/>
    </w:pPr>
    <w:rPr>
      <w:rFonts w:ascii="CG Times (WN)" w:hAnsi="CG Times (WN)"/>
      <w:lang w:eastAsia="sv-SE"/>
    </w:rPr>
  </w:style>
  <w:style w:type="character" w:styleId="Emphasis">
    <w:name w:val="Emphasis"/>
    <w:basedOn w:val="DefaultParagraphFont"/>
    <w:uiPriority w:val="20"/>
    <w:qFormat/>
    <w:rsid w:val="000817DE"/>
    <w:rPr>
      <w:i/>
      <w:iCs/>
    </w:rPr>
  </w:style>
  <w:style w:type="character" w:customStyle="1" w:styleId="CommentTextChar">
    <w:name w:val="Comment Text Char"/>
    <w:basedOn w:val="DefaultParagraphFont"/>
    <w:link w:val="CommentText"/>
    <w:semiHidden/>
    <w:rsid w:val="00336ED5"/>
    <w:rPr>
      <w:rFonts w:ascii="Arial" w:hAnsi="Arial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AD0444"/>
    <w:rPr>
      <w:rFonts w:ascii="Arial" w:hAnsi="Arial" w:cs="Arial"/>
      <w:sz w:val="32"/>
      <w:szCs w:val="32"/>
      <w:lang w:val="en-GB" w:eastAsia="zh-CN"/>
    </w:rPr>
  </w:style>
  <w:style w:type="character" w:customStyle="1" w:styleId="ReferenceChar">
    <w:name w:val="Reference Char"/>
    <w:link w:val="Reference"/>
    <w:rsid w:val="009A5817"/>
    <w:rPr>
      <w:rFonts w:ascii="Arial" w:hAnsi="Arial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625B29"/>
    <w:rPr>
      <w:rFonts w:ascii="Arial" w:hAnsi="Arial" w:cs="Arial"/>
      <w:sz w:val="28"/>
      <w:szCs w:val="28"/>
      <w:lang w:val="en-GB" w:eastAsia="zh-CN"/>
    </w:rPr>
  </w:style>
  <w:style w:type="paragraph" w:customStyle="1" w:styleId="IvDbodytext">
    <w:name w:val="IvD bodytext"/>
    <w:basedOn w:val="BodyText"/>
    <w:link w:val="IvDbodytextChar"/>
    <w:qFormat/>
    <w:rsid w:val="005F735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DefaultParagraphFont"/>
    <w:link w:val="IvDbodytext"/>
    <w:rsid w:val="005F735B"/>
    <w:rPr>
      <w:rFonts w:ascii="Arial" w:hAnsi="Arial"/>
      <w:spacing w:val="2"/>
      <w:lang w:val="en-US" w:eastAsia="en-US"/>
    </w:rPr>
  </w:style>
  <w:style w:type="paragraph" w:customStyle="1" w:styleId="TdocHeader2">
    <w:name w:val="Tdoc_Header_2"/>
    <w:basedOn w:val="Normal"/>
    <w:rsid w:val="00F34210"/>
    <w:pPr>
      <w:widowControl w:val="0"/>
      <w:tabs>
        <w:tab w:val="left" w:pos="1701"/>
        <w:tab w:val="right" w:pos="9072"/>
        <w:tab w:val="right" w:pos="10206"/>
      </w:tabs>
      <w:spacing w:after="0" w:line="256" w:lineRule="auto"/>
    </w:pPr>
    <w:rPr>
      <w:rFonts w:eastAsia="Batang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4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1B0EA-21AA-4099-A2D7-619B5D81FDC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C9B4A0F-9D02-4BB3-947E-2A0A7F0B6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4565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2017-08-11T13:45:00Z</dcterms:created>
  <dcterms:modified xsi:type="dcterms:W3CDTF">2017-08-11T14:41:00Z</dcterms:modified>
</cp:coreProperties>
</file>