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1B9" w:rsidRDefault="001D01B9" w:rsidP="008841BB">
      <w:pPr>
        <w:pStyle w:val="CRCoverPage"/>
        <w:tabs>
          <w:tab w:val="right" w:pos="8505"/>
          <w:tab w:val="right" w:pos="13323"/>
        </w:tabs>
        <w:spacing w:after="0"/>
        <w:ind w:right="-1"/>
        <w:rPr>
          <w:rFonts w:cs="Arial"/>
          <w:b/>
          <w:noProof/>
          <w:sz w:val="24"/>
          <w:szCs w:val="24"/>
        </w:rPr>
      </w:pPr>
      <w:r>
        <w:rPr>
          <w:rFonts w:cs="Arial"/>
          <w:b/>
          <w:noProof/>
          <w:sz w:val="24"/>
          <w:szCs w:val="24"/>
        </w:rPr>
        <w:t xml:space="preserve">3GPP TSG RAN </w:t>
      </w:r>
      <w:r w:rsidR="007B7F9F">
        <w:rPr>
          <w:rFonts w:cs="Arial"/>
          <w:b/>
          <w:noProof/>
          <w:sz w:val="24"/>
          <w:szCs w:val="24"/>
        </w:rPr>
        <w:t xml:space="preserve">WG1 </w:t>
      </w:r>
      <w:r>
        <w:rPr>
          <w:rFonts w:cs="Arial"/>
          <w:b/>
          <w:noProof/>
          <w:sz w:val="24"/>
          <w:szCs w:val="24"/>
        </w:rPr>
        <w:t>Meeting #</w:t>
      </w:r>
      <w:r w:rsidR="00AD2C5B">
        <w:rPr>
          <w:rFonts w:cs="Arial"/>
          <w:b/>
          <w:noProof/>
          <w:sz w:val="24"/>
          <w:szCs w:val="24"/>
        </w:rPr>
        <w:t>87</w:t>
      </w:r>
      <w:r w:rsidR="008841BB">
        <w:rPr>
          <w:rFonts w:cs="Arial"/>
          <w:b/>
          <w:noProof/>
          <w:sz w:val="24"/>
          <w:szCs w:val="24"/>
        </w:rPr>
        <w:t xml:space="preserve"> </w:t>
      </w:r>
      <w:r w:rsidR="008841BB">
        <w:rPr>
          <w:rFonts w:cs="Arial"/>
          <w:b/>
          <w:noProof/>
          <w:sz w:val="24"/>
          <w:szCs w:val="24"/>
        </w:rPr>
        <w:tab/>
      </w:r>
      <w:r w:rsidR="00817ADC" w:rsidRPr="00817ADC">
        <w:rPr>
          <w:rFonts w:cs="Arial"/>
          <w:b/>
          <w:bCs/>
          <w:sz w:val="26"/>
          <w:szCs w:val="26"/>
        </w:rPr>
        <w:t>R1-1612887</w:t>
      </w:r>
    </w:p>
    <w:p w:rsidR="001D01B9" w:rsidRDefault="00AD2C5B" w:rsidP="001D01B9">
      <w:pPr>
        <w:pStyle w:val="CRCoverPage"/>
        <w:tabs>
          <w:tab w:val="right" w:pos="9639"/>
          <w:tab w:val="right" w:pos="13323"/>
        </w:tabs>
        <w:spacing w:after="0"/>
        <w:jc w:val="right"/>
        <w:rPr>
          <w:rFonts w:cs="Arial"/>
          <w:b/>
          <w:noProof/>
          <w:sz w:val="24"/>
          <w:szCs w:val="24"/>
        </w:rPr>
      </w:pPr>
      <w:r>
        <w:rPr>
          <w:rFonts w:cs="Arial"/>
          <w:b/>
          <w:noProof/>
          <w:sz w:val="24"/>
          <w:szCs w:val="24"/>
        </w:rPr>
        <w:t>Reno</w:t>
      </w:r>
      <w:r w:rsidR="00B77726">
        <w:rPr>
          <w:rFonts w:cs="Arial"/>
          <w:b/>
          <w:noProof/>
          <w:sz w:val="24"/>
          <w:szCs w:val="24"/>
        </w:rPr>
        <w:t xml:space="preserve">, </w:t>
      </w:r>
      <w:r>
        <w:rPr>
          <w:rFonts w:cs="Arial"/>
          <w:b/>
          <w:noProof/>
          <w:sz w:val="24"/>
          <w:szCs w:val="24"/>
        </w:rPr>
        <w:t>USA</w:t>
      </w:r>
      <w:r w:rsidR="001D01B9" w:rsidRPr="0033775D">
        <w:rPr>
          <w:rFonts w:cs="Arial"/>
          <w:b/>
          <w:noProof/>
          <w:sz w:val="24"/>
          <w:szCs w:val="24"/>
        </w:rPr>
        <w:t xml:space="preserve">, </w:t>
      </w:r>
      <w:r>
        <w:rPr>
          <w:rFonts w:cs="Arial"/>
          <w:b/>
          <w:noProof/>
          <w:sz w:val="24"/>
          <w:szCs w:val="24"/>
        </w:rPr>
        <w:t>14</w:t>
      </w:r>
      <w:r w:rsidR="001D01B9" w:rsidRPr="008B769D">
        <w:rPr>
          <w:rFonts w:cs="Arial"/>
          <w:b/>
          <w:noProof/>
          <w:sz w:val="24"/>
          <w:szCs w:val="24"/>
          <w:vertAlign w:val="superscript"/>
        </w:rPr>
        <w:t>th</w:t>
      </w:r>
      <w:r w:rsidR="001D01B9" w:rsidRPr="0033775D">
        <w:rPr>
          <w:rFonts w:cs="Arial"/>
          <w:b/>
          <w:noProof/>
          <w:sz w:val="24"/>
          <w:szCs w:val="24"/>
        </w:rPr>
        <w:t xml:space="preserve"> – </w:t>
      </w:r>
      <w:r>
        <w:rPr>
          <w:rFonts w:cs="Arial"/>
          <w:b/>
          <w:noProof/>
          <w:sz w:val="24"/>
          <w:szCs w:val="24"/>
        </w:rPr>
        <w:t>18</w:t>
      </w:r>
      <w:r w:rsidR="001D01B9" w:rsidRPr="008B769D">
        <w:rPr>
          <w:rFonts w:cs="Arial"/>
          <w:b/>
          <w:noProof/>
          <w:sz w:val="24"/>
          <w:szCs w:val="24"/>
          <w:vertAlign w:val="superscript"/>
        </w:rPr>
        <w:t>th</w:t>
      </w:r>
      <w:r w:rsidR="001D01B9" w:rsidRPr="0033775D">
        <w:rPr>
          <w:rFonts w:cs="Arial"/>
          <w:b/>
          <w:noProof/>
          <w:sz w:val="24"/>
          <w:szCs w:val="24"/>
        </w:rPr>
        <w:t xml:space="preserve"> </w:t>
      </w:r>
      <w:r>
        <w:rPr>
          <w:rFonts w:cs="Arial"/>
          <w:b/>
          <w:noProof/>
          <w:sz w:val="24"/>
          <w:szCs w:val="24"/>
        </w:rPr>
        <w:t>November</w:t>
      </w:r>
      <w:r w:rsidR="00E70DFF">
        <w:rPr>
          <w:rFonts w:cs="Arial"/>
          <w:b/>
          <w:noProof/>
          <w:sz w:val="24"/>
          <w:szCs w:val="24"/>
        </w:rPr>
        <w:t>, 2016</w:t>
      </w:r>
      <w:bookmarkStart w:id="0" w:name="_GoBack"/>
      <w:bookmarkEnd w:id="0"/>
      <w:r w:rsidR="001D01B9">
        <w:rPr>
          <w:rFonts w:cs="Arial"/>
          <w:b/>
          <w:noProof/>
          <w:sz w:val="24"/>
          <w:szCs w:val="24"/>
        </w:rPr>
        <w:tab/>
      </w:r>
    </w:p>
    <w:p w:rsidR="001D01B9" w:rsidRPr="00155924" w:rsidRDefault="001D01B9" w:rsidP="001D01B9">
      <w:pPr>
        <w:pStyle w:val="Header"/>
        <w:tabs>
          <w:tab w:val="right" w:pos="9639"/>
        </w:tabs>
        <w:jc w:val="both"/>
        <w:rPr>
          <w:i/>
          <w:sz w:val="32"/>
          <w:lang w:val="en-GB"/>
        </w:rPr>
      </w:pPr>
      <w:r w:rsidRPr="00155924">
        <w:rPr>
          <w:sz w:val="24"/>
          <w:lang w:val="en-GB"/>
        </w:rPr>
        <w:tab/>
      </w:r>
    </w:p>
    <w:p w:rsidR="001D01B9" w:rsidRPr="00474F96" w:rsidRDefault="001D01B9" w:rsidP="001D01B9">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Pr>
          <w:rFonts w:ascii="Arial" w:hAnsi="Arial"/>
          <w:sz w:val="22"/>
        </w:rPr>
        <w:tab/>
      </w:r>
      <w:r w:rsidR="00F617E4">
        <w:rPr>
          <w:rFonts w:ascii="Arial" w:hAnsi="Arial" w:cs="Arial"/>
          <w:sz w:val="24"/>
          <w:szCs w:val="24"/>
        </w:rPr>
        <w:t xml:space="preserve">Uplink operation for </w:t>
      </w:r>
      <w:r w:rsidR="00854BB4">
        <w:rPr>
          <w:rFonts w:ascii="Arial" w:hAnsi="Arial" w:cs="Arial"/>
          <w:sz w:val="24"/>
          <w:szCs w:val="24"/>
        </w:rPr>
        <w:t xml:space="preserve">LTE+NR </w:t>
      </w:r>
      <w:r w:rsidR="00F617E4">
        <w:rPr>
          <w:rFonts w:ascii="Arial" w:hAnsi="Arial" w:cs="Arial"/>
          <w:sz w:val="24"/>
          <w:szCs w:val="24"/>
        </w:rPr>
        <w:t>Dual Connectivity</w:t>
      </w:r>
      <w:r w:rsidR="00BC3884">
        <w:rPr>
          <w:rFonts w:ascii="Arial" w:hAnsi="Arial" w:cs="Arial"/>
          <w:sz w:val="24"/>
          <w:szCs w:val="24"/>
        </w:rPr>
        <w:t xml:space="preserve"> </w:t>
      </w:r>
    </w:p>
    <w:p w:rsidR="001D01B9" w:rsidRDefault="001D01B9" w:rsidP="001D01B9">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Pr>
          <w:rFonts w:ascii="Arial" w:hAnsi="Arial"/>
          <w:sz w:val="24"/>
        </w:rPr>
        <w:t>Vodafone</w:t>
      </w:r>
      <w:r w:rsidR="00651673">
        <w:rPr>
          <w:rFonts w:ascii="Arial" w:hAnsi="Arial"/>
          <w:sz w:val="24"/>
        </w:rPr>
        <w:t xml:space="preserve"> Group Plc</w:t>
      </w:r>
    </w:p>
    <w:p w:rsidR="001D01B9" w:rsidRPr="00036934" w:rsidRDefault="001D01B9" w:rsidP="001D01B9">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821D8D">
        <w:rPr>
          <w:rFonts w:ascii="Arial" w:hAnsi="Arial"/>
          <w:sz w:val="24"/>
        </w:rPr>
        <w:t>7.1.7</w:t>
      </w:r>
    </w:p>
    <w:p w:rsidR="001D01B9" w:rsidRPr="00CC27F5" w:rsidRDefault="001D01B9" w:rsidP="001D01B9">
      <w:pPr>
        <w:tabs>
          <w:tab w:val="left" w:pos="1985"/>
        </w:tabs>
        <w:ind w:right="-441"/>
        <w:jc w:val="both"/>
        <w:rPr>
          <w:rFonts w:ascii="Arial" w:hAnsi="Arial"/>
          <w:sz w:val="24"/>
        </w:rPr>
      </w:pPr>
      <w:r w:rsidRPr="00CC27F5">
        <w:rPr>
          <w:rFonts w:ascii="Arial" w:hAnsi="Arial"/>
          <w:b/>
          <w:sz w:val="24"/>
        </w:rPr>
        <w:t>Document for:</w:t>
      </w:r>
      <w:r>
        <w:rPr>
          <w:rFonts w:ascii="Arial" w:hAnsi="Arial"/>
          <w:sz w:val="24"/>
        </w:rPr>
        <w:tab/>
      </w:r>
      <w:r w:rsidR="00993586">
        <w:rPr>
          <w:rFonts w:ascii="Arial" w:hAnsi="Arial"/>
          <w:sz w:val="24"/>
        </w:rPr>
        <w:t>Decision</w:t>
      </w:r>
    </w:p>
    <w:p w:rsidR="001D01B9" w:rsidRPr="00CC27F5" w:rsidRDefault="001D01B9" w:rsidP="008E09E3">
      <w:pPr>
        <w:pStyle w:val="Heading1"/>
        <w:jc w:val="both"/>
      </w:pPr>
      <w:r>
        <w:t>1</w:t>
      </w:r>
      <w:r>
        <w:tab/>
        <w:t>Introduction</w:t>
      </w:r>
    </w:p>
    <w:p w:rsidR="0067407B" w:rsidRDefault="0067407B" w:rsidP="0067407B">
      <w:pPr>
        <w:pStyle w:val="Header"/>
        <w:jc w:val="both"/>
        <w:rPr>
          <w:rFonts w:ascii="Times New Roman" w:hAnsi="Times New Roman"/>
          <w:b w:val="0"/>
          <w:noProof w:val="0"/>
          <w:sz w:val="20"/>
          <w:lang w:val="en-GB"/>
        </w:rPr>
      </w:pPr>
      <w:r w:rsidRPr="00C236A0">
        <w:rPr>
          <w:rFonts w:ascii="Times New Roman" w:hAnsi="Times New Roman"/>
          <w:b w:val="0"/>
          <w:noProof w:val="0"/>
          <w:sz w:val="20"/>
          <w:lang w:val="en-GB"/>
        </w:rPr>
        <w:t>In RAN</w:t>
      </w:r>
      <w:r>
        <w:rPr>
          <w:rFonts w:ascii="Times New Roman" w:hAnsi="Times New Roman"/>
          <w:b w:val="0"/>
          <w:noProof w:val="0"/>
          <w:sz w:val="20"/>
          <w:lang w:val="en-GB"/>
        </w:rPr>
        <w:t>1</w:t>
      </w:r>
      <w:r w:rsidRPr="00C236A0">
        <w:rPr>
          <w:rFonts w:ascii="Times New Roman" w:hAnsi="Times New Roman"/>
          <w:b w:val="0"/>
          <w:noProof w:val="0"/>
          <w:sz w:val="20"/>
          <w:lang w:val="en-GB"/>
        </w:rPr>
        <w:t xml:space="preserve"> #</w:t>
      </w:r>
      <w:r>
        <w:rPr>
          <w:rFonts w:ascii="Times New Roman" w:hAnsi="Times New Roman"/>
          <w:b w:val="0"/>
          <w:noProof w:val="0"/>
          <w:sz w:val="20"/>
          <w:lang w:val="en-GB"/>
        </w:rPr>
        <w:t>86bis</w:t>
      </w:r>
      <w:r w:rsidRPr="00C236A0">
        <w:rPr>
          <w:rFonts w:ascii="Times New Roman" w:hAnsi="Times New Roman"/>
          <w:b w:val="0"/>
          <w:noProof w:val="0"/>
          <w:sz w:val="20"/>
          <w:lang w:val="en-GB"/>
        </w:rPr>
        <w:t xml:space="preserve">, </w:t>
      </w:r>
      <w:r>
        <w:rPr>
          <w:rFonts w:ascii="Times New Roman" w:hAnsi="Times New Roman"/>
          <w:b w:val="0"/>
          <w:noProof w:val="0"/>
          <w:sz w:val="20"/>
          <w:lang w:val="en-GB"/>
        </w:rPr>
        <w:t>we agreed the following regarding</w:t>
      </w:r>
      <w:r w:rsidR="009D5D80">
        <w:rPr>
          <w:rFonts w:ascii="Times New Roman" w:hAnsi="Times New Roman"/>
          <w:b w:val="0"/>
          <w:noProof w:val="0"/>
          <w:sz w:val="20"/>
          <w:lang w:val="en-GB"/>
        </w:rPr>
        <w:t xml:space="preserve"> the coexistence of LTE and NR</w:t>
      </w:r>
      <w:r>
        <w:rPr>
          <w:rFonts w:ascii="Times New Roman" w:hAnsi="Times New Roman"/>
          <w:b w:val="0"/>
          <w:noProof w:val="0"/>
          <w:sz w:val="20"/>
          <w:lang w:val="en-GB"/>
        </w:rPr>
        <w:t>:</w:t>
      </w:r>
    </w:p>
    <w:p w:rsidR="009D5D80" w:rsidRDefault="009D5D80" w:rsidP="0067407B">
      <w:pPr>
        <w:pStyle w:val="Header"/>
        <w:jc w:val="both"/>
        <w:rPr>
          <w:rFonts w:ascii="Times New Roman" w:hAnsi="Times New Roman"/>
          <w:b w:val="0"/>
          <w:noProof w:val="0"/>
          <w:sz w:val="20"/>
          <w:lang w:val="en-GB"/>
        </w:rPr>
      </w:pPr>
    </w:p>
    <w:p w:rsidR="009D5D80" w:rsidRPr="002A7140" w:rsidRDefault="009D5D80" w:rsidP="002A7140">
      <w:pPr>
        <w:rPr>
          <w:rFonts w:eastAsia="MS Mincho"/>
          <w:lang w:eastAsia="ja-JP"/>
        </w:rPr>
      </w:pPr>
      <w:r w:rsidRPr="00857EFA">
        <w:rPr>
          <w:rFonts w:eastAsia="MS Mincho"/>
          <w:highlight w:val="green"/>
          <w:lang w:eastAsia="ja-JP"/>
        </w:rPr>
        <w:t>Agreements:</w:t>
      </w:r>
    </w:p>
    <w:p w:rsidR="009D5D80" w:rsidRPr="00857EFA" w:rsidRDefault="009D5D80" w:rsidP="009D5D80">
      <w:pPr>
        <w:numPr>
          <w:ilvl w:val="0"/>
          <w:numId w:val="26"/>
        </w:numPr>
        <w:overflowPunct/>
        <w:autoSpaceDE/>
        <w:autoSpaceDN/>
        <w:adjustRightInd/>
        <w:spacing w:after="0"/>
        <w:textAlignment w:val="auto"/>
        <w:rPr>
          <w:rFonts w:eastAsia="MS Mincho"/>
          <w:lang w:val="en-US" w:eastAsia="ja-JP"/>
        </w:rPr>
      </w:pPr>
      <w:r w:rsidRPr="00857EFA">
        <w:rPr>
          <w:rFonts w:eastAsia="MS Mincho"/>
          <w:lang w:val="en-US" w:eastAsia="ja-JP"/>
        </w:rPr>
        <w:t>To support the efficient coexistence between NR and LTE operating in the same licensed frequency band,</w:t>
      </w:r>
    </w:p>
    <w:p w:rsidR="009D5D80" w:rsidRPr="00857EFA" w:rsidRDefault="009D5D80" w:rsidP="009D5D80">
      <w:pPr>
        <w:numPr>
          <w:ilvl w:val="1"/>
          <w:numId w:val="26"/>
        </w:numPr>
        <w:overflowPunct/>
        <w:autoSpaceDE/>
        <w:autoSpaceDN/>
        <w:adjustRightInd/>
        <w:spacing w:after="0"/>
        <w:textAlignment w:val="auto"/>
        <w:rPr>
          <w:rFonts w:eastAsia="MS Mincho"/>
          <w:lang w:val="en-US" w:eastAsia="ja-JP"/>
        </w:rPr>
      </w:pPr>
      <w:r w:rsidRPr="00857EFA">
        <w:rPr>
          <w:rFonts w:eastAsia="MS Mincho"/>
          <w:lang w:val="en-US" w:eastAsia="ja-JP"/>
        </w:rPr>
        <w:t>At least legacy LTE features should be considered in the NR study, e.g.:</w:t>
      </w:r>
    </w:p>
    <w:p w:rsidR="009D5D80" w:rsidRPr="00857EFA" w:rsidRDefault="009D5D80" w:rsidP="009D5D80">
      <w:pPr>
        <w:numPr>
          <w:ilvl w:val="2"/>
          <w:numId w:val="26"/>
        </w:numPr>
        <w:overflowPunct/>
        <w:autoSpaceDE/>
        <w:autoSpaceDN/>
        <w:adjustRightInd/>
        <w:spacing w:after="0"/>
        <w:textAlignment w:val="auto"/>
        <w:rPr>
          <w:rFonts w:eastAsia="MS Mincho"/>
          <w:lang w:val="en-US" w:eastAsia="ja-JP"/>
        </w:rPr>
      </w:pPr>
      <w:r w:rsidRPr="00857EFA">
        <w:rPr>
          <w:rFonts w:eastAsia="MS Mincho"/>
          <w:lang w:val="en-US" w:eastAsia="ja-JP"/>
        </w:rPr>
        <w:t>MBSFN configuration (for LTE Rel-8 and beyond)</w:t>
      </w:r>
    </w:p>
    <w:p w:rsidR="009D5D80" w:rsidRPr="00857EFA" w:rsidRDefault="009D5D80" w:rsidP="009D5D80">
      <w:pPr>
        <w:numPr>
          <w:ilvl w:val="2"/>
          <w:numId w:val="26"/>
        </w:numPr>
        <w:overflowPunct/>
        <w:autoSpaceDE/>
        <w:autoSpaceDN/>
        <w:adjustRightInd/>
        <w:spacing w:after="0"/>
        <w:textAlignment w:val="auto"/>
        <w:rPr>
          <w:rFonts w:eastAsia="MS Mincho"/>
          <w:lang w:val="en-US" w:eastAsia="ja-JP"/>
        </w:rPr>
      </w:pPr>
      <w:r w:rsidRPr="00857EFA">
        <w:rPr>
          <w:rFonts w:eastAsia="MS Mincho"/>
          <w:lang w:val="en-US" w:eastAsia="ja-JP"/>
        </w:rPr>
        <w:t xml:space="preserve">TDD UL </w:t>
      </w:r>
      <w:proofErr w:type="spellStart"/>
      <w:r w:rsidRPr="00857EFA">
        <w:rPr>
          <w:rFonts w:eastAsia="MS Mincho"/>
          <w:lang w:val="en-US" w:eastAsia="ja-JP"/>
        </w:rPr>
        <w:t>subframe</w:t>
      </w:r>
      <w:proofErr w:type="spellEnd"/>
      <w:r w:rsidRPr="00857EFA">
        <w:rPr>
          <w:rFonts w:eastAsia="MS Mincho"/>
          <w:lang w:val="en-US" w:eastAsia="ja-JP"/>
        </w:rPr>
        <w:t xml:space="preserve"> (for LTE Rel-8 and beyond)</w:t>
      </w:r>
    </w:p>
    <w:p w:rsidR="009D5D80" w:rsidRPr="00857EFA" w:rsidRDefault="009D5D80" w:rsidP="009D5D80">
      <w:pPr>
        <w:numPr>
          <w:ilvl w:val="2"/>
          <w:numId w:val="26"/>
        </w:numPr>
        <w:overflowPunct/>
        <w:autoSpaceDE/>
        <w:autoSpaceDN/>
        <w:adjustRightInd/>
        <w:spacing w:after="0"/>
        <w:textAlignment w:val="auto"/>
        <w:rPr>
          <w:rFonts w:eastAsia="MS Mincho"/>
          <w:lang w:val="en-US" w:eastAsia="ja-JP"/>
        </w:rPr>
      </w:pPr>
      <w:proofErr w:type="spellStart"/>
      <w:r w:rsidRPr="00857EFA">
        <w:rPr>
          <w:rFonts w:eastAsia="MS Mincho"/>
          <w:lang w:val="en-US" w:eastAsia="ja-JP"/>
        </w:rPr>
        <w:t>SCell</w:t>
      </w:r>
      <w:proofErr w:type="spellEnd"/>
      <w:r w:rsidRPr="00857EFA">
        <w:rPr>
          <w:rFonts w:eastAsia="MS Mincho"/>
          <w:lang w:val="en-US" w:eastAsia="ja-JP"/>
        </w:rPr>
        <w:t xml:space="preserve"> activation/deactivation (for LTE Rel-10 and beyond)</w:t>
      </w:r>
    </w:p>
    <w:p w:rsidR="009D5D80" w:rsidRPr="00857EFA" w:rsidRDefault="009D5D80" w:rsidP="009D5D80">
      <w:pPr>
        <w:numPr>
          <w:ilvl w:val="2"/>
          <w:numId w:val="26"/>
        </w:numPr>
        <w:overflowPunct/>
        <w:autoSpaceDE/>
        <w:autoSpaceDN/>
        <w:adjustRightInd/>
        <w:spacing w:after="0"/>
        <w:textAlignment w:val="auto"/>
        <w:rPr>
          <w:rFonts w:eastAsia="MS Mincho"/>
          <w:lang w:val="en-US" w:eastAsia="ja-JP"/>
        </w:rPr>
      </w:pPr>
      <w:r w:rsidRPr="00857EFA">
        <w:rPr>
          <w:rFonts w:eastAsia="MS Mincho"/>
          <w:lang w:val="en-US" w:eastAsia="ja-JP"/>
        </w:rPr>
        <w:t xml:space="preserve">TDD UL </w:t>
      </w:r>
      <w:proofErr w:type="spellStart"/>
      <w:r w:rsidRPr="00857EFA">
        <w:rPr>
          <w:rFonts w:eastAsia="MS Mincho"/>
          <w:lang w:val="en-US" w:eastAsia="ja-JP"/>
        </w:rPr>
        <w:t>subframe</w:t>
      </w:r>
      <w:proofErr w:type="spellEnd"/>
      <w:r w:rsidRPr="00857EFA">
        <w:rPr>
          <w:rFonts w:eastAsia="MS Mincho"/>
          <w:lang w:val="en-US" w:eastAsia="ja-JP"/>
        </w:rPr>
        <w:t xml:space="preserve"> configured by </w:t>
      </w:r>
      <w:proofErr w:type="spellStart"/>
      <w:r w:rsidRPr="00857EFA">
        <w:rPr>
          <w:rFonts w:eastAsia="MS Mincho"/>
          <w:lang w:val="en-US" w:eastAsia="ja-JP"/>
        </w:rPr>
        <w:t>eIMTA</w:t>
      </w:r>
      <w:proofErr w:type="spellEnd"/>
      <w:r w:rsidRPr="00857EFA">
        <w:rPr>
          <w:rFonts w:eastAsia="MS Mincho"/>
          <w:lang w:val="en-US" w:eastAsia="ja-JP"/>
        </w:rPr>
        <w:t xml:space="preserve"> feature (for LTE Rel-12 and beyond)</w:t>
      </w:r>
    </w:p>
    <w:p w:rsidR="009D5D80" w:rsidRPr="00857EFA" w:rsidRDefault="009D5D80" w:rsidP="009D5D80">
      <w:pPr>
        <w:numPr>
          <w:ilvl w:val="1"/>
          <w:numId w:val="26"/>
        </w:numPr>
        <w:overflowPunct/>
        <w:autoSpaceDE/>
        <w:autoSpaceDN/>
        <w:adjustRightInd/>
        <w:spacing w:after="0"/>
        <w:textAlignment w:val="auto"/>
        <w:rPr>
          <w:rFonts w:eastAsia="MS Mincho"/>
          <w:lang w:val="en-US" w:eastAsia="ja-JP"/>
        </w:rPr>
      </w:pPr>
      <w:r w:rsidRPr="00857EFA">
        <w:rPr>
          <w:rFonts w:eastAsia="MS Mincho"/>
          <w:lang w:val="en-US" w:eastAsia="ja-JP"/>
        </w:rPr>
        <w:t>NR should study the following candidate mechanisms for coexistence:</w:t>
      </w:r>
    </w:p>
    <w:p w:rsidR="009D5D80" w:rsidRPr="00857EFA" w:rsidRDefault="009D5D80" w:rsidP="009D5D80">
      <w:pPr>
        <w:numPr>
          <w:ilvl w:val="2"/>
          <w:numId w:val="26"/>
        </w:numPr>
        <w:overflowPunct/>
        <w:autoSpaceDE/>
        <w:autoSpaceDN/>
        <w:adjustRightInd/>
        <w:spacing w:after="0"/>
        <w:textAlignment w:val="auto"/>
        <w:rPr>
          <w:rFonts w:eastAsia="MS Mincho"/>
          <w:lang w:val="en-US" w:eastAsia="ja-JP"/>
        </w:rPr>
      </w:pPr>
      <w:r w:rsidRPr="00857EFA">
        <w:rPr>
          <w:rFonts w:eastAsia="MS Mincho"/>
          <w:lang w:val="en-US" w:eastAsia="ja-JP"/>
        </w:rPr>
        <w:t>Resource indication (e.g., blank resources, available resources, etc.) of time/frequency resources</w:t>
      </w:r>
    </w:p>
    <w:p w:rsidR="009D5D80" w:rsidRPr="00857EFA" w:rsidRDefault="009D5D80" w:rsidP="009D5D80">
      <w:pPr>
        <w:numPr>
          <w:ilvl w:val="2"/>
          <w:numId w:val="26"/>
        </w:numPr>
        <w:overflowPunct/>
        <w:autoSpaceDE/>
        <w:autoSpaceDN/>
        <w:adjustRightInd/>
        <w:spacing w:after="0"/>
        <w:textAlignment w:val="auto"/>
        <w:rPr>
          <w:rFonts w:eastAsia="MS Mincho"/>
          <w:lang w:val="en-US" w:eastAsia="ja-JP"/>
        </w:rPr>
      </w:pPr>
      <w:r w:rsidRPr="00857EFA">
        <w:rPr>
          <w:rFonts w:eastAsia="MS Mincho"/>
          <w:lang w:val="en-US" w:eastAsia="ja-JP"/>
        </w:rPr>
        <w:t>Reconfiguring channel bandwidth/carriers monitored by UEs</w:t>
      </w:r>
    </w:p>
    <w:p w:rsidR="009D5D80" w:rsidRPr="00857EFA" w:rsidRDefault="009D5D80" w:rsidP="009D5D80">
      <w:pPr>
        <w:numPr>
          <w:ilvl w:val="2"/>
          <w:numId w:val="26"/>
        </w:numPr>
        <w:overflowPunct/>
        <w:autoSpaceDE/>
        <w:autoSpaceDN/>
        <w:adjustRightInd/>
        <w:spacing w:after="0"/>
        <w:textAlignment w:val="auto"/>
        <w:rPr>
          <w:rFonts w:eastAsia="MS Mincho"/>
          <w:lang w:val="en-US" w:eastAsia="ja-JP"/>
        </w:rPr>
      </w:pPr>
      <w:r w:rsidRPr="00857EFA">
        <w:rPr>
          <w:rFonts w:eastAsia="MS Mincho"/>
          <w:lang w:val="en-US" w:eastAsia="ja-JP"/>
        </w:rPr>
        <w:t>Any other mechanisms are not precluded.</w:t>
      </w:r>
    </w:p>
    <w:p w:rsidR="009D5D80" w:rsidRPr="00857EFA" w:rsidRDefault="009D5D80" w:rsidP="009D5D80">
      <w:pPr>
        <w:numPr>
          <w:ilvl w:val="1"/>
          <w:numId w:val="26"/>
        </w:numPr>
        <w:overflowPunct/>
        <w:autoSpaceDE/>
        <w:autoSpaceDN/>
        <w:adjustRightInd/>
        <w:spacing w:after="0"/>
        <w:textAlignment w:val="auto"/>
        <w:rPr>
          <w:rFonts w:eastAsia="MS Mincho"/>
          <w:lang w:val="en-US" w:eastAsia="ja-JP"/>
        </w:rPr>
      </w:pPr>
      <w:r w:rsidRPr="00857EFA">
        <w:rPr>
          <w:rFonts w:eastAsia="MS Mincho"/>
          <w:lang w:val="en-US" w:eastAsia="ja-JP"/>
        </w:rPr>
        <w:t xml:space="preserve">For </w:t>
      </w:r>
      <w:proofErr w:type="spellStart"/>
      <w:r w:rsidRPr="00857EFA">
        <w:rPr>
          <w:rFonts w:eastAsia="MS Mincho"/>
          <w:lang w:val="en-US" w:eastAsia="ja-JP"/>
        </w:rPr>
        <w:t>non co-</w:t>
      </w:r>
      <w:proofErr w:type="spellEnd"/>
      <w:r w:rsidRPr="00857EFA">
        <w:rPr>
          <w:rFonts w:eastAsia="MS Mincho"/>
          <w:lang w:val="en-US" w:eastAsia="ja-JP"/>
        </w:rPr>
        <w:t>located LTE/NR case, backhaul signaling between LTE and NR can be studied to mitigate inter-cell interference.</w:t>
      </w:r>
    </w:p>
    <w:p w:rsidR="009D5D80" w:rsidRPr="00857EFA" w:rsidRDefault="009D5D80" w:rsidP="009D5D80">
      <w:pPr>
        <w:numPr>
          <w:ilvl w:val="2"/>
          <w:numId w:val="26"/>
        </w:numPr>
        <w:overflowPunct/>
        <w:autoSpaceDE/>
        <w:autoSpaceDN/>
        <w:adjustRightInd/>
        <w:spacing w:after="0"/>
        <w:textAlignment w:val="auto"/>
        <w:rPr>
          <w:rFonts w:eastAsia="MS Mincho"/>
          <w:lang w:val="en-US" w:eastAsia="ja-JP"/>
        </w:rPr>
      </w:pPr>
      <w:r w:rsidRPr="00857EFA">
        <w:rPr>
          <w:rFonts w:eastAsia="MS Mincho"/>
          <w:lang w:val="en-US" w:eastAsia="ja-JP"/>
        </w:rPr>
        <w:t>FFS on which information can be conveyed on the backhaul signaling</w:t>
      </w:r>
    </w:p>
    <w:p w:rsidR="009D5D80" w:rsidRPr="00857EFA" w:rsidRDefault="009D5D80" w:rsidP="009D5D80">
      <w:pPr>
        <w:numPr>
          <w:ilvl w:val="2"/>
          <w:numId w:val="26"/>
        </w:numPr>
        <w:overflowPunct/>
        <w:autoSpaceDE/>
        <w:autoSpaceDN/>
        <w:adjustRightInd/>
        <w:spacing w:after="0"/>
        <w:textAlignment w:val="auto"/>
        <w:rPr>
          <w:rFonts w:eastAsia="MS Mincho"/>
          <w:lang w:val="en-US" w:eastAsia="ja-JP"/>
        </w:rPr>
      </w:pPr>
      <w:r w:rsidRPr="00857EFA">
        <w:rPr>
          <w:rFonts w:eastAsia="MS Mincho"/>
          <w:lang w:val="en-US" w:eastAsia="ja-JP"/>
        </w:rPr>
        <w:t xml:space="preserve">Over-the-air listening at the </w:t>
      </w:r>
      <w:proofErr w:type="spellStart"/>
      <w:r w:rsidRPr="00857EFA">
        <w:rPr>
          <w:rFonts w:eastAsia="MS Mincho"/>
          <w:lang w:val="en-US" w:eastAsia="ja-JP"/>
        </w:rPr>
        <w:t>gNB</w:t>
      </w:r>
      <w:proofErr w:type="spellEnd"/>
      <w:r w:rsidRPr="00857EFA">
        <w:rPr>
          <w:rFonts w:eastAsia="MS Mincho"/>
          <w:lang w:val="en-US" w:eastAsia="ja-JP"/>
        </w:rPr>
        <w:t xml:space="preserve"> can also be considered</w:t>
      </w:r>
    </w:p>
    <w:p w:rsidR="009D5D80" w:rsidRPr="00857EFA" w:rsidRDefault="009D5D80" w:rsidP="009D5D80">
      <w:pPr>
        <w:numPr>
          <w:ilvl w:val="1"/>
          <w:numId w:val="26"/>
        </w:numPr>
        <w:overflowPunct/>
        <w:autoSpaceDE/>
        <w:autoSpaceDN/>
        <w:adjustRightInd/>
        <w:spacing w:after="0"/>
        <w:textAlignment w:val="auto"/>
        <w:rPr>
          <w:rFonts w:eastAsia="MS Mincho"/>
          <w:lang w:val="en-US" w:eastAsia="ja-JP"/>
        </w:rPr>
      </w:pPr>
      <w:r w:rsidRPr="00857EFA">
        <w:rPr>
          <w:rFonts w:eastAsia="MS Mincho"/>
          <w:lang w:val="en-US" w:eastAsia="ja-JP"/>
        </w:rPr>
        <w:t>Note: Dynamic switch between NR and LTE can be studied from the perspective of network for co-located LTE/NR case.</w:t>
      </w:r>
    </w:p>
    <w:p w:rsidR="009D5D80" w:rsidRPr="002A7140" w:rsidRDefault="009D5D80" w:rsidP="0067407B">
      <w:pPr>
        <w:pStyle w:val="Header"/>
        <w:jc w:val="both"/>
        <w:rPr>
          <w:rFonts w:ascii="Times New Roman" w:hAnsi="Times New Roman"/>
          <w:b w:val="0"/>
          <w:noProof w:val="0"/>
          <w:sz w:val="20"/>
          <w:lang w:val="en-US"/>
        </w:rPr>
      </w:pPr>
    </w:p>
    <w:p w:rsidR="00C236A0" w:rsidRPr="003B5B82" w:rsidRDefault="009D5D80" w:rsidP="003B5B82">
      <w:pPr>
        <w:pStyle w:val="Header"/>
        <w:jc w:val="both"/>
        <w:rPr>
          <w:b w:val="0"/>
        </w:rPr>
      </w:pPr>
      <w:r>
        <w:rPr>
          <w:rFonts w:ascii="Times New Roman" w:hAnsi="Times New Roman"/>
          <w:b w:val="0"/>
          <w:noProof w:val="0"/>
          <w:sz w:val="20"/>
          <w:lang w:val="en-GB"/>
        </w:rPr>
        <w:t xml:space="preserve">Also </w:t>
      </w:r>
      <w:r w:rsidR="006F7C6B">
        <w:rPr>
          <w:rFonts w:ascii="Times New Roman" w:hAnsi="Times New Roman"/>
          <w:b w:val="0"/>
          <w:noProof w:val="0"/>
          <w:sz w:val="20"/>
          <w:lang w:val="en-GB"/>
        </w:rPr>
        <w:t>RAN2 has agreed to study a Dual Connectivity approach for LTE-NR aggregation</w:t>
      </w:r>
      <w:r w:rsidR="003B5B82">
        <w:rPr>
          <w:rFonts w:ascii="Times New Roman" w:hAnsi="Times New Roman"/>
          <w:b w:val="0"/>
          <w:noProof w:val="0"/>
          <w:sz w:val="20"/>
          <w:lang w:val="en-GB"/>
        </w:rPr>
        <w:t xml:space="preserve"> to enable NR to be operated in a non-standalone manner with LTE radio as the master, and NR being configured on a secondary carrier. The aim of this contribution is to analyse what that means in the context of LTE-NR deployment scenarios, and proposes to enable a single uplink operational scenario with LTE+NR</w:t>
      </w:r>
      <w:r w:rsidR="00854BB4">
        <w:t>.</w:t>
      </w:r>
      <w:r w:rsidR="003B5B82">
        <w:t xml:space="preserve"> </w:t>
      </w:r>
    </w:p>
    <w:p w:rsidR="00E76D42" w:rsidRDefault="00E76D42" w:rsidP="008E09E3">
      <w:pPr>
        <w:pStyle w:val="Header"/>
        <w:jc w:val="both"/>
        <w:rPr>
          <w:rFonts w:ascii="Times New Roman" w:hAnsi="Times New Roman"/>
          <w:b w:val="0"/>
          <w:noProof w:val="0"/>
          <w:sz w:val="20"/>
          <w:lang w:val="en-GB"/>
        </w:rPr>
      </w:pPr>
    </w:p>
    <w:p w:rsidR="00E76D42" w:rsidRDefault="00E76D42" w:rsidP="008E09E3">
      <w:pPr>
        <w:pStyle w:val="Heading1"/>
        <w:jc w:val="both"/>
      </w:pPr>
      <w:r>
        <w:t>2</w:t>
      </w:r>
      <w:r>
        <w:tab/>
      </w:r>
      <w:r w:rsidR="000268AE">
        <w:t>Discussion</w:t>
      </w:r>
    </w:p>
    <w:p w:rsidR="00E421AB" w:rsidRDefault="00E421AB" w:rsidP="008E09E3">
      <w:pPr>
        <w:pStyle w:val="Heading2"/>
        <w:spacing w:before="120" w:after="120"/>
        <w:jc w:val="both"/>
        <w:rPr>
          <w:rFonts w:ascii="Arial" w:hAnsi="Arial" w:cs="Arial"/>
          <w:b w:val="0"/>
          <w:color w:val="auto"/>
        </w:rPr>
      </w:pPr>
      <w:r w:rsidRPr="00E421AB">
        <w:rPr>
          <w:rFonts w:ascii="Arial" w:hAnsi="Arial" w:cs="Arial"/>
          <w:b w:val="0"/>
          <w:color w:val="auto"/>
        </w:rPr>
        <w:t>2.1</w:t>
      </w:r>
      <w:r w:rsidRPr="00E421AB">
        <w:rPr>
          <w:rFonts w:ascii="Arial" w:hAnsi="Arial" w:cs="Arial"/>
          <w:b w:val="0"/>
          <w:color w:val="auto"/>
        </w:rPr>
        <w:tab/>
      </w:r>
      <w:r w:rsidR="00A840B6">
        <w:rPr>
          <w:rFonts w:ascii="Arial" w:hAnsi="Arial" w:cs="Arial"/>
          <w:b w:val="0"/>
          <w:color w:val="auto"/>
        </w:rPr>
        <w:t>Issues with mandating 2 uplinks with LTE+NR Dual Connectivity</w:t>
      </w:r>
    </w:p>
    <w:p w:rsidR="003B5B82" w:rsidRDefault="003B5B82" w:rsidP="003B5B82">
      <w:pPr>
        <w:pStyle w:val="Header"/>
        <w:jc w:val="both"/>
        <w:rPr>
          <w:rFonts w:ascii="Times New Roman" w:hAnsi="Times New Roman"/>
          <w:b w:val="0"/>
          <w:noProof w:val="0"/>
          <w:sz w:val="20"/>
          <w:lang w:val="en-GB"/>
        </w:rPr>
      </w:pPr>
      <w:r>
        <w:rPr>
          <w:rFonts w:ascii="Times New Roman" w:hAnsi="Times New Roman"/>
          <w:b w:val="0"/>
          <w:noProof w:val="0"/>
          <w:sz w:val="20"/>
          <w:lang w:val="en-GB"/>
        </w:rPr>
        <w:t>RAN2 has decided to focus on the Dual Connectivity approach initially for LTE+NR aggregation, and has decided not to progress on the Carrier Aggregation architecture, based on the fact that:</w:t>
      </w:r>
    </w:p>
    <w:p w:rsidR="00883E17" w:rsidRDefault="00A840B6" w:rsidP="003B5B82">
      <w:pPr>
        <w:pStyle w:val="Header"/>
        <w:numPr>
          <w:ilvl w:val="0"/>
          <w:numId w:val="23"/>
        </w:numPr>
        <w:jc w:val="both"/>
        <w:rPr>
          <w:rFonts w:ascii="Times New Roman" w:hAnsi="Times New Roman"/>
          <w:b w:val="0"/>
          <w:noProof w:val="0"/>
          <w:sz w:val="20"/>
          <w:lang w:val="en-GB"/>
        </w:rPr>
      </w:pPr>
      <w:r>
        <w:rPr>
          <w:rFonts w:ascii="Times New Roman" w:hAnsi="Times New Roman"/>
          <w:b w:val="0"/>
          <w:noProof w:val="0"/>
          <w:sz w:val="20"/>
          <w:lang w:val="en-GB"/>
        </w:rPr>
        <w:t>R</w:t>
      </w:r>
      <w:r w:rsidR="003B5B82">
        <w:rPr>
          <w:rFonts w:ascii="Times New Roman" w:hAnsi="Times New Roman"/>
          <w:b w:val="0"/>
          <w:noProof w:val="0"/>
          <w:sz w:val="20"/>
          <w:lang w:val="en-GB"/>
        </w:rPr>
        <w:t xml:space="preserve">equiring the Carrier Aggregation architecture would require a common MAC for LTE and NR, and would likely put restrictions on the evolution of the NR MAC. </w:t>
      </w:r>
    </w:p>
    <w:p w:rsidR="003B5B82" w:rsidRDefault="003B5B82" w:rsidP="003B5B82">
      <w:pPr>
        <w:pStyle w:val="Header"/>
        <w:numPr>
          <w:ilvl w:val="0"/>
          <w:numId w:val="23"/>
        </w:numPr>
        <w:jc w:val="both"/>
        <w:rPr>
          <w:rFonts w:ascii="Times New Roman" w:hAnsi="Times New Roman"/>
          <w:b w:val="0"/>
          <w:noProof w:val="0"/>
          <w:sz w:val="20"/>
          <w:lang w:val="en-GB"/>
        </w:rPr>
      </w:pPr>
      <w:r>
        <w:rPr>
          <w:rFonts w:ascii="Times New Roman" w:hAnsi="Times New Roman"/>
          <w:b w:val="0"/>
          <w:noProof w:val="0"/>
          <w:sz w:val="20"/>
          <w:lang w:val="en-GB"/>
        </w:rPr>
        <w:t>The performance of Dual Connectivity aggregation and Carrier Aggregation was deemed to be similar</w:t>
      </w:r>
    </w:p>
    <w:p w:rsidR="003B5B82" w:rsidRDefault="00A840B6" w:rsidP="003B5B82">
      <w:pPr>
        <w:pStyle w:val="Header"/>
        <w:numPr>
          <w:ilvl w:val="0"/>
          <w:numId w:val="23"/>
        </w:numPr>
        <w:jc w:val="both"/>
        <w:rPr>
          <w:rFonts w:ascii="Times New Roman" w:hAnsi="Times New Roman"/>
          <w:b w:val="0"/>
          <w:noProof w:val="0"/>
          <w:sz w:val="20"/>
          <w:lang w:val="en-GB"/>
        </w:rPr>
      </w:pPr>
      <w:r>
        <w:rPr>
          <w:rFonts w:ascii="Times New Roman" w:hAnsi="Times New Roman"/>
          <w:b w:val="0"/>
          <w:noProof w:val="0"/>
          <w:sz w:val="20"/>
          <w:lang w:val="en-GB"/>
        </w:rPr>
        <w:t>A Dual Connectivity type of solution was deemed necessary anyway for inter-site with non-ideal backhaul connectivity.</w:t>
      </w:r>
    </w:p>
    <w:p w:rsidR="00A840B6" w:rsidRDefault="00A840B6" w:rsidP="00A840B6">
      <w:pPr>
        <w:pStyle w:val="Header"/>
        <w:jc w:val="both"/>
        <w:rPr>
          <w:rFonts w:ascii="Times New Roman" w:hAnsi="Times New Roman"/>
          <w:b w:val="0"/>
          <w:noProof w:val="0"/>
          <w:sz w:val="20"/>
          <w:lang w:val="en-GB"/>
        </w:rPr>
      </w:pPr>
    </w:p>
    <w:p w:rsidR="00A840B6" w:rsidRDefault="00A840B6" w:rsidP="00A840B6">
      <w:pPr>
        <w:pStyle w:val="Header"/>
        <w:jc w:val="both"/>
        <w:rPr>
          <w:rFonts w:ascii="Times New Roman" w:hAnsi="Times New Roman"/>
          <w:b w:val="0"/>
          <w:noProof w:val="0"/>
          <w:sz w:val="20"/>
          <w:lang w:val="en-GB"/>
        </w:rPr>
      </w:pPr>
      <w:r>
        <w:rPr>
          <w:rFonts w:ascii="Times New Roman" w:hAnsi="Times New Roman"/>
          <w:b w:val="0"/>
          <w:noProof w:val="0"/>
          <w:sz w:val="20"/>
          <w:lang w:val="en-GB"/>
        </w:rPr>
        <w:t xml:space="preserve">However, one big difference between “Carrier Aggregation” and “Dual Connectivity” architectures is that </w:t>
      </w:r>
      <w:r>
        <w:rPr>
          <w:rFonts w:ascii="Times New Roman" w:hAnsi="Times New Roman"/>
          <w:b w:val="0"/>
          <w:noProof w:val="0"/>
          <w:sz w:val="20"/>
          <w:lang w:val="en-GB"/>
        </w:rPr>
        <w:lastRenderedPageBreak/>
        <w:t>2 uplink carriers are required to be operated by the UE with Dual Connectivity. The following considerations should be borne in mind here:</w:t>
      </w:r>
    </w:p>
    <w:p w:rsidR="00A840B6" w:rsidRDefault="00A840B6" w:rsidP="001C7E04">
      <w:pPr>
        <w:pStyle w:val="Header"/>
        <w:numPr>
          <w:ilvl w:val="0"/>
          <w:numId w:val="25"/>
        </w:numPr>
        <w:spacing w:before="120"/>
        <w:ind w:hanging="357"/>
        <w:jc w:val="both"/>
        <w:rPr>
          <w:rFonts w:ascii="Times New Roman" w:hAnsi="Times New Roman"/>
          <w:b w:val="0"/>
          <w:noProof w:val="0"/>
          <w:sz w:val="20"/>
          <w:lang w:val="en-GB"/>
        </w:rPr>
      </w:pPr>
      <w:r>
        <w:rPr>
          <w:rFonts w:ascii="Times New Roman" w:hAnsi="Times New Roman"/>
          <w:b w:val="0"/>
          <w:noProof w:val="0"/>
          <w:sz w:val="20"/>
          <w:lang w:val="en-GB"/>
        </w:rPr>
        <w:t xml:space="preserve">One of the requirements for NR is that there should be flexibility to maximise spectrum efficiency by enabling flexibility of duplex. Most networks are still dominated by downlink traffic demand. </w:t>
      </w:r>
    </w:p>
    <w:p w:rsidR="001C7E04" w:rsidRPr="001C7E04" w:rsidRDefault="001C7E04" w:rsidP="001C7E04">
      <w:pPr>
        <w:pStyle w:val="Header"/>
        <w:numPr>
          <w:ilvl w:val="1"/>
          <w:numId w:val="25"/>
        </w:numPr>
        <w:spacing w:before="120"/>
        <w:ind w:hanging="357"/>
        <w:jc w:val="both"/>
        <w:rPr>
          <w:rFonts w:ascii="Times New Roman" w:hAnsi="Times New Roman"/>
          <w:b w:val="0"/>
          <w:noProof w:val="0"/>
          <w:sz w:val="20"/>
          <w:lang w:val="en-GB"/>
        </w:rPr>
      </w:pPr>
      <w:r>
        <w:rPr>
          <w:rFonts w:ascii="Times New Roman" w:hAnsi="Times New Roman"/>
          <w:b w:val="0"/>
          <w:noProof w:val="0"/>
          <w:sz w:val="20"/>
          <w:lang w:val="en-GB"/>
        </w:rPr>
        <w:t>Where existing paired bands used for LTE typically require fixed frequency duplex, possibly uplink spectrum will go unused because of dominance of downlink traffic.</w:t>
      </w:r>
    </w:p>
    <w:p w:rsidR="00A840B6" w:rsidRDefault="00A840B6" w:rsidP="001C7E04">
      <w:pPr>
        <w:pStyle w:val="Header"/>
        <w:numPr>
          <w:ilvl w:val="0"/>
          <w:numId w:val="25"/>
        </w:numPr>
        <w:spacing w:before="120"/>
        <w:ind w:hanging="357"/>
        <w:jc w:val="both"/>
        <w:rPr>
          <w:rFonts w:ascii="Times New Roman" w:hAnsi="Times New Roman"/>
          <w:b w:val="0"/>
          <w:noProof w:val="0"/>
          <w:sz w:val="20"/>
          <w:lang w:val="en-GB"/>
        </w:rPr>
      </w:pPr>
      <w:r>
        <w:rPr>
          <w:rFonts w:ascii="Times New Roman" w:hAnsi="Times New Roman"/>
          <w:b w:val="0"/>
          <w:noProof w:val="0"/>
          <w:sz w:val="20"/>
          <w:lang w:val="en-GB"/>
        </w:rPr>
        <w:t xml:space="preserve">In operation with a low frequency </w:t>
      </w:r>
      <w:r w:rsidR="001C7E04">
        <w:rPr>
          <w:rFonts w:ascii="Times New Roman" w:hAnsi="Times New Roman"/>
          <w:b w:val="0"/>
          <w:noProof w:val="0"/>
          <w:sz w:val="20"/>
          <w:lang w:val="en-GB"/>
        </w:rPr>
        <w:t>paired</w:t>
      </w:r>
      <w:r>
        <w:rPr>
          <w:rFonts w:ascii="Times New Roman" w:hAnsi="Times New Roman"/>
          <w:b w:val="0"/>
          <w:noProof w:val="0"/>
          <w:sz w:val="20"/>
          <w:lang w:val="en-GB"/>
        </w:rPr>
        <w:t xml:space="preserve"> band </w:t>
      </w:r>
      <w:r w:rsidR="001C7E04">
        <w:rPr>
          <w:rFonts w:ascii="Times New Roman" w:hAnsi="Times New Roman"/>
          <w:b w:val="0"/>
          <w:noProof w:val="0"/>
          <w:sz w:val="20"/>
          <w:lang w:val="en-GB"/>
        </w:rPr>
        <w:t>on LTE</w:t>
      </w:r>
      <w:r w:rsidR="004D3D86">
        <w:rPr>
          <w:rFonts w:ascii="Times New Roman" w:hAnsi="Times New Roman"/>
          <w:b w:val="0"/>
          <w:noProof w:val="0"/>
          <w:sz w:val="20"/>
          <w:lang w:val="en-GB"/>
        </w:rPr>
        <w:t>,</w:t>
      </w:r>
      <w:r w:rsidR="001C7E04">
        <w:rPr>
          <w:rFonts w:ascii="Times New Roman" w:hAnsi="Times New Roman"/>
          <w:b w:val="0"/>
          <w:noProof w:val="0"/>
          <w:sz w:val="20"/>
          <w:lang w:val="en-GB"/>
        </w:rPr>
        <w:t xml:space="preserve"> </w:t>
      </w:r>
      <w:r>
        <w:rPr>
          <w:rFonts w:ascii="Times New Roman" w:hAnsi="Times New Roman"/>
          <w:b w:val="0"/>
          <w:noProof w:val="0"/>
          <w:sz w:val="20"/>
          <w:lang w:val="en-GB"/>
        </w:rPr>
        <w:t xml:space="preserve">and a </w:t>
      </w:r>
      <w:r w:rsidR="004D3D86">
        <w:rPr>
          <w:rFonts w:ascii="Times New Roman" w:hAnsi="Times New Roman"/>
          <w:b w:val="0"/>
          <w:noProof w:val="0"/>
          <w:sz w:val="20"/>
          <w:lang w:val="en-GB"/>
        </w:rPr>
        <w:t>medium</w:t>
      </w:r>
      <w:r>
        <w:rPr>
          <w:rFonts w:ascii="Times New Roman" w:hAnsi="Times New Roman"/>
          <w:b w:val="0"/>
          <w:noProof w:val="0"/>
          <w:sz w:val="20"/>
          <w:lang w:val="en-GB"/>
        </w:rPr>
        <w:t xml:space="preserve"> frequency </w:t>
      </w:r>
      <w:r w:rsidR="001C7E04">
        <w:rPr>
          <w:rFonts w:ascii="Times New Roman" w:hAnsi="Times New Roman"/>
          <w:b w:val="0"/>
          <w:noProof w:val="0"/>
          <w:sz w:val="20"/>
          <w:lang w:val="en-GB"/>
        </w:rPr>
        <w:t>unpaired</w:t>
      </w:r>
      <w:r>
        <w:rPr>
          <w:rFonts w:ascii="Times New Roman" w:hAnsi="Times New Roman"/>
          <w:b w:val="0"/>
          <w:noProof w:val="0"/>
          <w:sz w:val="20"/>
          <w:lang w:val="en-GB"/>
        </w:rPr>
        <w:t xml:space="preserve"> band</w:t>
      </w:r>
      <w:r w:rsidR="001C7E04">
        <w:rPr>
          <w:rFonts w:ascii="Times New Roman" w:hAnsi="Times New Roman"/>
          <w:b w:val="0"/>
          <w:noProof w:val="0"/>
          <w:sz w:val="20"/>
          <w:lang w:val="en-GB"/>
        </w:rPr>
        <w:t xml:space="preserve"> using NR</w:t>
      </w:r>
      <w:r w:rsidR="004D3D86">
        <w:rPr>
          <w:rFonts w:ascii="Times New Roman" w:hAnsi="Times New Roman"/>
          <w:b w:val="0"/>
          <w:noProof w:val="0"/>
          <w:sz w:val="20"/>
          <w:lang w:val="en-GB"/>
        </w:rPr>
        <w:t xml:space="preserve"> (assume same Base Station site for now)</w:t>
      </w:r>
      <w:r>
        <w:rPr>
          <w:rFonts w:ascii="Times New Roman" w:hAnsi="Times New Roman"/>
          <w:b w:val="0"/>
          <w:noProof w:val="0"/>
          <w:sz w:val="20"/>
          <w:lang w:val="en-GB"/>
        </w:rPr>
        <w:t xml:space="preserve">, mandating that the UE transmits </w:t>
      </w:r>
      <w:r w:rsidR="004D3D86">
        <w:rPr>
          <w:rFonts w:ascii="Times New Roman" w:hAnsi="Times New Roman"/>
          <w:b w:val="0"/>
          <w:noProof w:val="0"/>
          <w:sz w:val="20"/>
          <w:lang w:val="en-GB"/>
        </w:rPr>
        <w:t xml:space="preserve">NR </w:t>
      </w:r>
      <w:r w:rsidR="001C7E04">
        <w:rPr>
          <w:rFonts w:ascii="Times New Roman" w:hAnsi="Times New Roman"/>
          <w:b w:val="0"/>
          <w:noProof w:val="0"/>
          <w:sz w:val="20"/>
          <w:lang w:val="en-GB"/>
        </w:rPr>
        <w:t>Layer1/2 control</w:t>
      </w:r>
      <w:r>
        <w:rPr>
          <w:rFonts w:ascii="Times New Roman" w:hAnsi="Times New Roman"/>
          <w:b w:val="0"/>
          <w:noProof w:val="0"/>
          <w:sz w:val="20"/>
          <w:lang w:val="en-GB"/>
        </w:rPr>
        <w:t xml:space="preserve"> channel feedback signalling on the uplink of the </w:t>
      </w:r>
      <w:r w:rsidR="001C7E04">
        <w:rPr>
          <w:rFonts w:ascii="Times New Roman" w:hAnsi="Times New Roman"/>
          <w:b w:val="0"/>
          <w:noProof w:val="0"/>
          <w:sz w:val="20"/>
          <w:lang w:val="en-GB"/>
        </w:rPr>
        <w:t>unpaired</w:t>
      </w:r>
      <w:r>
        <w:rPr>
          <w:rFonts w:ascii="Times New Roman" w:hAnsi="Times New Roman"/>
          <w:b w:val="0"/>
          <w:noProof w:val="0"/>
          <w:sz w:val="20"/>
          <w:lang w:val="en-GB"/>
        </w:rPr>
        <w:t xml:space="preserve"> band leads to:</w:t>
      </w:r>
    </w:p>
    <w:p w:rsidR="00A840B6" w:rsidRDefault="00A840B6" w:rsidP="001C7E04">
      <w:pPr>
        <w:pStyle w:val="Header"/>
        <w:numPr>
          <w:ilvl w:val="1"/>
          <w:numId w:val="25"/>
        </w:numPr>
        <w:spacing w:before="120"/>
        <w:ind w:hanging="357"/>
        <w:jc w:val="both"/>
        <w:rPr>
          <w:rFonts w:ascii="Times New Roman" w:hAnsi="Times New Roman"/>
          <w:b w:val="0"/>
          <w:noProof w:val="0"/>
          <w:sz w:val="20"/>
          <w:lang w:val="en-GB"/>
        </w:rPr>
      </w:pPr>
      <w:r>
        <w:rPr>
          <w:rFonts w:ascii="Times New Roman" w:hAnsi="Times New Roman"/>
          <w:b w:val="0"/>
          <w:noProof w:val="0"/>
          <w:sz w:val="20"/>
          <w:lang w:val="en-GB"/>
        </w:rPr>
        <w:t>Allocation of time resource in uplink reducing the potential resource available in downlink.</w:t>
      </w:r>
      <w:r w:rsidR="002B324B">
        <w:rPr>
          <w:rFonts w:ascii="Times New Roman" w:hAnsi="Times New Roman"/>
          <w:b w:val="0"/>
          <w:noProof w:val="0"/>
          <w:sz w:val="20"/>
          <w:lang w:val="en-GB"/>
        </w:rPr>
        <w:t xml:space="preserve"> However it is acknowledged that some uplink transmission to enable reciprocity is likely to be helpful in reducing control signalling overhead.</w:t>
      </w:r>
      <w:r w:rsidR="00D652C8">
        <w:rPr>
          <w:rFonts w:ascii="Times New Roman" w:hAnsi="Times New Roman"/>
          <w:b w:val="0"/>
          <w:noProof w:val="0"/>
          <w:sz w:val="20"/>
          <w:lang w:val="en-GB"/>
        </w:rPr>
        <w:t xml:space="preserve"> If the UE is moving fast then we understand that uplink signals to allow reciprocity may be required to be </w:t>
      </w:r>
      <w:r w:rsidR="000C7C46">
        <w:rPr>
          <w:rFonts w:ascii="Times New Roman" w:hAnsi="Times New Roman"/>
          <w:b w:val="0"/>
          <w:noProof w:val="0"/>
          <w:sz w:val="20"/>
          <w:lang w:val="en-GB"/>
        </w:rPr>
        <w:t xml:space="preserve">sent </w:t>
      </w:r>
      <w:r w:rsidR="00D652C8">
        <w:rPr>
          <w:rFonts w:ascii="Times New Roman" w:hAnsi="Times New Roman"/>
          <w:b w:val="0"/>
          <w:noProof w:val="0"/>
          <w:sz w:val="20"/>
          <w:lang w:val="en-GB"/>
        </w:rPr>
        <w:t>more frequent</w:t>
      </w:r>
      <w:r w:rsidR="000C7C46">
        <w:rPr>
          <w:rFonts w:ascii="Times New Roman" w:hAnsi="Times New Roman"/>
          <w:b w:val="0"/>
          <w:noProof w:val="0"/>
          <w:sz w:val="20"/>
          <w:lang w:val="en-GB"/>
        </w:rPr>
        <w:t>ly – which would further reduce downlink resource</w:t>
      </w:r>
      <w:r w:rsidR="00D652C8">
        <w:rPr>
          <w:rFonts w:ascii="Times New Roman" w:hAnsi="Times New Roman"/>
          <w:b w:val="0"/>
          <w:noProof w:val="0"/>
          <w:sz w:val="20"/>
          <w:lang w:val="en-GB"/>
        </w:rPr>
        <w:t>.</w:t>
      </w:r>
    </w:p>
    <w:p w:rsidR="001C7E04" w:rsidRDefault="002B324B" w:rsidP="001C7E04">
      <w:pPr>
        <w:pStyle w:val="Header"/>
        <w:numPr>
          <w:ilvl w:val="1"/>
          <w:numId w:val="25"/>
        </w:numPr>
        <w:spacing w:before="120"/>
        <w:ind w:hanging="357"/>
        <w:jc w:val="both"/>
        <w:rPr>
          <w:rFonts w:ascii="Times New Roman" w:hAnsi="Times New Roman"/>
          <w:b w:val="0"/>
          <w:noProof w:val="0"/>
          <w:sz w:val="20"/>
          <w:lang w:val="en-GB"/>
        </w:rPr>
      </w:pPr>
      <w:r>
        <w:rPr>
          <w:rFonts w:ascii="Times New Roman" w:hAnsi="Times New Roman"/>
          <w:b w:val="0"/>
          <w:noProof w:val="0"/>
          <w:sz w:val="20"/>
          <w:lang w:val="en-GB"/>
        </w:rPr>
        <w:t>The</w:t>
      </w:r>
      <w:r w:rsidR="001C7E04">
        <w:rPr>
          <w:rFonts w:ascii="Times New Roman" w:hAnsi="Times New Roman"/>
          <w:b w:val="0"/>
          <w:noProof w:val="0"/>
          <w:sz w:val="20"/>
          <w:lang w:val="en-GB"/>
        </w:rPr>
        <w:t xml:space="preserve"> UE </w:t>
      </w:r>
      <w:r>
        <w:rPr>
          <w:rFonts w:ascii="Times New Roman" w:hAnsi="Times New Roman"/>
          <w:b w:val="0"/>
          <w:noProof w:val="0"/>
          <w:sz w:val="20"/>
          <w:lang w:val="en-GB"/>
        </w:rPr>
        <w:t xml:space="preserve">would likely be required </w:t>
      </w:r>
      <w:r w:rsidR="001C7E04">
        <w:rPr>
          <w:rFonts w:ascii="Times New Roman" w:hAnsi="Times New Roman"/>
          <w:b w:val="0"/>
          <w:noProof w:val="0"/>
          <w:sz w:val="20"/>
          <w:lang w:val="en-GB"/>
        </w:rPr>
        <w:t xml:space="preserve">to expend more energy to transmit control channel feedback </w:t>
      </w:r>
      <w:r>
        <w:rPr>
          <w:rFonts w:ascii="Times New Roman" w:hAnsi="Times New Roman"/>
          <w:b w:val="0"/>
          <w:noProof w:val="0"/>
          <w:sz w:val="20"/>
          <w:lang w:val="en-GB"/>
        </w:rPr>
        <w:t xml:space="preserve">to the same Base Station </w:t>
      </w:r>
      <w:r w:rsidR="001C7E04">
        <w:rPr>
          <w:rFonts w:ascii="Times New Roman" w:hAnsi="Times New Roman"/>
          <w:b w:val="0"/>
          <w:noProof w:val="0"/>
          <w:sz w:val="20"/>
          <w:lang w:val="en-GB"/>
        </w:rPr>
        <w:t xml:space="preserve">on </w:t>
      </w:r>
      <w:r>
        <w:rPr>
          <w:rFonts w:ascii="Times New Roman" w:hAnsi="Times New Roman"/>
          <w:b w:val="0"/>
          <w:noProof w:val="0"/>
          <w:sz w:val="20"/>
          <w:lang w:val="en-GB"/>
        </w:rPr>
        <w:t>a</w:t>
      </w:r>
      <w:r w:rsidR="001C7E04">
        <w:rPr>
          <w:rFonts w:ascii="Times New Roman" w:hAnsi="Times New Roman"/>
          <w:b w:val="0"/>
          <w:noProof w:val="0"/>
          <w:sz w:val="20"/>
          <w:lang w:val="en-GB"/>
        </w:rPr>
        <w:t xml:space="preserve"> high band compared to the low band.</w:t>
      </w:r>
    </w:p>
    <w:p w:rsidR="002B324B" w:rsidRDefault="001C7E04" w:rsidP="001C7E04">
      <w:pPr>
        <w:pStyle w:val="Header"/>
        <w:numPr>
          <w:ilvl w:val="1"/>
          <w:numId w:val="25"/>
        </w:numPr>
        <w:spacing w:before="120"/>
        <w:ind w:hanging="357"/>
        <w:jc w:val="both"/>
        <w:rPr>
          <w:rFonts w:ascii="Times New Roman" w:hAnsi="Times New Roman"/>
          <w:b w:val="0"/>
          <w:noProof w:val="0"/>
          <w:sz w:val="20"/>
          <w:lang w:val="en-GB"/>
        </w:rPr>
      </w:pPr>
      <w:r>
        <w:rPr>
          <w:rFonts w:ascii="Times New Roman" w:hAnsi="Times New Roman"/>
          <w:b w:val="0"/>
          <w:noProof w:val="0"/>
          <w:sz w:val="20"/>
          <w:lang w:val="en-GB"/>
        </w:rPr>
        <w:t xml:space="preserve">Unpaired bands in macro deployments still typically require some kind of inter-operator alignment, so the more the uplink of the unpaired band is </w:t>
      </w:r>
      <w:r w:rsidR="002B324B">
        <w:rPr>
          <w:rFonts w:ascii="Times New Roman" w:hAnsi="Times New Roman"/>
          <w:b w:val="0"/>
          <w:noProof w:val="0"/>
          <w:sz w:val="20"/>
          <w:lang w:val="en-GB"/>
        </w:rPr>
        <w:t>mandated</w:t>
      </w:r>
      <w:r>
        <w:rPr>
          <w:rFonts w:ascii="Times New Roman" w:hAnsi="Times New Roman"/>
          <w:b w:val="0"/>
          <w:noProof w:val="0"/>
          <w:sz w:val="20"/>
          <w:lang w:val="en-GB"/>
        </w:rPr>
        <w:t xml:space="preserve"> to be used, the more difficult it would be to </w:t>
      </w:r>
      <w:r w:rsidR="002B324B">
        <w:rPr>
          <w:rFonts w:ascii="Times New Roman" w:hAnsi="Times New Roman"/>
          <w:b w:val="0"/>
          <w:noProof w:val="0"/>
          <w:sz w:val="20"/>
          <w:lang w:val="en-GB"/>
        </w:rPr>
        <w:t>ensure operators can limit the amount of uplink resource that needs to be statically aligned.</w:t>
      </w:r>
    </w:p>
    <w:p w:rsidR="002B324B" w:rsidRDefault="002B324B" w:rsidP="002B324B">
      <w:pPr>
        <w:pStyle w:val="Header"/>
        <w:numPr>
          <w:ilvl w:val="0"/>
          <w:numId w:val="25"/>
        </w:numPr>
        <w:spacing w:before="120"/>
        <w:jc w:val="both"/>
        <w:rPr>
          <w:rFonts w:ascii="Times New Roman" w:hAnsi="Times New Roman"/>
          <w:b w:val="0"/>
          <w:noProof w:val="0"/>
          <w:sz w:val="20"/>
          <w:lang w:val="en-GB"/>
        </w:rPr>
      </w:pPr>
      <w:r>
        <w:rPr>
          <w:rFonts w:ascii="Times New Roman" w:hAnsi="Times New Roman"/>
          <w:b w:val="0"/>
          <w:noProof w:val="0"/>
          <w:sz w:val="20"/>
          <w:lang w:val="en-GB"/>
        </w:rPr>
        <w:t>For the inter-site case, requiring the UE to communicate in uplink with 2 Base Stations in uplink when near the respective cell edges of 2 sites would likely lead to complexities in ensuring that robustness. TDM operation in uplink between the 2 sites may resolve this though.</w:t>
      </w:r>
    </w:p>
    <w:p w:rsidR="001C7E04" w:rsidRDefault="002B324B" w:rsidP="000C7C46">
      <w:pPr>
        <w:pStyle w:val="Header"/>
        <w:spacing w:before="120"/>
        <w:jc w:val="both"/>
        <w:rPr>
          <w:rFonts w:ascii="Times New Roman" w:hAnsi="Times New Roman"/>
          <w:noProof w:val="0"/>
          <w:sz w:val="20"/>
          <w:lang w:val="en-GB"/>
        </w:rPr>
      </w:pPr>
      <w:r w:rsidRPr="00D652C8">
        <w:rPr>
          <w:rFonts w:ascii="Times New Roman" w:hAnsi="Times New Roman"/>
          <w:noProof w:val="0"/>
          <w:sz w:val="20"/>
          <w:u w:val="single"/>
          <w:lang w:val="en-GB"/>
        </w:rPr>
        <w:t>Observation</w:t>
      </w:r>
      <w:r w:rsidR="000C7C46">
        <w:rPr>
          <w:rFonts w:ascii="Times New Roman" w:hAnsi="Times New Roman"/>
          <w:noProof w:val="0"/>
          <w:sz w:val="20"/>
          <w:u w:val="single"/>
          <w:lang w:val="en-GB"/>
        </w:rPr>
        <w:t xml:space="preserve"> 1</w:t>
      </w:r>
      <w:r w:rsidRPr="00D652C8">
        <w:rPr>
          <w:rFonts w:ascii="Times New Roman" w:hAnsi="Times New Roman"/>
          <w:noProof w:val="0"/>
          <w:sz w:val="20"/>
          <w:lang w:val="en-GB"/>
        </w:rPr>
        <w:t xml:space="preserve">: There seem to be a number of potential real deployment issues here (which do not </w:t>
      </w:r>
      <w:r w:rsidR="00D652C8">
        <w:rPr>
          <w:rFonts w:ascii="Times New Roman" w:hAnsi="Times New Roman"/>
          <w:noProof w:val="0"/>
          <w:sz w:val="20"/>
          <w:lang w:val="en-GB"/>
        </w:rPr>
        <w:t>occur</w:t>
      </w:r>
      <w:r w:rsidRPr="00D652C8">
        <w:rPr>
          <w:rFonts w:ascii="Times New Roman" w:hAnsi="Times New Roman"/>
          <w:noProof w:val="0"/>
          <w:sz w:val="20"/>
          <w:lang w:val="en-GB"/>
        </w:rPr>
        <w:t xml:space="preserve"> in deployments of </w:t>
      </w:r>
      <w:r w:rsidR="00D652C8" w:rsidRPr="00D652C8">
        <w:rPr>
          <w:rFonts w:ascii="Times New Roman" w:hAnsi="Times New Roman"/>
          <w:noProof w:val="0"/>
          <w:sz w:val="20"/>
          <w:lang w:val="en-GB"/>
        </w:rPr>
        <w:t>LTE radio</w:t>
      </w:r>
      <w:r w:rsidR="00D652C8">
        <w:rPr>
          <w:rFonts w:ascii="Times New Roman" w:hAnsi="Times New Roman"/>
          <w:noProof w:val="0"/>
          <w:sz w:val="20"/>
          <w:lang w:val="en-GB"/>
        </w:rPr>
        <w:t>, but only occur when introducing NR</w:t>
      </w:r>
      <w:r w:rsidRPr="00D652C8">
        <w:rPr>
          <w:rFonts w:ascii="Times New Roman" w:hAnsi="Times New Roman"/>
          <w:noProof w:val="0"/>
          <w:sz w:val="20"/>
          <w:lang w:val="en-GB"/>
        </w:rPr>
        <w:t>) to suggest that being able to transmit NR L1/2 control channel feedback efficiently on the same carrier as LTE should be given some serious consideration.</w:t>
      </w:r>
    </w:p>
    <w:p w:rsidR="000268AE" w:rsidRDefault="000268AE" w:rsidP="008E09E3">
      <w:pPr>
        <w:pStyle w:val="Header"/>
        <w:jc w:val="both"/>
        <w:rPr>
          <w:rFonts w:ascii="Times New Roman" w:hAnsi="Times New Roman"/>
          <w:b w:val="0"/>
          <w:noProof w:val="0"/>
          <w:sz w:val="20"/>
          <w:lang w:val="en-GB"/>
        </w:rPr>
      </w:pPr>
    </w:p>
    <w:p w:rsidR="00B41677" w:rsidRDefault="00E421AB" w:rsidP="00D652C8">
      <w:pPr>
        <w:pStyle w:val="Heading2"/>
        <w:spacing w:after="120"/>
        <w:ind w:left="705" w:hanging="705"/>
        <w:jc w:val="both"/>
        <w:rPr>
          <w:rFonts w:ascii="Arial" w:hAnsi="Arial" w:cs="Arial"/>
          <w:b w:val="0"/>
          <w:color w:val="auto"/>
        </w:rPr>
      </w:pPr>
      <w:r w:rsidRPr="00E421AB">
        <w:rPr>
          <w:rFonts w:ascii="Arial" w:hAnsi="Arial" w:cs="Arial"/>
          <w:b w:val="0"/>
          <w:color w:val="auto"/>
        </w:rPr>
        <w:t>2.2</w:t>
      </w:r>
      <w:r w:rsidRPr="00E421AB">
        <w:rPr>
          <w:rFonts w:ascii="Arial" w:hAnsi="Arial" w:cs="Arial"/>
          <w:b w:val="0"/>
          <w:color w:val="auto"/>
        </w:rPr>
        <w:tab/>
      </w:r>
      <w:r w:rsidR="00D652C8">
        <w:rPr>
          <w:rFonts w:ascii="Arial" w:hAnsi="Arial" w:cs="Arial"/>
          <w:b w:val="0"/>
          <w:color w:val="auto"/>
        </w:rPr>
        <w:t>Uplink operation of NR L1/L2 control channel feedback on LTE carrier</w:t>
      </w:r>
      <w:r w:rsidR="005828F3">
        <w:rPr>
          <w:rFonts w:ascii="Arial" w:hAnsi="Arial" w:cs="Arial"/>
          <w:b w:val="0"/>
          <w:color w:val="auto"/>
        </w:rPr>
        <w:t xml:space="preserve"> </w:t>
      </w:r>
    </w:p>
    <w:p w:rsidR="00D652C8" w:rsidRDefault="00D652C8" w:rsidP="00D652C8">
      <w:r>
        <w:t xml:space="preserve">Unlike the LTE downlink, the LTE uplink fortunately implicitly allows resource blanking to a </w:t>
      </w:r>
      <w:proofErr w:type="spellStart"/>
      <w:r>
        <w:t>subframe</w:t>
      </w:r>
      <w:proofErr w:type="spellEnd"/>
      <w:r>
        <w:t xml:space="preserve"> or Resource Block level for PUSCH. Therefore it should be quite possible to dynamically reserve some LTE resource to allow the UE to transmit both LTE and NR L1/2 control channel feedback on the same carrier frequency</w:t>
      </w:r>
      <w:r w:rsidR="000C7C46">
        <w:t xml:space="preserve"> in an FDM and/or TDM manner</w:t>
      </w:r>
      <w:r>
        <w:t xml:space="preserve">. Introduction of the LTE short TTI should bring further flexibility to reserve even less time resource in uplink to transmit NR feedback information. </w:t>
      </w:r>
    </w:p>
    <w:p w:rsidR="000C7C46" w:rsidRPr="00D652C8" w:rsidRDefault="000C7C46" w:rsidP="00D652C8">
      <w:r>
        <w:t>Requiring a different numerology to be used for NR uplink and LTE uplink on the same carrier would obviously cause some issues in terms of interference, but RAN1 seems to agree to use a numerology framework that allows alignment to LTE.</w:t>
      </w:r>
    </w:p>
    <w:p w:rsidR="004E27D1" w:rsidRPr="00854BB4" w:rsidRDefault="004E27D1" w:rsidP="008E09E3">
      <w:pPr>
        <w:pStyle w:val="Header"/>
        <w:jc w:val="both"/>
        <w:rPr>
          <w:rFonts w:ascii="Times New Roman" w:hAnsi="Times New Roman"/>
          <w:noProof w:val="0"/>
          <w:sz w:val="20"/>
          <w:lang w:val="en-GB"/>
        </w:rPr>
      </w:pPr>
      <w:r w:rsidRPr="00BC6FCC">
        <w:rPr>
          <w:rFonts w:ascii="Times New Roman" w:hAnsi="Times New Roman"/>
          <w:noProof w:val="0"/>
          <w:sz w:val="20"/>
          <w:u w:val="single"/>
          <w:lang w:val="en-GB"/>
        </w:rPr>
        <w:t>Observation</w:t>
      </w:r>
      <w:r w:rsidR="00BC6FCC" w:rsidRPr="00BC6FCC">
        <w:rPr>
          <w:rFonts w:ascii="Times New Roman" w:hAnsi="Times New Roman"/>
          <w:noProof w:val="0"/>
          <w:sz w:val="20"/>
          <w:u w:val="single"/>
          <w:lang w:val="en-GB"/>
        </w:rPr>
        <w:t xml:space="preserve"> 2</w:t>
      </w:r>
      <w:r w:rsidRPr="00BC6FCC">
        <w:rPr>
          <w:rFonts w:ascii="Times New Roman" w:hAnsi="Times New Roman"/>
          <w:noProof w:val="0"/>
          <w:sz w:val="20"/>
          <w:lang w:val="en-GB"/>
        </w:rPr>
        <w:t xml:space="preserve">: </w:t>
      </w:r>
      <w:r w:rsidR="000C7C46">
        <w:rPr>
          <w:rFonts w:ascii="Times New Roman" w:hAnsi="Times New Roman"/>
          <w:noProof w:val="0"/>
          <w:sz w:val="20"/>
          <w:lang w:val="en-GB"/>
        </w:rPr>
        <w:t>Specification and operation to allow NR L1/2 control channel feedback to operate within the LTE carrier dynamically seems to be quite simple to achieve</w:t>
      </w:r>
      <w:r w:rsidR="0010037F">
        <w:rPr>
          <w:rFonts w:ascii="Times New Roman" w:hAnsi="Times New Roman"/>
          <w:noProof w:val="0"/>
          <w:sz w:val="20"/>
          <w:lang w:val="en-GB"/>
        </w:rPr>
        <w:t>.</w:t>
      </w:r>
    </w:p>
    <w:p w:rsidR="004E27D1" w:rsidRDefault="004E27D1" w:rsidP="008E09E3">
      <w:pPr>
        <w:pStyle w:val="Header"/>
        <w:jc w:val="both"/>
        <w:rPr>
          <w:rFonts w:ascii="Times New Roman" w:hAnsi="Times New Roman"/>
          <w:b w:val="0"/>
          <w:noProof w:val="0"/>
          <w:sz w:val="20"/>
          <w:lang w:val="en-GB"/>
        </w:rPr>
      </w:pPr>
    </w:p>
    <w:p w:rsidR="00986BE4" w:rsidRDefault="004D3D86" w:rsidP="008E09E3">
      <w:pPr>
        <w:pStyle w:val="Heading1"/>
        <w:numPr>
          <w:ilvl w:val="0"/>
          <w:numId w:val="21"/>
        </w:numPr>
        <w:ind w:hanging="720"/>
        <w:jc w:val="both"/>
      </w:pPr>
      <w:r>
        <w:t>Conclusion and proposal</w:t>
      </w:r>
    </w:p>
    <w:p w:rsidR="000C7C46" w:rsidRDefault="004D3D86" w:rsidP="000C7C46">
      <w:r>
        <w:t xml:space="preserve">We believe that there are some deployment complexities and drawbacks in requiring 2 uplink carriers to always be operated with LTE+NR aggregation (DC), and allowing a single uplink carrier to transport both LTE uplink and NR L1/2 control feedback would simplify operation when deploying NR in a new band, and make it no less complicated than deploying LTE radio in that band. We believe this will greatly help to maximise NR take-up in sub-6GHz frequency bands. </w:t>
      </w:r>
    </w:p>
    <w:p w:rsidR="004D3D86" w:rsidRPr="000C7C46" w:rsidRDefault="004D3D86" w:rsidP="000C7C46">
      <w:r>
        <w:lastRenderedPageBreak/>
        <w:t>Therefore we would like RAN1 to study this further, as part of the LTE-NR coexistence work, and consider specifying this capability within Rel-15.</w:t>
      </w:r>
    </w:p>
    <w:p w:rsidR="003F3B33" w:rsidRDefault="003F3B33" w:rsidP="00854BB4">
      <w:pPr>
        <w:pStyle w:val="Header"/>
        <w:tabs>
          <w:tab w:val="left" w:pos="851"/>
        </w:tabs>
        <w:ind w:right="7653"/>
        <w:rPr>
          <w:szCs w:val="22"/>
          <w:lang w:val="en-US"/>
        </w:rPr>
      </w:pPr>
    </w:p>
    <w:sectPr w:rsidR="003F3B3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1418" w:rsidRDefault="00B91418" w:rsidP="004F5952">
      <w:pPr>
        <w:spacing w:after="0"/>
      </w:pPr>
      <w:r>
        <w:separator/>
      </w:r>
    </w:p>
  </w:endnote>
  <w:endnote w:type="continuationSeparator" w:id="0">
    <w:p w:rsidR="00B91418" w:rsidRDefault="00B91418" w:rsidP="004F59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1418" w:rsidRDefault="00B91418" w:rsidP="004F5952">
      <w:pPr>
        <w:spacing w:after="0"/>
      </w:pPr>
      <w:r>
        <w:separator/>
      </w:r>
    </w:p>
  </w:footnote>
  <w:footnote w:type="continuationSeparator" w:id="0">
    <w:p w:rsidR="00B91418" w:rsidRDefault="00B91418" w:rsidP="004F595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nsid w:val="0CBF341E"/>
    <w:multiLevelType w:val="hybridMultilevel"/>
    <w:tmpl w:val="D75EE5D2"/>
    <w:lvl w:ilvl="0" w:tplc="4FFE30CA">
      <w:start w:val="2"/>
      <w:numFmt w:val="bullet"/>
      <w:lvlText w:val="-"/>
      <w:lvlJc w:val="left"/>
      <w:pPr>
        <w:ind w:left="1068" w:hanging="360"/>
      </w:pPr>
      <w:rPr>
        <w:rFonts w:ascii="Times New Roman" w:eastAsia="Times New Roman" w:hAnsi="Times New Roman" w:cs="Times New Roman" w:hint="default"/>
      </w:rPr>
    </w:lvl>
    <w:lvl w:ilvl="1" w:tplc="08090003">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2">
    <w:nsid w:val="0E25666B"/>
    <w:multiLevelType w:val="hybridMultilevel"/>
    <w:tmpl w:val="B0703C04"/>
    <w:lvl w:ilvl="0" w:tplc="137CB8EC">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D8831A7"/>
    <w:multiLevelType w:val="hybridMultilevel"/>
    <w:tmpl w:val="2758D734"/>
    <w:lvl w:ilvl="0" w:tplc="71DED7FE">
      <w:start w:val="1"/>
      <w:numFmt w:val="bullet"/>
      <w:lvlText w:val="•"/>
      <w:lvlJc w:val="left"/>
      <w:pPr>
        <w:tabs>
          <w:tab w:val="num" w:pos="720"/>
        </w:tabs>
        <w:ind w:left="720" w:hanging="360"/>
      </w:pPr>
      <w:rPr>
        <w:rFonts w:ascii="Arial" w:hAnsi="Arial" w:hint="default"/>
      </w:rPr>
    </w:lvl>
    <w:lvl w:ilvl="1" w:tplc="CE1CC222">
      <w:start w:val="152"/>
      <w:numFmt w:val="bullet"/>
      <w:lvlText w:val="–"/>
      <w:lvlJc w:val="left"/>
      <w:pPr>
        <w:tabs>
          <w:tab w:val="num" w:pos="1440"/>
        </w:tabs>
        <w:ind w:left="1440" w:hanging="360"/>
      </w:pPr>
      <w:rPr>
        <w:rFonts w:ascii="Arial" w:hAnsi="Arial" w:hint="default"/>
      </w:rPr>
    </w:lvl>
    <w:lvl w:ilvl="2" w:tplc="1E48FFCE">
      <w:start w:val="152"/>
      <w:numFmt w:val="bullet"/>
      <w:lvlText w:val="•"/>
      <w:lvlJc w:val="left"/>
      <w:pPr>
        <w:tabs>
          <w:tab w:val="num" w:pos="2160"/>
        </w:tabs>
        <w:ind w:left="2160" w:hanging="360"/>
      </w:pPr>
      <w:rPr>
        <w:rFonts w:ascii="Arial" w:hAnsi="Arial" w:hint="default"/>
      </w:rPr>
    </w:lvl>
    <w:lvl w:ilvl="3" w:tplc="480C8018" w:tentative="1">
      <w:start w:val="1"/>
      <w:numFmt w:val="bullet"/>
      <w:lvlText w:val="•"/>
      <w:lvlJc w:val="left"/>
      <w:pPr>
        <w:tabs>
          <w:tab w:val="num" w:pos="2880"/>
        </w:tabs>
        <w:ind w:left="2880" w:hanging="360"/>
      </w:pPr>
      <w:rPr>
        <w:rFonts w:ascii="Arial" w:hAnsi="Arial" w:hint="default"/>
      </w:rPr>
    </w:lvl>
    <w:lvl w:ilvl="4" w:tplc="B686C0A4" w:tentative="1">
      <w:start w:val="1"/>
      <w:numFmt w:val="bullet"/>
      <w:lvlText w:val="•"/>
      <w:lvlJc w:val="left"/>
      <w:pPr>
        <w:tabs>
          <w:tab w:val="num" w:pos="3600"/>
        </w:tabs>
        <w:ind w:left="3600" w:hanging="360"/>
      </w:pPr>
      <w:rPr>
        <w:rFonts w:ascii="Arial" w:hAnsi="Arial" w:hint="default"/>
      </w:rPr>
    </w:lvl>
    <w:lvl w:ilvl="5" w:tplc="CEAEA6E2" w:tentative="1">
      <w:start w:val="1"/>
      <w:numFmt w:val="bullet"/>
      <w:lvlText w:val="•"/>
      <w:lvlJc w:val="left"/>
      <w:pPr>
        <w:tabs>
          <w:tab w:val="num" w:pos="4320"/>
        </w:tabs>
        <w:ind w:left="4320" w:hanging="360"/>
      </w:pPr>
      <w:rPr>
        <w:rFonts w:ascii="Arial" w:hAnsi="Arial" w:hint="default"/>
      </w:rPr>
    </w:lvl>
    <w:lvl w:ilvl="6" w:tplc="D13EB410" w:tentative="1">
      <w:start w:val="1"/>
      <w:numFmt w:val="bullet"/>
      <w:lvlText w:val="•"/>
      <w:lvlJc w:val="left"/>
      <w:pPr>
        <w:tabs>
          <w:tab w:val="num" w:pos="5040"/>
        </w:tabs>
        <w:ind w:left="5040" w:hanging="360"/>
      </w:pPr>
      <w:rPr>
        <w:rFonts w:ascii="Arial" w:hAnsi="Arial" w:hint="default"/>
      </w:rPr>
    </w:lvl>
    <w:lvl w:ilvl="7" w:tplc="52E80B20" w:tentative="1">
      <w:start w:val="1"/>
      <w:numFmt w:val="bullet"/>
      <w:lvlText w:val="•"/>
      <w:lvlJc w:val="left"/>
      <w:pPr>
        <w:tabs>
          <w:tab w:val="num" w:pos="5760"/>
        </w:tabs>
        <w:ind w:left="5760" w:hanging="360"/>
      </w:pPr>
      <w:rPr>
        <w:rFonts w:ascii="Arial" w:hAnsi="Arial" w:hint="default"/>
      </w:rPr>
    </w:lvl>
    <w:lvl w:ilvl="8" w:tplc="0C187532" w:tentative="1">
      <w:start w:val="1"/>
      <w:numFmt w:val="bullet"/>
      <w:lvlText w:val="•"/>
      <w:lvlJc w:val="left"/>
      <w:pPr>
        <w:tabs>
          <w:tab w:val="num" w:pos="6480"/>
        </w:tabs>
        <w:ind w:left="6480" w:hanging="360"/>
      </w:pPr>
      <w:rPr>
        <w:rFonts w:ascii="Arial" w:hAnsi="Arial" w:hint="default"/>
      </w:rPr>
    </w:lvl>
  </w:abstractNum>
  <w:abstractNum w:abstractNumId="4">
    <w:nsid w:val="1E211DA2"/>
    <w:multiLevelType w:val="hybridMultilevel"/>
    <w:tmpl w:val="4B58FE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6">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26CC1C51"/>
    <w:multiLevelType w:val="hybridMultilevel"/>
    <w:tmpl w:val="090C7302"/>
    <w:lvl w:ilvl="0" w:tplc="4FFE30C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D7B09DE"/>
    <w:multiLevelType w:val="hybridMultilevel"/>
    <w:tmpl w:val="3F5AC57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32825FCB"/>
    <w:multiLevelType w:val="hybridMultilevel"/>
    <w:tmpl w:val="BE321782"/>
    <w:lvl w:ilvl="0" w:tplc="21E24D1C">
      <w:start w:val="2"/>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7E803A0"/>
    <w:multiLevelType w:val="hybridMultilevel"/>
    <w:tmpl w:val="7A3A9232"/>
    <w:lvl w:ilvl="0" w:tplc="4FFE30CA">
      <w:start w:val="2"/>
      <w:numFmt w:val="bullet"/>
      <w:lvlText w:val="-"/>
      <w:lvlJc w:val="left"/>
      <w:pPr>
        <w:ind w:left="720" w:hanging="360"/>
      </w:pPr>
      <w:rPr>
        <w:rFonts w:ascii="Times New Roman" w:eastAsia="Times New Roman" w:hAnsi="Times New Roman" w:cs="Times New Roman"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3AA2260B"/>
    <w:multiLevelType w:val="hybridMultilevel"/>
    <w:tmpl w:val="44B079B4"/>
    <w:lvl w:ilvl="0" w:tplc="4FFE30CA">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CF36843"/>
    <w:multiLevelType w:val="hybridMultilevel"/>
    <w:tmpl w:val="525C0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DFD4948"/>
    <w:multiLevelType w:val="hybridMultilevel"/>
    <w:tmpl w:val="380C8B32"/>
    <w:lvl w:ilvl="0" w:tplc="08090001">
      <w:start w:val="1"/>
      <w:numFmt w:val="bullet"/>
      <w:lvlText w:val=""/>
      <w:lvlJc w:val="left"/>
      <w:pPr>
        <w:ind w:left="816" w:hanging="360"/>
      </w:pPr>
      <w:rPr>
        <w:rFonts w:ascii="Symbol" w:hAnsi="Symbol" w:hint="default"/>
      </w:rPr>
    </w:lvl>
    <w:lvl w:ilvl="1" w:tplc="08090003" w:tentative="1">
      <w:start w:val="1"/>
      <w:numFmt w:val="bullet"/>
      <w:lvlText w:val="o"/>
      <w:lvlJc w:val="left"/>
      <w:pPr>
        <w:ind w:left="1536" w:hanging="360"/>
      </w:pPr>
      <w:rPr>
        <w:rFonts w:ascii="Courier New" w:hAnsi="Courier New" w:cs="Courier New" w:hint="default"/>
      </w:rPr>
    </w:lvl>
    <w:lvl w:ilvl="2" w:tplc="08090005" w:tentative="1">
      <w:start w:val="1"/>
      <w:numFmt w:val="bullet"/>
      <w:lvlText w:val=""/>
      <w:lvlJc w:val="left"/>
      <w:pPr>
        <w:ind w:left="2256" w:hanging="360"/>
      </w:pPr>
      <w:rPr>
        <w:rFonts w:ascii="Wingdings" w:hAnsi="Wingdings" w:hint="default"/>
      </w:rPr>
    </w:lvl>
    <w:lvl w:ilvl="3" w:tplc="08090001" w:tentative="1">
      <w:start w:val="1"/>
      <w:numFmt w:val="bullet"/>
      <w:lvlText w:val=""/>
      <w:lvlJc w:val="left"/>
      <w:pPr>
        <w:ind w:left="2976" w:hanging="360"/>
      </w:pPr>
      <w:rPr>
        <w:rFonts w:ascii="Symbol" w:hAnsi="Symbol" w:hint="default"/>
      </w:rPr>
    </w:lvl>
    <w:lvl w:ilvl="4" w:tplc="08090003" w:tentative="1">
      <w:start w:val="1"/>
      <w:numFmt w:val="bullet"/>
      <w:lvlText w:val="o"/>
      <w:lvlJc w:val="left"/>
      <w:pPr>
        <w:ind w:left="3696" w:hanging="360"/>
      </w:pPr>
      <w:rPr>
        <w:rFonts w:ascii="Courier New" w:hAnsi="Courier New" w:cs="Courier New" w:hint="default"/>
      </w:rPr>
    </w:lvl>
    <w:lvl w:ilvl="5" w:tplc="08090005" w:tentative="1">
      <w:start w:val="1"/>
      <w:numFmt w:val="bullet"/>
      <w:lvlText w:val=""/>
      <w:lvlJc w:val="left"/>
      <w:pPr>
        <w:ind w:left="4416" w:hanging="360"/>
      </w:pPr>
      <w:rPr>
        <w:rFonts w:ascii="Wingdings" w:hAnsi="Wingdings" w:hint="default"/>
      </w:rPr>
    </w:lvl>
    <w:lvl w:ilvl="6" w:tplc="08090001" w:tentative="1">
      <w:start w:val="1"/>
      <w:numFmt w:val="bullet"/>
      <w:lvlText w:val=""/>
      <w:lvlJc w:val="left"/>
      <w:pPr>
        <w:ind w:left="5136" w:hanging="360"/>
      </w:pPr>
      <w:rPr>
        <w:rFonts w:ascii="Symbol" w:hAnsi="Symbol" w:hint="default"/>
      </w:rPr>
    </w:lvl>
    <w:lvl w:ilvl="7" w:tplc="08090003" w:tentative="1">
      <w:start w:val="1"/>
      <w:numFmt w:val="bullet"/>
      <w:lvlText w:val="o"/>
      <w:lvlJc w:val="left"/>
      <w:pPr>
        <w:ind w:left="5856" w:hanging="360"/>
      </w:pPr>
      <w:rPr>
        <w:rFonts w:ascii="Courier New" w:hAnsi="Courier New" w:cs="Courier New" w:hint="default"/>
      </w:rPr>
    </w:lvl>
    <w:lvl w:ilvl="8" w:tplc="08090005" w:tentative="1">
      <w:start w:val="1"/>
      <w:numFmt w:val="bullet"/>
      <w:lvlText w:val=""/>
      <w:lvlJc w:val="left"/>
      <w:pPr>
        <w:ind w:left="6576" w:hanging="360"/>
      </w:pPr>
      <w:rPr>
        <w:rFonts w:ascii="Wingdings" w:hAnsi="Wingdings" w:hint="default"/>
      </w:rPr>
    </w:lvl>
  </w:abstractNum>
  <w:abstractNum w:abstractNumId="14">
    <w:nsid w:val="50B31EC7"/>
    <w:multiLevelType w:val="hybridMultilevel"/>
    <w:tmpl w:val="9266F8C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4E225DE"/>
    <w:multiLevelType w:val="hybridMultilevel"/>
    <w:tmpl w:val="3D2076A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DB64D8E"/>
    <w:multiLevelType w:val="hybridMultilevel"/>
    <w:tmpl w:val="E16A5BE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5FCF562F"/>
    <w:multiLevelType w:val="hybridMultilevel"/>
    <w:tmpl w:val="661E25FC"/>
    <w:lvl w:ilvl="0" w:tplc="D0D4D52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60CF4139"/>
    <w:multiLevelType w:val="hybridMultilevel"/>
    <w:tmpl w:val="04F689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5DC7BF0"/>
    <w:multiLevelType w:val="hybridMultilevel"/>
    <w:tmpl w:val="8A5ED6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94B2AD2"/>
    <w:multiLevelType w:val="hybridMultilevel"/>
    <w:tmpl w:val="D28A8E80"/>
    <w:lvl w:ilvl="0" w:tplc="4FFE30C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6FC949B2"/>
    <w:multiLevelType w:val="hybridMultilevel"/>
    <w:tmpl w:val="AD062D4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752F6471"/>
    <w:multiLevelType w:val="hybridMultilevel"/>
    <w:tmpl w:val="1B328EF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7EE164AC"/>
    <w:multiLevelType w:val="hybridMultilevel"/>
    <w:tmpl w:val="1960CB42"/>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7F2F7E47"/>
    <w:multiLevelType w:val="hybridMultilevel"/>
    <w:tmpl w:val="F0B0290C"/>
    <w:lvl w:ilvl="0" w:tplc="89447C2A">
      <w:numFmt w:val="bullet"/>
      <w:lvlText w:val="•"/>
      <w:lvlJc w:val="left"/>
      <w:pPr>
        <w:ind w:left="1068" w:hanging="708"/>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FD44DE7"/>
    <w:multiLevelType w:val="hybridMultilevel"/>
    <w:tmpl w:val="DFD80494"/>
    <w:lvl w:ilvl="0" w:tplc="0C0A0011">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1"/>
  </w:num>
  <w:num w:numId="2">
    <w:abstractNumId w:val="12"/>
  </w:num>
  <w:num w:numId="3">
    <w:abstractNumId w:val="24"/>
  </w:num>
  <w:num w:numId="4">
    <w:abstractNumId w:val="22"/>
  </w:num>
  <w:num w:numId="5">
    <w:abstractNumId w:val="14"/>
  </w:num>
  <w:num w:numId="6">
    <w:abstractNumId w:val="17"/>
  </w:num>
  <w:num w:numId="7">
    <w:abstractNumId w:val="4"/>
  </w:num>
  <w:num w:numId="8">
    <w:abstractNumId w:val="5"/>
  </w:num>
  <w:num w:numId="9">
    <w:abstractNumId w:val="13"/>
  </w:num>
  <w:num w:numId="10">
    <w:abstractNumId w:val="6"/>
  </w:num>
  <w:num w:numId="11">
    <w:abstractNumId w:val="15"/>
  </w:num>
  <w:num w:numId="12">
    <w:abstractNumId w:val="7"/>
  </w:num>
  <w:num w:numId="13">
    <w:abstractNumId w:val="20"/>
  </w:num>
  <w:num w:numId="14">
    <w:abstractNumId w:val="21"/>
  </w:num>
  <w:num w:numId="15">
    <w:abstractNumId w:val="0"/>
  </w:num>
  <w:num w:numId="16">
    <w:abstractNumId w:val="10"/>
  </w:num>
  <w:num w:numId="17">
    <w:abstractNumId w:val="8"/>
  </w:num>
  <w:num w:numId="18">
    <w:abstractNumId w:val="19"/>
  </w:num>
  <w:num w:numId="19">
    <w:abstractNumId w:val="1"/>
  </w:num>
  <w:num w:numId="20">
    <w:abstractNumId w:val="18"/>
  </w:num>
  <w:num w:numId="21">
    <w:abstractNumId w:val="2"/>
  </w:num>
  <w:num w:numId="22">
    <w:abstractNumId w:val="23"/>
  </w:num>
  <w:num w:numId="23">
    <w:abstractNumId w:val="9"/>
  </w:num>
  <w:num w:numId="24">
    <w:abstractNumId w:val="16"/>
  </w:num>
  <w:num w:numId="25">
    <w:abstractNumId w:val="25"/>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1B9"/>
    <w:rsid w:val="000268AE"/>
    <w:rsid w:val="000355FB"/>
    <w:rsid w:val="00051147"/>
    <w:rsid w:val="00057895"/>
    <w:rsid w:val="00066C73"/>
    <w:rsid w:val="000733D1"/>
    <w:rsid w:val="00081259"/>
    <w:rsid w:val="00085744"/>
    <w:rsid w:val="000C61FA"/>
    <w:rsid w:val="000C7C46"/>
    <w:rsid w:val="000F1FCC"/>
    <w:rsid w:val="000F3115"/>
    <w:rsid w:val="0010037F"/>
    <w:rsid w:val="0011629F"/>
    <w:rsid w:val="00155874"/>
    <w:rsid w:val="001624D9"/>
    <w:rsid w:val="00174E64"/>
    <w:rsid w:val="0017649B"/>
    <w:rsid w:val="001820E1"/>
    <w:rsid w:val="00191E5F"/>
    <w:rsid w:val="001941A9"/>
    <w:rsid w:val="001A54F8"/>
    <w:rsid w:val="001A733D"/>
    <w:rsid w:val="001B1B6D"/>
    <w:rsid w:val="001C00D8"/>
    <w:rsid w:val="001C34AC"/>
    <w:rsid w:val="001C4383"/>
    <w:rsid w:val="001C7E04"/>
    <w:rsid w:val="001D01B9"/>
    <w:rsid w:val="001D3D2B"/>
    <w:rsid w:val="001E5CBE"/>
    <w:rsid w:val="001F67BE"/>
    <w:rsid w:val="002102B9"/>
    <w:rsid w:val="0022081F"/>
    <w:rsid w:val="002440C0"/>
    <w:rsid w:val="00245A21"/>
    <w:rsid w:val="002476AC"/>
    <w:rsid w:val="0027248F"/>
    <w:rsid w:val="00294454"/>
    <w:rsid w:val="002A58A2"/>
    <w:rsid w:val="002A7140"/>
    <w:rsid w:val="002B324B"/>
    <w:rsid w:val="002C1A42"/>
    <w:rsid w:val="0030055C"/>
    <w:rsid w:val="003015DE"/>
    <w:rsid w:val="00345F8D"/>
    <w:rsid w:val="0035672D"/>
    <w:rsid w:val="003913FA"/>
    <w:rsid w:val="003A738E"/>
    <w:rsid w:val="003B3684"/>
    <w:rsid w:val="003B5B82"/>
    <w:rsid w:val="003C0E5F"/>
    <w:rsid w:val="003F3B33"/>
    <w:rsid w:val="003F4A3A"/>
    <w:rsid w:val="003F4F1B"/>
    <w:rsid w:val="0044250C"/>
    <w:rsid w:val="004657DB"/>
    <w:rsid w:val="00480313"/>
    <w:rsid w:val="00495AC8"/>
    <w:rsid w:val="004A76D1"/>
    <w:rsid w:val="004B07E8"/>
    <w:rsid w:val="004D3D86"/>
    <w:rsid w:val="004D434D"/>
    <w:rsid w:val="004E27D1"/>
    <w:rsid w:val="004F43CB"/>
    <w:rsid w:val="004F5952"/>
    <w:rsid w:val="00556578"/>
    <w:rsid w:val="005828F3"/>
    <w:rsid w:val="005C5538"/>
    <w:rsid w:val="005E0076"/>
    <w:rsid w:val="005E5D7C"/>
    <w:rsid w:val="006022D8"/>
    <w:rsid w:val="0060598B"/>
    <w:rsid w:val="00626780"/>
    <w:rsid w:val="00643273"/>
    <w:rsid w:val="00651673"/>
    <w:rsid w:val="00655BDC"/>
    <w:rsid w:val="0067407B"/>
    <w:rsid w:val="0067528D"/>
    <w:rsid w:val="00677A11"/>
    <w:rsid w:val="00693727"/>
    <w:rsid w:val="006D0F26"/>
    <w:rsid w:val="006D1ABB"/>
    <w:rsid w:val="006D7BB2"/>
    <w:rsid w:val="006E2AD1"/>
    <w:rsid w:val="006F7C6B"/>
    <w:rsid w:val="00705D6F"/>
    <w:rsid w:val="007210BC"/>
    <w:rsid w:val="007638DC"/>
    <w:rsid w:val="007717D0"/>
    <w:rsid w:val="00777789"/>
    <w:rsid w:val="007A3F06"/>
    <w:rsid w:val="007A62B0"/>
    <w:rsid w:val="007B54B7"/>
    <w:rsid w:val="007B7F9F"/>
    <w:rsid w:val="007D4BA7"/>
    <w:rsid w:val="007D4F0E"/>
    <w:rsid w:val="007D51E5"/>
    <w:rsid w:val="00807FDD"/>
    <w:rsid w:val="008112E1"/>
    <w:rsid w:val="0081382B"/>
    <w:rsid w:val="00817ADC"/>
    <w:rsid w:val="00821D8D"/>
    <w:rsid w:val="00834A5D"/>
    <w:rsid w:val="00854BB4"/>
    <w:rsid w:val="00875ED1"/>
    <w:rsid w:val="00883E17"/>
    <w:rsid w:val="008841BB"/>
    <w:rsid w:val="008B4CB6"/>
    <w:rsid w:val="008E09E3"/>
    <w:rsid w:val="009601F9"/>
    <w:rsid w:val="00986BE4"/>
    <w:rsid w:val="00993586"/>
    <w:rsid w:val="009A03EC"/>
    <w:rsid w:val="009B61B7"/>
    <w:rsid w:val="009D282D"/>
    <w:rsid w:val="009D5D80"/>
    <w:rsid w:val="00A02759"/>
    <w:rsid w:val="00A22B21"/>
    <w:rsid w:val="00A27722"/>
    <w:rsid w:val="00A53021"/>
    <w:rsid w:val="00A77581"/>
    <w:rsid w:val="00A80B13"/>
    <w:rsid w:val="00A819B0"/>
    <w:rsid w:val="00A840B6"/>
    <w:rsid w:val="00A92A69"/>
    <w:rsid w:val="00AC3D08"/>
    <w:rsid w:val="00AC7E9E"/>
    <w:rsid w:val="00AD2C5B"/>
    <w:rsid w:val="00AD4594"/>
    <w:rsid w:val="00AE2D0A"/>
    <w:rsid w:val="00B068DC"/>
    <w:rsid w:val="00B076BB"/>
    <w:rsid w:val="00B34A7B"/>
    <w:rsid w:val="00B41677"/>
    <w:rsid w:val="00B47D6E"/>
    <w:rsid w:val="00B77726"/>
    <w:rsid w:val="00B91418"/>
    <w:rsid w:val="00B91724"/>
    <w:rsid w:val="00BA4B9A"/>
    <w:rsid w:val="00BB794E"/>
    <w:rsid w:val="00BC3884"/>
    <w:rsid w:val="00BC6FCC"/>
    <w:rsid w:val="00BF564D"/>
    <w:rsid w:val="00C2184D"/>
    <w:rsid w:val="00C236A0"/>
    <w:rsid w:val="00C85518"/>
    <w:rsid w:val="00C90D12"/>
    <w:rsid w:val="00CA5880"/>
    <w:rsid w:val="00CD539D"/>
    <w:rsid w:val="00CE45D0"/>
    <w:rsid w:val="00D12135"/>
    <w:rsid w:val="00D202B4"/>
    <w:rsid w:val="00D652C8"/>
    <w:rsid w:val="00D908FA"/>
    <w:rsid w:val="00DD0FAA"/>
    <w:rsid w:val="00DD498B"/>
    <w:rsid w:val="00DF1A3B"/>
    <w:rsid w:val="00E077CE"/>
    <w:rsid w:val="00E2343D"/>
    <w:rsid w:val="00E421AB"/>
    <w:rsid w:val="00E56839"/>
    <w:rsid w:val="00E5694D"/>
    <w:rsid w:val="00E66E8A"/>
    <w:rsid w:val="00E70DFF"/>
    <w:rsid w:val="00E75DD7"/>
    <w:rsid w:val="00E76D42"/>
    <w:rsid w:val="00EB0C8B"/>
    <w:rsid w:val="00EC2EDB"/>
    <w:rsid w:val="00EC4D07"/>
    <w:rsid w:val="00ED29F0"/>
    <w:rsid w:val="00EE3FCB"/>
    <w:rsid w:val="00EE5F73"/>
    <w:rsid w:val="00F16B23"/>
    <w:rsid w:val="00F46A8B"/>
    <w:rsid w:val="00F617E4"/>
    <w:rsid w:val="00F93DFA"/>
    <w:rsid w:val="00FA2F98"/>
    <w:rsid w:val="00FB007B"/>
    <w:rsid w:val="00FC3BB3"/>
    <w:rsid w:val="00FC7FF3"/>
    <w:rsid w:val="00FE3B5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1B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D01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fr-FR"/>
    </w:rPr>
  </w:style>
  <w:style w:type="paragraph" w:styleId="Heading2">
    <w:name w:val="heading 2"/>
    <w:basedOn w:val="Normal"/>
    <w:next w:val="Normal"/>
    <w:link w:val="Heading2Char"/>
    <w:uiPriority w:val="9"/>
    <w:unhideWhenUsed/>
    <w:qFormat/>
    <w:rsid w:val="00C218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41677"/>
    <w:pPr>
      <w:keepNext/>
      <w:keepLines/>
      <w:spacing w:before="200" w:after="120"/>
      <w:outlineLvl w:val="2"/>
    </w:pPr>
    <w:rPr>
      <w:rFonts w:ascii="Arial" w:eastAsiaTheme="majorEastAsia" w:hAnsi="Arial" w:cstheme="majorBidi"/>
      <w:bCs/>
      <w:sz w:val="22"/>
    </w:rPr>
  </w:style>
  <w:style w:type="paragraph" w:styleId="Heading4">
    <w:name w:val="heading 4"/>
    <w:basedOn w:val="Normal"/>
    <w:next w:val="Normal"/>
    <w:link w:val="Heading4Char"/>
    <w:uiPriority w:val="9"/>
    <w:unhideWhenUsed/>
    <w:qFormat/>
    <w:rsid w:val="00B41677"/>
    <w:pPr>
      <w:keepNext/>
      <w:keepLines/>
      <w:spacing w:before="200" w:after="120"/>
      <w:outlineLvl w:val="3"/>
    </w:pPr>
    <w:rPr>
      <w:rFonts w:ascii="Arial" w:eastAsiaTheme="majorEastAsia" w:hAnsi="Arial" w:cstheme="majorBidi"/>
      <w:bCs/>
      <w:iCs/>
      <w:sz w:val="22"/>
    </w:rPr>
  </w:style>
  <w:style w:type="paragraph" w:styleId="Heading9">
    <w:name w:val="heading 9"/>
    <w:basedOn w:val="Normal"/>
    <w:next w:val="Normal"/>
    <w:link w:val="Heading9Char"/>
    <w:uiPriority w:val="9"/>
    <w:semiHidden/>
    <w:unhideWhenUsed/>
    <w:qFormat/>
    <w:rsid w:val="003F3B3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01B9"/>
    <w:rPr>
      <w:rFonts w:asciiTheme="majorHAnsi" w:eastAsiaTheme="majorEastAsia" w:hAnsiTheme="majorHAnsi" w:cstheme="majorBidi"/>
      <w:b/>
      <w:bCs/>
      <w:color w:val="365F91" w:themeColor="accent1" w:themeShade="BF"/>
      <w:sz w:val="28"/>
      <w:szCs w:val="28"/>
      <w:lang w:val="en-GB" w:eastAsia="fr-F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01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01B9"/>
    <w:rPr>
      <w:rFonts w:ascii="Arial" w:eastAsia="Times New Roman" w:hAnsi="Arial" w:cs="Times New Roman"/>
      <w:b/>
      <w:noProof/>
      <w:sz w:val="18"/>
      <w:szCs w:val="20"/>
      <w:lang w:val="fr-FR" w:eastAsia="fr-FR"/>
    </w:rPr>
  </w:style>
  <w:style w:type="paragraph" w:customStyle="1" w:styleId="CRCoverPage">
    <w:name w:val="CR Cover Page"/>
    <w:link w:val="CRCoverPageChar"/>
    <w:rsid w:val="001D01B9"/>
    <w:pPr>
      <w:spacing w:after="120" w:line="240" w:lineRule="auto"/>
    </w:pPr>
    <w:rPr>
      <w:rFonts w:ascii="Arial" w:eastAsia="Times New Roman" w:hAnsi="Arial" w:cs="Times New Roman"/>
      <w:sz w:val="20"/>
      <w:szCs w:val="20"/>
      <w:lang w:val="en-GB"/>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D01B9"/>
    <w:rPr>
      <w:rFonts w:ascii="Arial" w:eastAsia="Times New Roman" w:hAnsi="Arial" w:cs="Times New Roman"/>
      <w:sz w:val="36"/>
      <w:szCs w:val="20"/>
      <w:lang w:val="en-GB" w:eastAsia="fr-FR"/>
    </w:rPr>
  </w:style>
  <w:style w:type="character" w:customStyle="1" w:styleId="CRCoverPageChar">
    <w:name w:val="CR Cover Page Char"/>
    <w:link w:val="CRCoverPage"/>
    <w:rsid w:val="001D01B9"/>
    <w:rPr>
      <w:rFonts w:ascii="Arial" w:eastAsia="Times New Roman" w:hAnsi="Arial" w:cs="Times New Roman"/>
      <w:sz w:val="20"/>
      <w:szCs w:val="20"/>
      <w:lang w:val="en-GB"/>
    </w:rPr>
  </w:style>
  <w:style w:type="paragraph" w:styleId="ListParagraph">
    <w:name w:val="List Paragraph"/>
    <w:basedOn w:val="Normal"/>
    <w:uiPriority w:val="34"/>
    <w:qFormat/>
    <w:rsid w:val="00CD539D"/>
    <w:pPr>
      <w:ind w:left="720"/>
      <w:contextualSpacing/>
    </w:pPr>
  </w:style>
  <w:style w:type="paragraph" w:styleId="BalloonText">
    <w:name w:val="Balloon Text"/>
    <w:basedOn w:val="Normal"/>
    <w:link w:val="BalloonTextChar"/>
    <w:uiPriority w:val="99"/>
    <w:semiHidden/>
    <w:unhideWhenUsed/>
    <w:rsid w:val="008B4CB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CB6"/>
    <w:rPr>
      <w:rFonts w:ascii="Tahoma" w:eastAsia="Times New Roman" w:hAnsi="Tahoma" w:cs="Tahoma"/>
      <w:sz w:val="16"/>
      <w:szCs w:val="16"/>
      <w:lang w:val="en-GB" w:eastAsia="fr-FR"/>
    </w:rPr>
  </w:style>
  <w:style w:type="character" w:customStyle="1" w:styleId="Heading2Char">
    <w:name w:val="Heading 2 Char"/>
    <w:basedOn w:val="DefaultParagraphFont"/>
    <w:link w:val="Heading2"/>
    <w:uiPriority w:val="9"/>
    <w:rsid w:val="00C2184D"/>
    <w:rPr>
      <w:rFonts w:asciiTheme="majorHAnsi" w:eastAsiaTheme="majorEastAsia" w:hAnsiTheme="majorHAnsi" w:cstheme="majorBidi"/>
      <w:b/>
      <w:bCs/>
      <w:color w:val="4F81BD" w:themeColor="accent1"/>
      <w:sz w:val="26"/>
      <w:szCs w:val="26"/>
      <w:lang w:val="en-GB" w:eastAsia="fr-FR"/>
    </w:rPr>
  </w:style>
  <w:style w:type="character" w:customStyle="1" w:styleId="Heading9Char">
    <w:name w:val="Heading 9 Char"/>
    <w:basedOn w:val="DefaultParagraphFont"/>
    <w:link w:val="Heading9"/>
    <w:uiPriority w:val="9"/>
    <w:semiHidden/>
    <w:rsid w:val="003F3B33"/>
    <w:rPr>
      <w:rFonts w:asciiTheme="majorHAnsi" w:eastAsiaTheme="majorEastAsia" w:hAnsiTheme="majorHAnsi" w:cstheme="majorBidi"/>
      <w:i/>
      <w:iCs/>
      <w:color w:val="404040" w:themeColor="text1" w:themeTint="BF"/>
      <w:sz w:val="20"/>
      <w:szCs w:val="20"/>
      <w:lang w:val="en-GB" w:eastAsia="fr-FR"/>
    </w:rPr>
  </w:style>
  <w:style w:type="paragraph" w:customStyle="1" w:styleId="TH">
    <w:name w:val="TH"/>
    <w:basedOn w:val="Normal"/>
    <w:link w:val="THChar"/>
    <w:rsid w:val="003F3B3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3F3B33"/>
    <w:rPr>
      <w:rFonts w:ascii="Arial" w:eastAsia="Malgun Gothic" w:hAnsi="Arial" w:cs="Times New Roman"/>
      <w:b/>
      <w:sz w:val="20"/>
      <w:szCs w:val="20"/>
      <w:lang w:val="en-GB"/>
    </w:rPr>
  </w:style>
  <w:style w:type="paragraph" w:customStyle="1" w:styleId="TF">
    <w:name w:val="TF"/>
    <w:basedOn w:val="TH"/>
    <w:rsid w:val="00AD4594"/>
    <w:pPr>
      <w:keepNext w:val="0"/>
      <w:spacing w:before="0" w:after="240"/>
    </w:pPr>
    <w:rPr>
      <w:rFonts w:eastAsia="SimSun"/>
    </w:rPr>
  </w:style>
  <w:style w:type="paragraph" w:styleId="Footer">
    <w:name w:val="footer"/>
    <w:basedOn w:val="Normal"/>
    <w:link w:val="FooterChar"/>
    <w:uiPriority w:val="99"/>
    <w:unhideWhenUsed/>
    <w:rsid w:val="004F5952"/>
    <w:pPr>
      <w:tabs>
        <w:tab w:val="center" w:pos="4252"/>
        <w:tab w:val="right" w:pos="8504"/>
      </w:tabs>
      <w:spacing w:after="0"/>
    </w:pPr>
  </w:style>
  <w:style w:type="character" w:customStyle="1" w:styleId="FooterChar">
    <w:name w:val="Footer Char"/>
    <w:basedOn w:val="DefaultParagraphFont"/>
    <w:link w:val="Footer"/>
    <w:uiPriority w:val="99"/>
    <w:rsid w:val="004F5952"/>
    <w:rPr>
      <w:rFonts w:ascii="Times New Roman" w:eastAsia="Times New Roman" w:hAnsi="Times New Roman" w:cs="Times New Roman"/>
      <w:sz w:val="20"/>
      <w:szCs w:val="20"/>
      <w:lang w:val="en-GB" w:eastAsia="fr-FR"/>
    </w:rPr>
  </w:style>
  <w:style w:type="table" w:styleId="TableGrid">
    <w:name w:val="Table Grid"/>
    <w:basedOn w:val="TableNormal"/>
    <w:uiPriority w:val="59"/>
    <w:rsid w:val="006D7BB2"/>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D7BB2"/>
    <w:pPr>
      <w:overflowPunct/>
      <w:autoSpaceDE/>
      <w:autoSpaceDN/>
      <w:adjustRightInd/>
      <w:spacing w:after="0"/>
      <w:textAlignment w:val="auto"/>
    </w:pPr>
    <w:rPr>
      <w:rFonts w:asciiTheme="minorHAnsi" w:eastAsiaTheme="minorHAnsi" w:hAnsiTheme="minorHAnsi" w:cstheme="minorBidi"/>
      <w:lang w:eastAsia="en-US"/>
    </w:rPr>
  </w:style>
  <w:style w:type="character" w:customStyle="1" w:styleId="FootnoteTextChar">
    <w:name w:val="Footnote Text Char"/>
    <w:basedOn w:val="DefaultParagraphFont"/>
    <w:link w:val="FootnoteText"/>
    <w:uiPriority w:val="99"/>
    <w:semiHidden/>
    <w:rsid w:val="006D7BB2"/>
    <w:rPr>
      <w:sz w:val="20"/>
      <w:szCs w:val="20"/>
      <w:lang w:val="en-GB"/>
    </w:rPr>
  </w:style>
  <w:style w:type="character" w:styleId="FootnoteReference">
    <w:name w:val="footnote reference"/>
    <w:basedOn w:val="DefaultParagraphFont"/>
    <w:uiPriority w:val="99"/>
    <w:semiHidden/>
    <w:unhideWhenUsed/>
    <w:rsid w:val="006D7BB2"/>
    <w:rPr>
      <w:vertAlign w:val="superscript"/>
    </w:rPr>
  </w:style>
  <w:style w:type="character" w:styleId="PlaceholderText">
    <w:name w:val="Placeholder Text"/>
    <w:basedOn w:val="DefaultParagraphFont"/>
    <w:uiPriority w:val="99"/>
    <w:semiHidden/>
    <w:rsid w:val="00FB007B"/>
    <w:rPr>
      <w:color w:val="808080"/>
    </w:rPr>
  </w:style>
  <w:style w:type="paragraph" w:customStyle="1" w:styleId="TdocHeader2">
    <w:name w:val="Tdoc_Header_2"/>
    <w:basedOn w:val="Normal"/>
    <w:rsid w:val="007A3F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Doc-text2">
    <w:name w:val="Doc-text2"/>
    <w:basedOn w:val="Normal"/>
    <w:link w:val="Doc-text2Char"/>
    <w:qFormat/>
    <w:rsid w:val="007717D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7717D0"/>
    <w:rPr>
      <w:rFonts w:ascii="Arial" w:eastAsia="MS Mincho" w:hAnsi="Arial" w:cs="Times New Roman"/>
      <w:sz w:val="20"/>
      <w:szCs w:val="24"/>
      <w:lang w:val="en-GB" w:eastAsia="en-GB"/>
    </w:rPr>
  </w:style>
  <w:style w:type="character" w:customStyle="1" w:styleId="Heading3Char">
    <w:name w:val="Heading 3 Char"/>
    <w:basedOn w:val="DefaultParagraphFont"/>
    <w:link w:val="Heading3"/>
    <w:uiPriority w:val="9"/>
    <w:rsid w:val="00B41677"/>
    <w:rPr>
      <w:rFonts w:ascii="Arial" w:eastAsiaTheme="majorEastAsia" w:hAnsi="Arial" w:cstheme="majorBidi"/>
      <w:bCs/>
      <w:szCs w:val="20"/>
      <w:lang w:val="en-GB" w:eastAsia="fr-FR"/>
    </w:rPr>
  </w:style>
  <w:style w:type="character" w:customStyle="1" w:styleId="Heading4Char">
    <w:name w:val="Heading 4 Char"/>
    <w:basedOn w:val="DefaultParagraphFont"/>
    <w:link w:val="Heading4"/>
    <w:uiPriority w:val="9"/>
    <w:rsid w:val="00B41677"/>
    <w:rPr>
      <w:rFonts w:ascii="Arial" w:eastAsiaTheme="majorEastAsia" w:hAnsi="Arial" w:cstheme="majorBidi"/>
      <w:bCs/>
      <w:iCs/>
      <w:szCs w:val="20"/>
      <w:lang w:val="en-GB" w:eastAsia="fr-FR"/>
    </w:rPr>
  </w:style>
  <w:style w:type="character" w:customStyle="1" w:styleId="TACChar">
    <w:name w:val="TAC Char"/>
    <w:link w:val="TAC"/>
    <w:locked/>
    <w:rsid w:val="007A62B0"/>
    <w:rPr>
      <w:rFonts w:ascii="Arial" w:hAnsi="Arial" w:cs="Arial"/>
      <w:sz w:val="18"/>
      <w:szCs w:val="18"/>
      <w:lang w:val="en-GB" w:eastAsia="x-none"/>
    </w:rPr>
  </w:style>
  <w:style w:type="paragraph" w:customStyle="1" w:styleId="TAC">
    <w:name w:val="TAC"/>
    <w:basedOn w:val="Normal"/>
    <w:link w:val="TACChar"/>
    <w:rsid w:val="007A62B0"/>
    <w:pPr>
      <w:keepNext/>
      <w:keepLines/>
      <w:spacing w:after="0"/>
      <w:jc w:val="center"/>
      <w:textAlignment w:val="auto"/>
    </w:pPr>
    <w:rPr>
      <w:rFonts w:ascii="Arial" w:eastAsiaTheme="minorHAnsi" w:hAnsi="Arial" w:cs="Arial"/>
      <w:sz w:val="18"/>
      <w:szCs w:val="18"/>
      <w:lang w:eastAsia="x-none"/>
    </w:rPr>
  </w:style>
  <w:style w:type="paragraph" w:customStyle="1" w:styleId="TAH">
    <w:name w:val="TAH"/>
    <w:basedOn w:val="TAC"/>
    <w:link w:val="TAHCar"/>
    <w:rsid w:val="007A62B0"/>
    <w:rPr>
      <w:b/>
      <w:bCs/>
    </w:rPr>
  </w:style>
  <w:style w:type="character" w:customStyle="1" w:styleId="TAHCar">
    <w:name w:val="TAH Car"/>
    <w:link w:val="TAH"/>
    <w:locked/>
    <w:rsid w:val="007A62B0"/>
    <w:rPr>
      <w:rFonts w:ascii="Arial" w:hAnsi="Arial" w:cs="Arial"/>
      <w:b/>
      <w:bCs/>
      <w:sz w:val="18"/>
      <w:szCs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01B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1D01B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fr-FR"/>
    </w:rPr>
  </w:style>
  <w:style w:type="paragraph" w:styleId="Heading2">
    <w:name w:val="heading 2"/>
    <w:basedOn w:val="Normal"/>
    <w:next w:val="Normal"/>
    <w:link w:val="Heading2Char"/>
    <w:uiPriority w:val="9"/>
    <w:unhideWhenUsed/>
    <w:qFormat/>
    <w:rsid w:val="00C218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41677"/>
    <w:pPr>
      <w:keepNext/>
      <w:keepLines/>
      <w:spacing w:before="200" w:after="120"/>
      <w:outlineLvl w:val="2"/>
    </w:pPr>
    <w:rPr>
      <w:rFonts w:ascii="Arial" w:eastAsiaTheme="majorEastAsia" w:hAnsi="Arial" w:cstheme="majorBidi"/>
      <w:bCs/>
      <w:sz w:val="22"/>
    </w:rPr>
  </w:style>
  <w:style w:type="paragraph" w:styleId="Heading4">
    <w:name w:val="heading 4"/>
    <w:basedOn w:val="Normal"/>
    <w:next w:val="Normal"/>
    <w:link w:val="Heading4Char"/>
    <w:uiPriority w:val="9"/>
    <w:unhideWhenUsed/>
    <w:qFormat/>
    <w:rsid w:val="00B41677"/>
    <w:pPr>
      <w:keepNext/>
      <w:keepLines/>
      <w:spacing w:before="200" w:after="120"/>
      <w:outlineLvl w:val="3"/>
    </w:pPr>
    <w:rPr>
      <w:rFonts w:ascii="Arial" w:eastAsiaTheme="majorEastAsia" w:hAnsi="Arial" w:cstheme="majorBidi"/>
      <w:bCs/>
      <w:iCs/>
      <w:sz w:val="22"/>
    </w:rPr>
  </w:style>
  <w:style w:type="paragraph" w:styleId="Heading9">
    <w:name w:val="heading 9"/>
    <w:basedOn w:val="Normal"/>
    <w:next w:val="Normal"/>
    <w:link w:val="Heading9Char"/>
    <w:uiPriority w:val="9"/>
    <w:semiHidden/>
    <w:unhideWhenUsed/>
    <w:qFormat/>
    <w:rsid w:val="003F3B33"/>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01B9"/>
    <w:rPr>
      <w:rFonts w:asciiTheme="majorHAnsi" w:eastAsiaTheme="majorEastAsia" w:hAnsiTheme="majorHAnsi" w:cstheme="majorBidi"/>
      <w:b/>
      <w:bCs/>
      <w:color w:val="365F91" w:themeColor="accent1" w:themeShade="BF"/>
      <w:sz w:val="28"/>
      <w:szCs w:val="28"/>
      <w:lang w:val="en-GB" w:eastAsia="fr-F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D01B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fr-FR" w:eastAsia="fr-F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D01B9"/>
    <w:rPr>
      <w:rFonts w:ascii="Arial" w:eastAsia="Times New Roman" w:hAnsi="Arial" w:cs="Times New Roman"/>
      <w:b/>
      <w:noProof/>
      <w:sz w:val="18"/>
      <w:szCs w:val="20"/>
      <w:lang w:val="fr-FR" w:eastAsia="fr-FR"/>
    </w:rPr>
  </w:style>
  <w:style w:type="paragraph" w:customStyle="1" w:styleId="CRCoverPage">
    <w:name w:val="CR Cover Page"/>
    <w:link w:val="CRCoverPageChar"/>
    <w:rsid w:val="001D01B9"/>
    <w:pPr>
      <w:spacing w:after="120" w:line="240" w:lineRule="auto"/>
    </w:pPr>
    <w:rPr>
      <w:rFonts w:ascii="Arial" w:eastAsia="Times New Roman" w:hAnsi="Arial" w:cs="Times New Roman"/>
      <w:sz w:val="20"/>
      <w:szCs w:val="20"/>
      <w:lang w:val="en-GB"/>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1D01B9"/>
    <w:rPr>
      <w:rFonts w:ascii="Arial" w:eastAsia="Times New Roman" w:hAnsi="Arial" w:cs="Times New Roman"/>
      <w:sz w:val="36"/>
      <w:szCs w:val="20"/>
      <w:lang w:val="en-GB" w:eastAsia="fr-FR"/>
    </w:rPr>
  </w:style>
  <w:style w:type="character" w:customStyle="1" w:styleId="CRCoverPageChar">
    <w:name w:val="CR Cover Page Char"/>
    <w:link w:val="CRCoverPage"/>
    <w:rsid w:val="001D01B9"/>
    <w:rPr>
      <w:rFonts w:ascii="Arial" w:eastAsia="Times New Roman" w:hAnsi="Arial" w:cs="Times New Roman"/>
      <w:sz w:val="20"/>
      <w:szCs w:val="20"/>
      <w:lang w:val="en-GB"/>
    </w:rPr>
  </w:style>
  <w:style w:type="paragraph" w:styleId="ListParagraph">
    <w:name w:val="List Paragraph"/>
    <w:basedOn w:val="Normal"/>
    <w:uiPriority w:val="34"/>
    <w:qFormat/>
    <w:rsid w:val="00CD539D"/>
    <w:pPr>
      <w:ind w:left="720"/>
      <w:contextualSpacing/>
    </w:pPr>
  </w:style>
  <w:style w:type="paragraph" w:styleId="BalloonText">
    <w:name w:val="Balloon Text"/>
    <w:basedOn w:val="Normal"/>
    <w:link w:val="BalloonTextChar"/>
    <w:uiPriority w:val="99"/>
    <w:semiHidden/>
    <w:unhideWhenUsed/>
    <w:rsid w:val="008B4CB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4CB6"/>
    <w:rPr>
      <w:rFonts w:ascii="Tahoma" w:eastAsia="Times New Roman" w:hAnsi="Tahoma" w:cs="Tahoma"/>
      <w:sz w:val="16"/>
      <w:szCs w:val="16"/>
      <w:lang w:val="en-GB" w:eastAsia="fr-FR"/>
    </w:rPr>
  </w:style>
  <w:style w:type="character" w:customStyle="1" w:styleId="Heading2Char">
    <w:name w:val="Heading 2 Char"/>
    <w:basedOn w:val="DefaultParagraphFont"/>
    <w:link w:val="Heading2"/>
    <w:uiPriority w:val="9"/>
    <w:rsid w:val="00C2184D"/>
    <w:rPr>
      <w:rFonts w:asciiTheme="majorHAnsi" w:eastAsiaTheme="majorEastAsia" w:hAnsiTheme="majorHAnsi" w:cstheme="majorBidi"/>
      <w:b/>
      <w:bCs/>
      <w:color w:val="4F81BD" w:themeColor="accent1"/>
      <w:sz w:val="26"/>
      <w:szCs w:val="26"/>
      <w:lang w:val="en-GB" w:eastAsia="fr-FR"/>
    </w:rPr>
  </w:style>
  <w:style w:type="character" w:customStyle="1" w:styleId="Heading9Char">
    <w:name w:val="Heading 9 Char"/>
    <w:basedOn w:val="DefaultParagraphFont"/>
    <w:link w:val="Heading9"/>
    <w:uiPriority w:val="9"/>
    <w:semiHidden/>
    <w:rsid w:val="003F3B33"/>
    <w:rPr>
      <w:rFonts w:asciiTheme="majorHAnsi" w:eastAsiaTheme="majorEastAsia" w:hAnsiTheme="majorHAnsi" w:cstheme="majorBidi"/>
      <w:i/>
      <w:iCs/>
      <w:color w:val="404040" w:themeColor="text1" w:themeTint="BF"/>
      <w:sz w:val="20"/>
      <w:szCs w:val="20"/>
      <w:lang w:val="en-GB" w:eastAsia="fr-FR"/>
    </w:rPr>
  </w:style>
  <w:style w:type="paragraph" w:customStyle="1" w:styleId="TH">
    <w:name w:val="TH"/>
    <w:basedOn w:val="Normal"/>
    <w:link w:val="THChar"/>
    <w:rsid w:val="003F3B3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3F3B33"/>
    <w:rPr>
      <w:rFonts w:ascii="Arial" w:eastAsia="Malgun Gothic" w:hAnsi="Arial" w:cs="Times New Roman"/>
      <w:b/>
      <w:sz w:val="20"/>
      <w:szCs w:val="20"/>
      <w:lang w:val="en-GB"/>
    </w:rPr>
  </w:style>
  <w:style w:type="paragraph" w:customStyle="1" w:styleId="TF">
    <w:name w:val="TF"/>
    <w:basedOn w:val="TH"/>
    <w:rsid w:val="00AD4594"/>
    <w:pPr>
      <w:keepNext w:val="0"/>
      <w:spacing w:before="0" w:after="240"/>
    </w:pPr>
    <w:rPr>
      <w:rFonts w:eastAsia="SimSun"/>
    </w:rPr>
  </w:style>
  <w:style w:type="paragraph" w:styleId="Footer">
    <w:name w:val="footer"/>
    <w:basedOn w:val="Normal"/>
    <w:link w:val="FooterChar"/>
    <w:uiPriority w:val="99"/>
    <w:unhideWhenUsed/>
    <w:rsid w:val="004F5952"/>
    <w:pPr>
      <w:tabs>
        <w:tab w:val="center" w:pos="4252"/>
        <w:tab w:val="right" w:pos="8504"/>
      </w:tabs>
      <w:spacing w:after="0"/>
    </w:pPr>
  </w:style>
  <w:style w:type="character" w:customStyle="1" w:styleId="FooterChar">
    <w:name w:val="Footer Char"/>
    <w:basedOn w:val="DefaultParagraphFont"/>
    <w:link w:val="Footer"/>
    <w:uiPriority w:val="99"/>
    <w:rsid w:val="004F5952"/>
    <w:rPr>
      <w:rFonts w:ascii="Times New Roman" w:eastAsia="Times New Roman" w:hAnsi="Times New Roman" w:cs="Times New Roman"/>
      <w:sz w:val="20"/>
      <w:szCs w:val="20"/>
      <w:lang w:val="en-GB" w:eastAsia="fr-FR"/>
    </w:rPr>
  </w:style>
  <w:style w:type="table" w:styleId="TableGrid">
    <w:name w:val="Table Grid"/>
    <w:basedOn w:val="TableNormal"/>
    <w:uiPriority w:val="59"/>
    <w:rsid w:val="006D7BB2"/>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6D7BB2"/>
    <w:pPr>
      <w:overflowPunct/>
      <w:autoSpaceDE/>
      <w:autoSpaceDN/>
      <w:adjustRightInd/>
      <w:spacing w:after="0"/>
      <w:textAlignment w:val="auto"/>
    </w:pPr>
    <w:rPr>
      <w:rFonts w:asciiTheme="minorHAnsi" w:eastAsiaTheme="minorHAnsi" w:hAnsiTheme="minorHAnsi" w:cstheme="minorBidi"/>
      <w:lang w:eastAsia="en-US"/>
    </w:rPr>
  </w:style>
  <w:style w:type="character" w:customStyle="1" w:styleId="FootnoteTextChar">
    <w:name w:val="Footnote Text Char"/>
    <w:basedOn w:val="DefaultParagraphFont"/>
    <w:link w:val="FootnoteText"/>
    <w:uiPriority w:val="99"/>
    <w:semiHidden/>
    <w:rsid w:val="006D7BB2"/>
    <w:rPr>
      <w:sz w:val="20"/>
      <w:szCs w:val="20"/>
      <w:lang w:val="en-GB"/>
    </w:rPr>
  </w:style>
  <w:style w:type="character" w:styleId="FootnoteReference">
    <w:name w:val="footnote reference"/>
    <w:basedOn w:val="DefaultParagraphFont"/>
    <w:uiPriority w:val="99"/>
    <w:semiHidden/>
    <w:unhideWhenUsed/>
    <w:rsid w:val="006D7BB2"/>
    <w:rPr>
      <w:vertAlign w:val="superscript"/>
    </w:rPr>
  </w:style>
  <w:style w:type="character" w:styleId="PlaceholderText">
    <w:name w:val="Placeholder Text"/>
    <w:basedOn w:val="DefaultParagraphFont"/>
    <w:uiPriority w:val="99"/>
    <w:semiHidden/>
    <w:rsid w:val="00FB007B"/>
    <w:rPr>
      <w:color w:val="808080"/>
    </w:rPr>
  </w:style>
  <w:style w:type="paragraph" w:customStyle="1" w:styleId="TdocHeader2">
    <w:name w:val="Tdoc_Header_2"/>
    <w:basedOn w:val="Normal"/>
    <w:rsid w:val="007A3F06"/>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Doc-text2">
    <w:name w:val="Doc-text2"/>
    <w:basedOn w:val="Normal"/>
    <w:link w:val="Doc-text2Char"/>
    <w:qFormat/>
    <w:rsid w:val="007717D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7717D0"/>
    <w:rPr>
      <w:rFonts w:ascii="Arial" w:eastAsia="MS Mincho" w:hAnsi="Arial" w:cs="Times New Roman"/>
      <w:sz w:val="20"/>
      <w:szCs w:val="24"/>
      <w:lang w:val="en-GB" w:eastAsia="en-GB"/>
    </w:rPr>
  </w:style>
  <w:style w:type="character" w:customStyle="1" w:styleId="Heading3Char">
    <w:name w:val="Heading 3 Char"/>
    <w:basedOn w:val="DefaultParagraphFont"/>
    <w:link w:val="Heading3"/>
    <w:uiPriority w:val="9"/>
    <w:rsid w:val="00B41677"/>
    <w:rPr>
      <w:rFonts w:ascii="Arial" w:eastAsiaTheme="majorEastAsia" w:hAnsi="Arial" w:cstheme="majorBidi"/>
      <w:bCs/>
      <w:szCs w:val="20"/>
      <w:lang w:val="en-GB" w:eastAsia="fr-FR"/>
    </w:rPr>
  </w:style>
  <w:style w:type="character" w:customStyle="1" w:styleId="Heading4Char">
    <w:name w:val="Heading 4 Char"/>
    <w:basedOn w:val="DefaultParagraphFont"/>
    <w:link w:val="Heading4"/>
    <w:uiPriority w:val="9"/>
    <w:rsid w:val="00B41677"/>
    <w:rPr>
      <w:rFonts w:ascii="Arial" w:eastAsiaTheme="majorEastAsia" w:hAnsi="Arial" w:cstheme="majorBidi"/>
      <w:bCs/>
      <w:iCs/>
      <w:szCs w:val="20"/>
      <w:lang w:val="en-GB" w:eastAsia="fr-FR"/>
    </w:rPr>
  </w:style>
  <w:style w:type="character" w:customStyle="1" w:styleId="TACChar">
    <w:name w:val="TAC Char"/>
    <w:link w:val="TAC"/>
    <w:locked/>
    <w:rsid w:val="007A62B0"/>
    <w:rPr>
      <w:rFonts w:ascii="Arial" w:hAnsi="Arial" w:cs="Arial"/>
      <w:sz w:val="18"/>
      <w:szCs w:val="18"/>
      <w:lang w:val="en-GB" w:eastAsia="x-none"/>
    </w:rPr>
  </w:style>
  <w:style w:type="paragraph" w:customStyle="1" w:styleId="TAC">
    <w:name w:val="TAC"/>
    <w:basedOn w:val="Normal"/>
    <w:link w:val="TACChar"/>
    <w:rsid w:val="007A62B0"/>
    <w:pPr>
      <w:keepNext/>
      <w:keepLines/>
      <w:spacing w:after="0"/>
      <w:jc w:val="center"/>
      <w:textAlignment w:val="auto"/>
    </w:pPr>
    <w:rPr>
      <w:rFonts w:ascii="Arial" w:eastAsiaTheme="minorHAnsi" w:hAnsi="Arial" w:cs="Arial"/>
      <w:sz w:val="18"/>
      <w:szCs w:val="18"/>
      <w:lang w:eastAsia="x-none"/>
    </w:rPr>
  </w:style>
  <w:style w:type="paragraph" w:customStyle="1" w:styleId="TAH">
    <w:name w:val="TAH"/>
    <w:basedOn w:val="TAC"/>
    <w:link w:val="TAHCar"/>
    <w:rsid w:val="007A62B0"/>
    <w:rPr>
      <w:b/>
      <w:bCs/>
    </w:rPr>
  </w:style>
  <w:style w:type="character" w:customStyle="1" w:styleId="TAHCar">
    <w:name w:val="TAH Car"/>
    <w:link w:val="TAH"/>
    <w:locked/>
    <w:rsid w:val="007A62B0"/>
    <w:rPr>
      <w:rFonts w:ascii="Arial" w:hAnsi="Arial" w:cs="Arial"/>
      <w:b/>
      <w:bCs/>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489721">
      <w:bodyDiv w:val="1"/>
      <w:marLeft w:val="0"/>
      <w:marRight w:val="0"/>
      <w:marTop w:val="0"/>
      <w:marBottom w:val="0"/>
      <w:divBdr>
        <w:top w:val="none" w:sz="0" w:space="0" w:color="auto"/>
        <w:left w:val="none" w:sz="0" w:space="0" w:color="auto"/>
        <w:bottom w:val="none" w:sz="0" w:space="0" w:color="auto"/>
        <w:right w:val="none" w:sz="0" w:space="0" w:color="auto"/>
      </w:divBdr>
    </w:div>
    <w:div w:id="522983779">
      <w:bodyDiv w:val="1"/>
      <w:marLeft w:val="0"/>
      <w:marRight w:val="0"/>
      <w:marTop w:val="0"/>
      <w:marBottom w:val="0"/>
      <w:divBdr>
        <w:top w:val="none" w:sz="0" w:space="0" w:color="auto"/>
        <w:left w:val="none" w:sz="0" w:space="0" w:color="auto"/>
        <w:bottom w:val="none" w:sz="0" w:space="0" w:color="auto"/>
        <w:right w:val="none" w:sz="0" w:space="0" w:color="auto"/>
      </w:divBdr>
    </w:div>
    <w:div w:id="1179811317">
      <w:bodyDiv w:val="1"/>
      <w:marLeft w:val="0"/>
      <w:marRight w:val="0"/>
      <w:marTop w:val="0"/>
      <w:marBottom w:val="0"/>
      <w:divBdr>
        <w:top w:val="none" w:sz="0" w:space="0" w:color="auto"/>
        <w:left w:val="none" w:sz="0" w:space="0" w:color="auto"/>
        <w:bottom w:val="none" w:sz="0" w:space="0" w:color="auto"/>
        <w:right w:val="none" w:sz="0" w:space="0" w:color="auto"/>
      </w:divBdr>
    </w:div>
    <w:div w:id="1213813392">
      <w:bodyDiv w:val="1"/>
      <w:marLeft w:val="0"/>
      <w:marRight w:val="0"/>
      <w:marTop w:val="0"/>
      <w:marBottom w:val="0"/>
      <w:divBdr>
        <w:top w:val="none" w:sz="0" w:space="0" w:color="auto"/>
        <w:left w:val="none" w:sz="0" w:space="0" w:color="auto"/>
        <w:bottom w:val="none" w:sz="0" w:space="0" w:color="auto"/>
        <w:right w:val="none" w:sz="0" w:space="0" w:color="auto"/>
      </w:divBdr>
    </w:div>
    <w:div w:id="1442070266">
      <w:bodyDiv w:val="1"/>
      <w:marLeft w:val="0"/>
      <w:marRight w:val="0"/>
      <w:marTop w:val="0"/>
      <w:marBottom w:val="0"/>
      <w:divBdr>
        <w:top w:val="none" w:sz="0" w:space="0" w:color="auto"/>
        <w:left w:val="none" w:sz="0" w:space="0" w:color="auto"/>
        <w:bottom w:val="none" w:sz="0" w:space="0" w:color="auto"/>
        <w:right w:val="none" w:sz="0" w:space="0" w:color="auto"/>
      </w:divBdr>
    </w:div>
    <w:div w:id="167984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349C8-F048-4C46-93DA-D1BD0CBCE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944</Words>
  <Characters>5385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Frost, Vodafone</dc:creator>
  <cp:lastModifiedBy>Razavi, Razieh, Vodafone Group</cp:lastModifiedBy>
  <cp:revision>3</cp:revision>
  <dcterms:created xsi:type="dcterms:W3CDTF">2016-11-04T10:16:00Z</dcterms:created>
  <dcterms:modified xsi:type="dcterms:W3CDTF">2016-11-04T10:55:00Z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793406012</vt:i4>
  </property>
  <property fmtid="{D5CDD505-2E9C-101B-9397-08002B2CF9AE}" pid="3" name="_NewReviewCycle">
    <vt:lpwstr/>
  </property>
  <property fmtid="{D5CDD505-2E9C-101B-9397-08002B2CF9AE}" pid="4" name="_EmailSubject">
    <vt:lpwstr>Single Uplink for LTE+NR</vt:lpwstr>
  </property>
  <property fmtid="{D5CDD505-2E9C-101B-9397-08002B2CF9AE}" pid="5" name="_AuthorEmail">
    <vt:lpwstr>tim.frost@vodafone.com</vt:lpwstr>
  </property>
  <property fmtid="{D5CDD505-2E9C-101B-9397-08002B2CF9AE}" pid="6" name="_AuthorEmailDisplayName">
    <vt:lpwstr>Frost, Tim, Vodafone Group (tfrostf)</vt:lpwstr>
  </property>
  <property fmtid="{D5CDD505-2E9C-101B-9397-08002B2CF9AE}" pid="7" name="_PreviousAdHocReviewCycleID">
    <vt:i4>1109481735</vt:i4>
  </property>
</Properties>
</file>