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DD40D" w14:textId="002186BC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 w:rsidRPr="00CA26CE">
        <w:rPr>
          <w:bCs/>
          <w:noProof w:val="0"/>
          <w:sz w:val="24"/>
          <w:lang w:val="en-GB"/>
        </w:rPr>
        <w:t>3GPP TSG-RAN WG1 #</w:t>
      </w:r>
      <w:r w:rsidR="00821FED">
        <w:rPr>
          <w:bCs/>
          <w:noProof w:val="0"/>
          <w:sz w:val="24"/>
          <w:lang w:val="en-GB"/>
        </w:rPr>
        <w:t>87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702889">
        <w:rPr>
          <w:bCs/>
          <w:noProof w:val="0"/>
          <w:sz w:val="24"/>
          <w:lang w:val="en-GB"/>
        </w:rPr>
        <w:t>R1-1612805</w:t>
      </w:r>
    </w:p>
    <w:p w14:paraId="062CEE50" w14:textId="28A4E378" w:rsidR="00AA65C9" w:rsidRDefault="00821FED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Reno, Nevada, November 14-18</w:t>
      </w:r>
      <w:r w:rsidR="00CA26CE" w:rsidRPr="00CA26CE">
        <w:rPr>
          <w:bCs/>
          <w:noProof w:val="0"/>
          <w:sz w:val="24"/>
          <w:lang w:val="en-GB"/>
        </w:rPr>
        <w:t>, 2016</w:t>
      </w:r>
    </w:p>
    <w:p w14:paraId="04BF22A5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3A0D488" w14:textId="33B94E65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33B15">
        <w:rPr>
          <w:rFonts w:cs="Arial"/>
          <w:b/>
          <w:bCs/>
          <w:sz w:val="24"/>
        </w:rPr>
        <w:t>7.1.2</w:t>
      </w:r>
      <w:r w:rsidR="00AD4FC3" w:rsidRPr="005214D6">
        <w:rPr>
          <w:rFonts w:cs="Arial"/>
          <w:b/>
          <w:bCs/>
          <w:sz w:val="24"/>
        </w:rPr>
        <w:t>.1.</w:t>
      </w:r>
    </w:p>
    <w:p w14:paraId="3C062EE9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44281C0" w14:textId="3DE57A14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21FED">
        <w:rPr>
          <w:rFonts w:ascii="Arial" w:hAnsi="Arial" w:cs="Arial"/>
          <w:b/>
          <w:bCs/>
          <w:sz w:val="24"/>
        </w:rPr>
        <w:t>NR</w:t>
      </w:r>
      <w:r w:rsidR="00AD4FC3">
        <w:rPr>
          <w:rFonts w:ascii="Arial" w:hAnsi="Arial" w:cs="Arial"/>
          <w:b/>
          <w:bCs/>
          <w:sz w:val="24"/>
        </w:rPr>
        <w:t xml:space="preserve"> </w:t>
      </w:r>
      <w:r w:rsidR="00894419">
        <w:rPr>
          <w:rFonts w:ascii="Arial" w:hAnsi="Arial" w:cs="Arial"/>
          <w:b/>
          <w:bCs/>
          <w:sz w:val="24"/>
        </w:rPr>
        <w:t>Synch</w:t>
      </w:r>
      <w:r w:rsidR="00821FED">
        <w:rPr>
          <w:rFonts w:ascii="Arial" w:hAnsi="Arial" w:cs="Arial"/>
          <w:b/>
          <w:bCs/>
          <w:sz w:val="24"/>
        </w:rPr>
        <w:t>ronization</w:t>
      </w:r>
      <w:r w:rsidR="00702889">
        <w:rPr>
          <w:rFonts w:ascii="Arial" w:hAnsi="Arial" w:cs="Arial"/>
          <w:b/>
          <w:bCs/>
          <w:sz w:val="24"/>
        </w:rPr>
        <w:t xml:space="preserve"> Signal Performance</w:t>
      </w:r>
    </w:p>
    <w:p w14:paraId="16788C2D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9A663A1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F48E3B0" w14:textId="77777777" w:rsidR="0078539D" w:rsidRDefault="00217BBA" w:rsidP="00E13EE4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>
        <w:rPr>
          <w:bCs/>
        </w:rPr>
        <w:t>the 5G study item [1] is to identify and develop technology components needed for new radio (NR) systems being able to use any spectrum band ranging at least up to 100 GHz. The goal is to achieve a single technical framework addressing all usage scenarios, requirements and deployment scenarios defined in TR38.913 [2].</w:t>
      </w:r>
    </w:p>
    <w:p w14:paraId="5A53CCB9" w14:textId="6E550489" w:rsidR="004A22EB" w:rsidRDefault="002366B1" w:rsidP="00E13EE4">
      <w:pPr>
        <w:spacing w:after="120"/>
        <w:jc w:val="both"/>
        <w:rPr>
          <w:bCs/>
        </w:rPr>
      </w:pPr>
      <w:r>
        <w:rPr>
          <w:bCs/>
        </w:rPr>
        <w:t>The</w:t>
      </w:r>
      <w:r w:rsidR="006B4D91">
        <w:rPr>
          <w:bCs/>
        </w:rPr>
        <w:t xml:space="preserve"> RAN1#86 </w:t>
      </w:r>
      <w:r>
        <w:rPr>
          <w:bCs/>
        </w:rPr>
        <w:t>bis agreed to define at least two types of synchronization signals and left the multiplexing choice for further study</w:t>
      </w:r>
      <w:r w:rsidR="006B4D91">
        <w:rPr>
          <w:bCs/>
        </w:rPr>
        <w:t xml:space="preserve">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D91" w14:paraId="2C3EDDE3" w14:textId="77777777" w:rsidTr="006B4D91">
        <w:tc>
          <w:tcPr>
            <w:tcW w:w="9629" w:type="dxa"/>
          </w:tcPr>
          <w:p w14:paraId="5BE1C3BA" w14:textId="77777777" w:rsidR="006B4D91" w:rsidRPr="006B4D91" w:rsidRDefault="006B4D91" w:rsidP="006B4D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b/>
                <w:szCs w:val="24"/>
                <w:u w:val="single"/>
                <w:lang w:val="en-US" w:eastAsia="ja-JP"/>
              </w:rPr>
            </w:pPr>
            <w:r w:rsidRPr="006B4D91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val="en-US" w:eastAsia="ja-JP"/>
              </w:rPr>
              <w:t>Agreements:</w:t>
            </w:r>
          </w:p>
          <w:p w14:paraId="3AC9F94B" w14:textId="77777777" w:rsidR="002366B1" w:rsidRPr="005D2858" w:rsidRDefault="002366B1" w:rsidP="002366B1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NR defines at least two types of synchronization signals</w:t>
            </w:r>
          </w:p>
          <w:p w14:paraId="716D9693" w14:textId="77777777" w:rsidR="002366B1" w:rsidRPr="005D2858" w:rsidRDefault="002366B1" w:rsidP="002366B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NR-PSS at least for initial symbol boundary synchronization to the NR cell</w:t>
            </w:r>
          </w:p>
          <w:p w14:paraId="14366790" w14:textId="77777777" w:rsidR="002366B1" w:rsidRPr="005D2858" w:rsidRDefault="002366B1" w:rsidP="002366B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FFS other functionality provided by NR-PSS, e.g., part of NR cell ID, serving as DMRS for NR-SSS, detection of subcarrier spacing</w:t>
            </w:r>
          </w:p>
          <w:p w14:paraId="062FB0FE" w14:textId="07FA7E95" w:rsidR="002366B1" w:rsidRPr="005D2858" w:rsidRDefault="002366B1" w:rsidP="002366B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 xml:space="preserve">NR-SSS for detection of </w:t>
            </w:r>
            <w:r>
              <w:rPr>
                <w:rFonts w:eastAsia="MS Mincho" w:hint="eastAsia"/>
                <w:lang w:val="en-US" w:eastAsia="ja-JP"/>
              </w:rPr>
              <w:t xml:space="preserve">NR cell ID or </w:t>
            </w:r>
            <w:r w:rsidRPr="005D2858">
              <w:rPr>
                <w:rFonts w:eastAsia="MS Mincho"/>
                <w:lang w:val="en-US" w:eastAsia="ja-JP"/>
              </w:rPr>
              <w:t>at least par</w:t>
            </w:r>
            <w:r>
              <w:rPr>
                <w:rFonts w:eastAsia="MS Mincho"/>
                <w:lang w:val="en-US" w:eastAsia="ja-JP"/>
              </w:rPr>
              <w:t xml:space="preserve">t of </w:t>
            </w:r>
            <w:r>
              <w:rPr>
                <w:rFonts w:eastAsia="MS Mincho" w:hint="eastAsia"/>
                <w:lang w:val="en-US" w:eastAsia="ja-JP"/>
              </w:rPr>
              <w:t>NR cell</w:t>
            </w:r>
            <w:r w:rsidRPr="005D2858">
              <w:rPr>
                <w:rFonts w:eastAsia="MS Mincho"/>
                <w:lang w:val="en-US" w:eastAsia="ja-JP"/>
              </w:rPr>
              <w:t xml:space="preserve"> ID</w:t>
            </w:r>
          </w:p>
          <w:p w14:paraId="6EA5C428" w14:textId="77777777" w:rsidR="002366B1" w:rsidRDefault="002366B1" w:rsidP="002366B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 xml:space="preserve">Number of NR cell IDs is </w:t>
            </w:r>
            <w:r>
              <w:rPr>
                <w:rFonts w:eastAsia="MS Mincho" w:hint="eastAsia"/>
                <w:lang w:val="en-US" w:eastAsia="ja-JP"/>
              </w:rPr>
              <w:t>targeted to be at least 504</w:t>
            </w:r>
          </w:p>
          <w:p w14:paraId="68632219" w14:textId="77777777" w:rsidR="002366B1" w:rsidRPr="005D2858" w:rsidRDefault="002366B1" w:rsidP="002366B1">
            <w:pPr>
              <w:numPr>
                <w:ilvl w:val="3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5D2858">
              <w:rPr>
                <w:rFonts w:eastAsia="MS Mincho"/>
                <w:lang w:val="en-US" w:eastAsia="ja-JP"/>
              </w:rPr>
              <w:t>larger than that in LTE</w:t>
            </w:r>
          </w:p>
          <w:p w14:paraId="3E2004C1" w14:textId="77777777" w:rsidR="002366B1" w:rsidRPr="005D2858" w:rsidRDefault="002366B1" w:rsidP="002366B1">
            <w:pPr>
              <w:numPr>
                <w:ilvl w:val="3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FFS number of NR cell IDs</w:t>
            </w:r>
          </w:p>
          <w:p w14:paraId="6D633AA0" w14:textId="77777777" w:rsidR="002366B1" w:rsidRPr="005D2858" w:rsidRDefault="002366B1" w:rsidP="002366B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 xml:space="preserve">NR-SSS detection is based on the fixed </w:t>
            </w:r>
            <w:r>
              <w:rPr>
                <w:rFonts w:eastAsia="MS Mincho" w:hint="eastAsia"/>
                <w:lang w:val="en-US" w:eastAsia="ja-JP"/>
              </w:rPr>
              <w:t xml:space="preserve">time/freq. </w:t>
            </w:r>
            <w:r w:rsidRPr="005D2858">
              <w:rPr>
                <w:rFonts w:eastAsia="MS Mincho"/>
                <w:lang w:val="en-US" w:eastAsia="ja-JP"/>
              </w:rPr>
              <w:t xml:space="preserve">relationship with NR-PSS resource position irrespective of duplex mode and beam operation type at least within a given </w:t>
            </w:r>
            <w:r>
              <w:rPr>
                <w:rFonts w:eastAsia="MS Mincho"/>
                <w:lang w:val="en-US" w:eastAsia="ja-JP"/>
              </w:rPr>
              <w:t>frequency range and CP overhead</w:t>
            </w:r>
          </w:p>
          <w:p w14:paraId="12CCF627" w14:textId="77777777" w:rsidR="002366B1" w:rsidRPr="005D2858" w:rsidRDefault="002366B1" w:rsidP="002366B1">
            <w:pPr>
              <w:numPr>
                <w:ilvl w:val="3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FFS FDM or TDM</w:t>
            </w:r>
          </w:p>
          <w:p w14:paraId="386692B7" w14:textId="77777777" w:rsidR="006B4D91" w:rsidRDefault="002366B1" w:rsidP="002366B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5D2858">
              <w:rPr>
                <w:rFonts w:eastAsia="MS Mincho"/>
                <w:lang w:val="en-US" w:eastAsia="ja-JP"/>
              </w:rPr>
              <w:t>FFS other functionality provided by NR-SSS, e.g., demodulation of broadcast channel, RRM measurement, deriving subframe index, deriving symbol index</w:t>
            </w:r>
          </w:p>
          <w:p w14:paraId="21BEB552" w14:textId="58405E18" w:rsidR="002366B1" w:rsidRPr="002366B1" w:rsidRDefault="002366B1" w:rsidP="002366B1">
            <w:p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14:paraId="02D311CE" w14:textId="77777777" w:rsidR="006B4D91" w:rsidRDefault="006B4D91" w:rsidP="00E13EE4">
      <w:pPr>
        <w:spacing w:after="120"/>
        <w:jc w:val="both"/>
        <w:rPr>
          <w:bCs/>
        </w:rPr>
      </w:pPr>
    </w:p>
    <w:p w14:paraId="765EB21F" w14:textId="4F1328BE" w:rsidR="008342A4" w:rsidRDefault="003F7883" w:rsidP="00E13EE4">
      <w:pPr>
        <w:spacing w:after="120"/>
        <w:jc w:val="both"/>
        <w:rPr>
          <w:bCs/>
        </w:rPr>
      </w:pPr>
      <w:r>
        <w:rPr>
          <w:bCs/>
        </w:rPr>
        <w:t>In the previous</w:t>
      </w:r>
      <w:r w:rsidR="008342A4">
        <w:rPr>
          <w:bCs/>
        </w:rPr>
        <w:t xml:space="preserve"> contribution</w:t>
      </w:r>
      <w:r w:rsidR="00AE6515">
        <w:rPr>
          <w:bCs/>
        </w:rPr>
        <w:t xml:space="preserve"> [5]</w:t>
      </w:r>
      <w:r w:rsidR="008342A4">
        <w:rPr>
          <w:bCs/>
        </w:rPr>
        <w:t xml:space="preserve"> </w:t>
      </w:r>
      <w:r>
        <w:rPr>
          <w:bCs/>
        </w:rPr>
        <w:t xml:space="preserve">we evaluated </w:t>
      </w:r>
      <w:r w:rsidR="00531D7B">
        <w:rPr>
          <w:bCs/>
        </w:rPr>
        <w:t>the PSS performance as a function of PSS length and sub-carrier spacin</w:t>
      </w:r>
      <w:r>
        <w:rPr>
          <w:bCs/>
        </w:rPr>
        <w:t xml:space="preserve">g is shown and in this contribution we present results </w:t>
      </w:r>
      <w:r w:rsidR="002366B1">
        <w:rPr>
          <w:bCs/>
        </w:rPr>
        <w:t xml:space="preserve">showing the performance of two synchronization signals and </w:t>
      </w:r>
      <w:r>
        <w:rPr>
          <w:bCs/>
        </w:rPr>
        <w:t>comparing the frequency and time multiplexed synchronization signals</w:t>
      </w:r>
      <w:r w:rsidR="00531D7B">
        <w:rPr>
          <w:bCs/>
        </w:rPr>
        <w:t>.</w:t>
      </w:r>
      <w:r w:rsidR="00DF4936">
        <w:rPr>
          <w:bCs/>
        </w:rPr>
        <w:t xml:space="preserve"> </w:t>
      </w:r>
    </w:p>
    <w:p w14:paraId="29E44880" w14:textId="3C7706F9" w:rsidR="004B23AD" w:rsidRDefault="008D4B8A" w:rsidP="004B23AD">
      <w:pPr>
        <w:pStyle w:val="Heading1"/>
        <w:rPr>
          <w:color w:val="000000"/>
        </w:rPr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F92DF2">
        <w:rPr>
          <w:color w:val="000000"/>
        </w:rPr>
        <w:t>Simulation setup</w:t>
      </w:r>
    </w:p>
    <w:p w14:paraId="1D852B09" w14:textId="3513850F" w:rsidR="00D907A5" w:rsidRDefault="005166F3" w:rsidP="005166F3">
      <w:r>
        <w:t>We have simulated</w:t>
      </w:r>
      <w:r w:rsidR="0066115C">
        <w:t xml:space="preserve"> detection of</w:t>
      </w:r>
      <w:r>
        <w:t xml:space="preserve"> an LTE-lik</w:t>
      </w:r>
      <w:r w:rsidR="0066115C">
        <w:t xml:space="preserve">e PSS </w:t>
      </w:r>
      <w:r w:rsidR="005F26BA">
        <w:t xml:space="preserve">and SSS </w:t>
      </w:r>
      <w:r w:rsidR="0066115C">
        <w:t>sequence</w:t>
      </w:r>
      <w:r w:rsidR="005F26BA">
        <w:t xml:space="preserve">s with varying </w:t>
      </w:r>
      <w:r>
        <w:t xml:space="preserve">lengths. </w:t>
      </w:r>
      <w:r w:rsidR="00DF4936">
        <w:t xml:space="preserve">The simulation setup follows the agreed guide lines [4]. </w:t>
      </w:r>
      <w:r>
        <w:t>The main parameters of the simulation can be found in Tab</w:t>
      </w:r>
      <w:r w:rsidR="005F26BA">
        <w:t>le 1. The shortest simulated sequences are the same as the LTE synchronization</w:t>
      </w:r>
      <w:r>
        <w:t xml:space="preserve"> signal</w:t>
      </w:r>
      <w:r w:rsidR="005F26BA">
        <w:t>s</w:t>
      </w:r>
      <w:r>
        <w:t>.</w:t>
      </w:r>
    </w:p>
    <w:p w14:paraId="0860C136" w14:textId="77777777" w:rsidR="007E74E9" w:rsidRDefault="007E74E9" w:rsidP="007E74E9">
      <w:pPr>
        <w:pStyle w:val="00BodyText"/>
        <w:tabs>
          <w:tab w:val="left" w:pos="2327"/>
        </w:tabs>
        <w:spacing w:after="0"/>
        <w:rPr>
          <w:lang w:val="en-GB"/>
        </w:rPr>
      </w:pPr>
      <w:r>
        <w:rPr>
          <w:lang w:val="en-GB"/>
        </w:rPr>
        <w:tab/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7E74E9" w14:paraId="4F1403BD" w14:textId="77777777" w:rsidTr="00A53EB5">
        <w:tc>
          <w:tcPr>
            <w:tcW w:w="2972" w:type="dxa"/>
            <w:shd w:val="clear" w:color="auto" w:fill="E7E6E6" w:themeFill="background2"/>
          </w:tcPr>
          <w:p w14:paraId="4016F0A3" w14:textId="01354CB6" w:rsidR="007E74E9" w:rsidRPr="009077E7" w:rsidRDefault="007E74E9" w:rsidP="00A53EB5">
            <w:pPr>
              <w:pStyle w:val="00BodyText"/>
              <w:tabs>
                <w:tab w:val="left" w:pos="1716"/>
              </w:tabs>
              <w:spacing w:after="0"/>
              <w:rPr>
                <w:b/>
                <w:highlight w:val="lightGray"/>
                <w:lang w:val="en-GB"/>
              </w:rPr>
            </w:pPr>
            <w:r w:rsidRPr="00A53EB5">
              <w:rPr>
                <w:b/>
                <w:lang w:val="en-GB"/>
              </w:rPr>
              <w:t>Parameter</w:t>
            </w:r>
            <w:r w:rsidR="00A53EB5">
              <w:rPr>
                <w:b/>
                <w:lang w:val="en-GB"/>
              </w:rPr>
              <w:tab/>
            </w:r>
          </w:p>
        </w:tc>
        <w:tc>
          <w:tcPr>
            <w:tcW w:w="6095" w:type="dxa"/>
            <w:shd w:val="clear" w:color="auto" w:fill="E7E6E6" w:themeFill="background2"/>
          </w:tcPr>
          <w:p w14:paraId="4B1A67FC" w14:textId="6A583330" w:rsidR="007E74E9" w:rsidRPr="009077E7" w:rsidRDefault="007E74E9" w:rsidP="009077E7">
            <w:pPr>
              <w:pStyle w:val="00BodyText"/>
              <w:tabs>
                <w:tab w:val="left" w:pos="1670"/>
                <w:tab w:val="right" w:pos="6730"/>
              </w:tabs>
              <w:spacing w:after="0"/>
              <w:rPr>
                <w:b/>
                <w:highlight w:val="darkGray"/>
                <w:lang w:val="en-GB"/>
              </w:rPr>
            </w:pPr>
            <w:r w:rsidRPr="00A53EB5">
              <w:rPr>
                <w:b/>
                <w:lang w:val="en-GB"/>
              </w:rPr>
              <w:t>Value</w:t>
            </w:r>
            <w:r w:rsidR="009077E7" w:rsidRPr="00A53EB5">
              <w:rPr>
                <w:b/>
                <w:lang w:val="en-GB"/>
              </w:rPr>
              <w:tab/>
            </w:r>
            <w:r w:rsidR="009077E7" w:rsidRPr="00A53EB5">
              <w:rPr>
                <w:b/>
                <w:lang w:val="en-GB"/>
              </w:rPr>
              <w:tab/>
            </w:r>
          </w:p>
        </w:tc>
      </w:tr>
      <w:tr w:rsidR="007E74E9" w14:paraId="493C50F6" w14:textId="77777777" w:rsidTr="00A53EB5">
        <w:tc>
          <w:tcPr>
            <w:tcW w:w="2972" w:type="dxa"/>
          </w:tcPr>
          <w:p w14:paraId="4DE057A8" w14:textId="22980C95" w:rsidR="007E74E9" w:rsidRPr="007E74E9" w:rsidRDefault="007E74E9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6095" w:type="dxa"/>
          </w:tcPr>
          <w:p w14:paraId="328F9462" w14:textId="3E276EFF" w:rsidR="007E74E9" w:rsidRDefault="007E74E9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4 GHz</w:t>
            </w:r>
          </w:p>
        </w:tc>
      </w:tr>
      <w:tr w:rsidR="007E74E9" w14:paraId="1C00C057" w14:textId="77777777" w:rsidTr="00A53EB5">
        <w:tc>
          <w:tcPr>
            <w:tcW w:w="2972" w:type="dxa"/>
          </w:tcPr>
          <w:p w14:paraId="29FAD3A5" w14:textId="0C8035B8" w:rsidR="007E74E9" w:rsidRDefault="00F978CC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PSS </w:t>
            </w:r>
            <w:r w:rsidR="00691DC5">
              <w:rPr>
                <w:lang w:val="en-GB"/>
              </w:rPr>
              <w:t xml:space="preserve">sequence </w:t>
            </w:r>
            <w:r>
              <w:rPr>
                <w:lang w:val="en-GB"/>
              </w:rPr>
              <w:t>type</w:t>
            </w:r>
          </w:p>
        </w:tc>
        <w:tc>
          <w:tcPr>
            <w:tcW w:w="6095" w:type="dxa"/>
          </w:tcPr>
          <w:p w14:paraId="16963876" w14:textId="59F1C337" w:rsidR="007E74E9" w:rsidRDefault="00F978CC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Zhadoff-Chu</w:t>
            </w:r>
          </w:p>
        </w:tc>
      </w:tr>
      <w:tr w:rsidR="00D65648" w14:paraId="6275D047" w14:textId="77777777" w:rsidTr="00A53EB5">
        <w:tc>
          <w:tcPr>
            <w:tcW w:w="2972" w:type="dxa"/>
          </w:tcPr>
          <w:p w14:paraId="531756DB" w14:textId="5CC429F4" w:rsidR="00D65648" w:rsidRDefault="00D65648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SSS sequence type</w:t>
            </w:r>
          </w:p>
        </w:tc>
        <w:tc>
          <w:tcPr>
            <w:tcW w:w="6095" w:type="dxa"/>
          </w:tcPr>
          <w:p w14:paraId="416BDFCF" w14:textId="07FB421E" w:rsidR="00D65648" w:rsidRDefault="008121AF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LTE-like sequences</w:t>
            </w:r>
          </w:p>
        </w:tc>
      </w:tr>
      <w:tr w:rsidR="005166F3" w14:paraId="7DF263FB" w14:textId="77777777" w:rsidTr="00A53EB5">
        <w:tc>
          <w:tcPr>
            <w:tcW w:w="2972" w:type="dxa"/>
          </w:tcPr>
          <w:p w14:paraId="2C79CECE" w14:textId="4A4B1880" w:rsidR="005166F3" w:rsidRDefault="0066115C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Number of </w:t>
            </w:r>
            <w:r w:rsidR="00CB0BE2">
              <w:rPr>
                <w:lang w:val="en-GB"/>
              </w:rPr>
              <w:t xml:space="preserve">PSS </w:t>
            </w:r>
            <w:r>
              <w:rPr>
                <w:lang w:val="en-GB"/>
              </w:rPr>
              <w:t>sequences</w:t>
            </w:r>
          </w:p>
        </w:tc>
        <w:tc>
          <w:tcPr>
            <w:tcW w:w="6095" w:type="dxa"/>
          </w:tcPr>
          <w:p w14:paraId="57FF732D" w14:textId="1079ED70" w:rsidR="005166F3" w:rsidRDefault="0066115C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CB0BE2" w14:paraId="19D2E294" w14:textId="77777777" w:rsidTr="00A53EB5">
        <w:tc>
          <w:tcPr>
            <w:tcW w:w="2972" w:type="dxa"/>
          </w:tcPr>
          <w:p w14:paraId="2B87750D" w14:textId="3DF7C8B2" w:rsidR="00CB0BE2" w:rsidRDefault="00CB0BE2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Number of SSS sequences</w:t>
            </w:r>
          </w:p>
        </w:tc>
        <w:tc>
          <w:tcPr>
            <w:tcW w:w="6095" w:type="dxa"/>
          </w:tcPr>
          <w:p w14:paraId="06A24237" w14:textId="1CDD18DB" w:rsidR="00CB0BE2" w:rsidRDefault="00CB0BE2" w:rsidP="007E74E9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168</w:t>
            </w:r>
          </w:p>
        </w:tc>
      </w:tr>
      <w:tr w:rsidR="0066115C" w14:paraId="370C1342" w14:textId="77777777" w:rsidTr="00A53EB5">
        <w:tc>
          <w:tcPr>
            <w:tcW w:w="2972" w:type="dxa"/>
          </w:tcPr>
          <w:p w14:paraId="406A1F68" w14:textId="65DB1CE5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PSS</w:t>
            </w:r>
            <w:r w:rsidR="00CB0BE2">
              <w:rPr>
                <w:lang w:val="en-GB"/>
              </w:rPr>
              <w:t>/SSS</w:t>
            </w:r>
            <w:r>
              <w:rPr>
                <w:lang w:val="en-GB"/>
              </w:rPr>
              <w:t xml:space="preserve"> length</w:t>
            </w:r>
          </w:p>
        </w:tc>
        <w:tc>
          <w:tcPr>
            <w:tcW w:w="6095" w:type="dxa"/>
          </w:tcPr>
          <w:p w14:paraId="42439DDE" w14:textId="70A01968" w:rsidR="0066115C" w:rsidRDefault="00D65648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63, 127</w:t>
            </w:r>
          </w:p>
        </w:tc>
      </w:tr>
      <w:tr w:rsidR="0066115C" w14:paraId="2CA46C27" w14:textId="77777777" w:rsidTr="00A53EB5">
        <w:tc>
          <w:tcPr>
            <w:tcW w:w="2972" w:type="dxa"/>
          </w:tcPr>
          <w:p w14:paraId="2D2138CD" w14:textId="21F05AEE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PSS</w:t>
            </w:r>
            <w:r w:rsidR="00CB0BE2">
              <w:rPr>
                <w:lang w:val="en-GB"/>
              </w:rPr>
              <w:t>/SSS</w:t>
            </w:r>
            <w:r>
              <w:rPr>
                <w:lang w:val="en-GB"/>
              </w:rPr>
              <w:t xml:space="preserve"> period</w:t>
            </w:r>
          </w:p>
        </w:tc>
        <w:tc>
          <w:tcPr>
            <w:tcW w:w="6095" w:type="dxa"/>
          </w:tcPr>
          <w:p w14:paraId="6E8CDA6D" w14:textId="75EC9D0D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5 ms</w:t>
            </w:r>
          </w:p>
        </w:tc>
      </w:tr>
      <w:tr w:rsidR="0066115C" w14:paraId="3226AF8B" w14:textId="77777777" w:rsidTr="00A53EB5">
        <w:tc>
          <w:tcPr>
            <w:tcW w:w="2972" w:type="dxa"/>
          </w:tcPr>
          <w:p w14:paraId="63DF894B" w14:textId="772DF7D8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Sub-carrier spacing</w:t>
            </w:r>
          </w:p>
        </w:tc>
        <w:tc>
          <w:tcPr>
            <w:tcW w:w="6095" w:type="dxa"/>
          </w:tcPr>
          <w:p w14:paraId="11A2EB39" w14:textId="3776EEE2" w:rsidR="0066115C" w:rsidRDefault="00AE6515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15 kHz</w:t>
            </w:r>
          </w:p>
        </w:tc>
      </w:tr>
      <w:tr w:rsidR="0066115C" w14:paraId="2BA355FD" w14:textId="77777777" w:rsidTr="00A53EB5">
        <w:tc>
          <w:tcPr>
            <w:tcW w:w="2972" w:type="dxa"/>
          </w:tcPr>
          <w:p w14:paraId="2ECE7232" w14:textId="23E9198F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095" w:type="dxa"/>
          </w:tcPr>
          <w:p w14:paraId="40FFAD2C" w14:textId="40863E25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CDL-C 100 ns scaling, AWGN</w:t>
            </w:r>
          </w:p>
        </w:tc>
      </w:tr>
      <w:tr w:rsidR="0066115C" w14:paraId="6580C732" w14:textId="77777777" w:rsidTr="00A53EB5">
        <w:tc>
          <w:tcPr>
            <w:tcW w:w="2972" w:type="dxa"/>
          </w:tcPr>
          <w:p w14:paraId="11292610" w14:textId="2D998FCA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UE speed</w:t>
            </w:r>
          </w:p>
        </w:tc>
        <w:tc>
          <w:tcPr>
            <w:tcW w:w="6095" w:type="dxa"/>
          </w:tcPr>
          <w:p w14:paraId="72A600FC" w14:textId="19FBDE87" w:rsidR="0066115C" w:rsidRDefault="00D65648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30 km/h</w:t>
            </w:r>
            <w:r w:rsidR="00A76092">
              <w:rPr>
                <w:lang w:val="en-GB"/>
              </w:rPr>
              <w:t>, 480 km/h</w:t>
            </w:r>
          </w:p>
        </w:tc>
      </w:tr>
      <w:tr w:rsidR="0066115C" w14:paraId="47DBE191" w14:textId="77777777" w:rsidTr="00A53EB5">
        <w:tc>
          <w:tcPr>
            <w:tcW w:w="2972" w:type="dxa"/>
          </w:tcPr>
          <w:p w14:paraId="1866A88D" w14:textId="6ED4CEF3" w:rsidR="0066115C" w:rsidRDefault="00F71753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PSS r</w:t>
            </w:r>
            <w:r w:rsidR="0066115C">
              <w:rPr>
                <w:lang w:val="en-GB"/>
              </w:rPr>
              <w:t>eceiver algorithm</w:t>
            </w:r>
          </w:p>
        </w:tc>
        <w:tc>
          <w:tcPr>
            <w:tcW w:w="6095" w:type="dxa"/>
          </w:tcPr>
          <w:p w14:paraId="355CE577" w14:textId="2C26F65B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Single-shot time-domain correlator with thresholding</w:t>
            </w:r>
          </w:p>
        </w:tc>
      </w:tr>
      <w:tr w:rsidR="00F71753" w14:paraId="691FA3B5" w14:textId="77777777" w:rsidTr="00A53EB5">
        <w:tc>
          <w:tcPr>
            <w:tcW w:w="2972" w:type="dxa"/>
          </w:tcPr>
          <w:p w14:paraId="2EAA5C2E" w14:textId="75143B62" w:rsidR="00F71753" w:rsidRDefault="00F71753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SSS receiver algorithm</w:t>
            </w:r>
          </w:p>
        </w:tc>
        <w:tc>
          <w:tcPr>
            <w:tcW w:w="6095" w:type="dxa"/>
          </w:tcPr>
          <w:p w14:paraId="589F0F6D" w14:textId="5F87F544" w:rsidR="00F71753" w:rsidRDefault="00F71753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Single-shot non-coherent exhaustive search</w:t>
            </w:r>
          </w:p>
        </w:tc>
      </w:tr>
      <w:tr w:rsidR="0066115C" w14:paraId="4D52F002" w14:textId="77777777" w:rsidTr="00A53EB5">
        <w:tc>
          <w:tcPr>
            <w:tcW w:w="2972" w:type="dxa"/>
          </w:tcPr>
          <w:p w14:paraId="596961A0" w14:textId="4A765A0F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False alarm probability</w:t>
            </w:r>
          </w:p>
        </w:tc>
        <w:tc>
          <w:tcPr>
            <w:tcW w:w="6095" w:type="dxa"/>
          </w:tcPr>
          <w:p w14:paraId="3AD30AD2" w14:textId="3969D541" w:rsidR="0066115C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lang w:val="en-GB"/>
              </w:rPr>
            </w:pPr>
            <w:r>
              <w:rPr>
                <w:lang w:val="en-GB"/>
              </w:rPr>
              <w:t>&lt; 1 %</w:t>
            </w:r>
          </w:p>
        </w:tc>
      </w:tr>
    </w:tbl>
    <w:p w14:paraId="18D0B471" w14:textId="69F64B12" w:rsidR="00D907A5" w:rsidRDefault="00D907A5" w:rsidP="00D907A5">
      <w:pPr>
        <w:pStyle w:val="Caption"/>
      </w:pPr>
      <w:r>
        <w:t xml:space="preserve">Table </w:t>
      </w:r>
      <w:r w:rsidR="00687D19">
        <w:fldChar w:fldCharType="begin"/>
      </w:r>
      <w:r w:rsidR="00687D19">
        <w:instrText xml:space="preserve"> SEQ Table \* ARABIC </w:instrText>
      </w:r>
      <w:r w:rsidR="00687D19">
        <w:fldChar w:fldCharType="separate"/>
      </w:r>
      <w:r>
        <w:rPr>
          <w:noProof/>
        </w:rPr>
        <w:t>1</w:t>
      </w:r>
      <w:r w:rsidR="00687D19">
        <w:rPr>
          <w:noProof/>
        </w:rPr>
        <w:fldChar w:fldCharType="end"/>
      </w:r>
      <w:r>
        <w:t xml:space="preserve"> </w:t>
      </w:r>
      <w:r w:rsidR="005166F3">
        <w:t xml:space="preserve"> Simulation parameters</w:t>
      </w:r>
    </w:p>
    <w:p w14:paraId="3F10A892" w14:textId="4C5C70F8" w:rsidR="00F92DF2" w:rsidRDefault="00F92DF2" w:rsidP="00F92D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rPr>
          <w:color w:val="000000"/>
        </w:rPr>
        <w:t>Simulation results</w:t>
      </w:r>
    </w:p>
    <w:p w14:paraId="3707066F" w14:textId="4ED5B047" w:rsidR="00D907A5" w:rsidRDefault="005166F3" w:rsidP="009040DC">
      <w:pPr>
        <w:rPr>
          <w:lang w:val="en-US" w:eastAsia="x-none"/>
        </w:rPr>
      </w:pPr>
      <w:r>
        <w:rPr>
          <w:lang w:val="en-US" w:eastAsia="x-none"/>
        </w:rPr>
        <w:t>Figure</w:t>
      </w:r>
      <w:r w:rsidR="001117A7">
        <w:rPr>
          <w:lang w:val="en-US" w:eastAsia="x-none"/>
        </w:rPr>
        <w:t>s</w:t>
      </w:r>
      <w:r w:rsidR="00A76092">
        <w:rPr>
          <w:lang w:val="en-US" w:eastAsia="x-none"/>
        </w:rPr>
        <w:t xml:space="preserve"> 1,</w:t>
      </w:r>
      <w:r w:rsidR="001302C8">
        <w:rPr>
          <w:lang w:val="en-US" w:eastAsia="x-none"/>
        </w:rPr>
        <w:t xml:space="preserve"> 2</w:t>
      </w:r>
      <w:r w:rsidR="001117A7">
        <w:rPr>
          <w:lang w:val="en-US" w:eastAsia="x-none"/>
        </w:rPr>
        <w:t xml:space="preserve"> </w:t>
      </w:r>
      <w:r w:rsidR="00A76092">
        <w:rPr>
          <w:lang w:val="en-US" w:eastAsia="x-none"/>
        </w:rPr>
        <w:t xml:space="preserve">and 3 </w:t>
      </w:r>
      <w:r w:rsidR="001117A7">
        <w:rPr>
          <w:lang w:val="en-US" w:eastAsia="x-none"/>
        </w:rPr>
        <w:t xml:space="preserve">show </w:t>
      </w:r>
      <w:r>
        <w:rPr>
          <w:lang w:val="en-US" w:eastAsia="x-none"/>
        </w:rPr>
        <w:t>the s</w:t>
      </w:r>
      <w:r w:rsidR="001302C8">
        <w:rPr>
          <w:lang w:val="en-US" w:eastAsia="x-none"/>
        </w:rPr>
        <w:t>ingle shot detection rates</w:t>
      </w:r>
      <w:r>
        <w:rPr>
          <w:lang w:val="en-US" w:eastAsia="x-none"/>
        </w:rPr>
        <w:t xml:space="preserve"> </w:t>
      </w:r>
      <w:r w:rsidR="001302C8">
        <w:rPr>
          <w:lang w:val="en-US" w:eastAsia="x-none"/>
        </w:rPr>
        <w:t>for TDM and FDM synchronization signals in the CDL-C and the AWGN channel with two sequence lengths 63 and 127.</w:t>
      </w:r>
      <w:r w:rsidR="002B5A51">
        <w:rPr>
          <w:lang w:val="en-US" w:eastAsia="x-none"/>
        </w:rPr>
        <w:t xml:space="preserve"> Both PSS and SSS detection rates are shown. The SSS detection rate is obtained so that the dete</w:t>
      </w:r>
      <w:r w:rsidR="005F26BA">
        <w:rPr>
          <w:lang w:val="en-US" w:eastAsia="x-none"/>
        </w:rPr>
        <w:t>ction is performed only after the PSS correlation result exceeds the detection threshold</w:t>
      </w:r>
      <w:r w:rsidR="002B5A51">
        <w:rPr>
          <w:lang w:val="en-US" w:eastAsia="x-none"/>
        </w:rPr>
        <w:t>.</w:t>
      </w:r>
      <w:r w:rsidR="001302C8">
        <w:rPr>
          <w:lang w:val="en-US" w:eastAsia="x-none"/>
        </w:rPr>
        <w:t xml:space="preserve"> </w:t>
      </w:r>
      <w:r w:rsidR="00D65648">
        <w:rPr>
          <w:lang w:val="en-US" w:eastAsia="x-none"/>
        </w:rPr>
        <w:t xml:space="preserve">In the FDM case the PSS and SSS are placed </w:t>
      </w:r>
      <w:r w:rsidR="00EE6B76">
        <w:rPr>
          <w:lang w:val="en-US" w:eastAsia="x-none"/>
        </w:rPr>
        <w:t xml:space="preserve">directly </w:t>
      </w:r>
      <w:r w:rsidR="00D65648">
        <w:rPr>
          <w:lang w:val="en-US" w:eastAsia="x-none"/>
        </w:rPr>
        <w:t xml:space="preserve">adjacent to each other, while in the TDM case the channels are in the same frequency locations in adjacent symbols. </w:t>
      </w:r>
      <w:r w:rsidR="001302C8">
        <w:rPr>
          <w:lang w:val="en-US" w:eastAsia="x-none"/>
        </w:rPr>
        <w:t xml:space="preserve">There is no performance difference between the </w:t>
      </w:r>
      <w:r w:rsidR="00EE6B76">
        <w:rPr>
          <w:lang w:val="en-US" w:eastAsia="x-none"/>
        </w:rPr>
        <w:t xml:space="preserve">placement </w:t>
      </w:r>
      <w:r w:rsidR="001302C8">
        <w:rPr>
          <w:lang w:val="en-US" w:eastAsia="x-none"/>
        </w:rPr>
        <w:t xml:space="preserve">options in the AWGN channel, because the channel is static and not selective. In the CDL-C channel </w:t>
      </w:r>
      <w:r w:rsidR="00C57261">
        <w:rPr>
          <w:lang w:val="en-US" w:eastAsia="x-none"/>
        </w:rPr>
        <w:t>the longer FDM SSS sequence performs slightly worse at low SNRs than the TDM version due to frequency selectivity</w:t>
      </w:r>
      <w:r w:rsidR="008819C7">
        <w:rPr>
          <w:lang w:val="en-US" w:eastAsia="x-none"/>
        </w:rPr>
        <w:t xml:space="preserve">. Time correlation guarantees </w:t>
      </w:r>
      <w:r w:rsidR="00C57261">
        <w:rPr>
          <w:lang w:val="en-US" w:eastAsia="x-none"/>
        </w:rPr>
        <w:t>better channel conditions for the TDM SSS signal.</w:t>
      </w:r>
      <w:r w:rsidR="002B5A51">
        <w:rPr>
          <w:lang w:val="en-US" w:eastAsia="x-none"/>
        </w:rPr>
        <w:t xml:space="preserve"> </w:t>
      </w:r>
      <w:r w:rsidR="00A76092">
        <w:rPr>
          <w:lang w:val="en-US" w:eastAsia="x-none"/>
        </w:rPr>
        <w:t xml:space="preserve">At higher UE speeds the time correlation is reduced and the difference disappears (see Figure 2). </w:t>
      </w:r>
      <w:r w:rsidR="002B5A51">
        <w:rPr>
          <w:lang w:val="en-US" w:eastAsia="x-none"/>
        </w:rPr>
        <w:t>The PSS results are naturally identical</w:t>
      </w:r>
      <w:r w:rsidR="005F26BA">
        <w:rPr>
          <w:lang w:val="en-US" w:eastAsia="x-none"/>
        </w:rPr>
        <w:t xml:space="preserve"> for practical purposes</w:t>
      </w:r>
      <w:r w:rsidR="002B5A51">
        <w:rPr>
          <w:lang w:val="en-US" w:eastAsia="x-none"/>
        </w:rPr>
        <w:t xml:space="preserve"> in the two (TDM, FDM) cases.</w:t>
      </w:r>
    </w:p>
    <w:p w14:paraId="6E58A20E" w14:textId="36747A71" w:rsidR="007436C2" w:rsidRDefault="007436C2" w:rsidP="009040DC">
      <w:pPr>
        <w:rPr>
          <w:lang w:val="en-US" w:eastAsia="x-none"/>
        </w:rPr>
      </w:pPr>
      <w:r>
        <w:rPr>
          <w:lang w:val="en-US" w:eastAsia="x-none"/>
        </w:rPr>
        <w:t>Figure 4 shows the frequency estimation accuracy using a single-shot PSS symbol based estimator. We note that the estimation error is within the range that is tolerated by the SSS detector.</w:t>
      </w:r>
    </w:p>
    <w:p w14:paraId="39B9319E" w14:textId="1F58679D" w:rsidR="001A3EAD" w:rsidRDefault="00977011" w:rsidP="00A362FA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D8BC0CA" wp14:editId="15805DF7">
            <wp:extent cx="6120765" cy="441134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rTDMvFDMsyncCDLC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1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75943" w14:textId="1DB69755" w:rsidR="005166F3" w:rsidRDefault="001A3EAD" w:rsidP="00447C2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936">
        <w:rPr>
          <w:noProof/>
        </w:rPr>
        <w:t>1</w:t>
      </w:r>
      <w:r>
        <w:fldChar w:fldCharType="end"/>
      </w:r>
      <w:r w:rsidRPr="001A3EAD">
        <w:rPr>
          <w:lang w:val="en-US"/>
        </w:rPr>
        <w:t xml:space="preserve"> </w:t>
      </w:r>
      <w:r w:rsidR="00EE295A">
        <w:rPr>
          <w:lang w:val="en-US"/>
        </w:rPr>
        <w:t xml:space="preserve">Comparison </w:t>
      </w:r>
      <w:r w:rsidR="00977011">
        <w:rPr>
          <w:lang w:val="en-US"/>
        </w:rPr>
        <w:t>of TDM vs FDM synchronization s</w:t>
      </w:r>
      <w:r w:rsidR="00EE295A">
        <w:rPr>
          <w:lang w:val="en-US"/>
        </w:rPr>
        <w:t>i</w:t>
      </w:r>
      <w:r w:rsidR="00977011">
        <w:rPr>
          <w:lang w:val="en-US"/>
        </w:rPr>
        <w:t>g</w:t>
      </w:r>
      <w:r w:rsidR="00EE295A">
        <w:rPr>
          <w:lang w:val="en-US"/>
        </w:rPr>
        <w:t>nals</w:t>
      </w:r>
      <w:r w:rsidR="00A53EB5">
        <w:rPr>
          <w:lang w:val="en-US"/>
        </w:rPr>
        <w:t>, CDL-C channel model</w:t>
      </w:r>
    </w:p>
    <w:p w14:paraId="641FBCC8" w14:textId="77777777" w:rsidR="00A76092" w:rsidRDefault="00A76092" w:rsidP="00A76092">
      <w:pPr>
        <w:rPr>
          <w:lang w:val="en-US" w:eastAsia="x-none"/>
        </w:rPr>
      </w:pPr>
    </w:p>
    <w:p w14:paraId="309A2610" w14:textId="04E3088D" w:rsidR="00A76092" w:rsidRPr="00A76092" w:rsidRDefault="00A76092" w:rsidP="00A76092">
      <w:pPr>
        <w:jc w:val="center"/>
        <w:rPr>
          <w:lang w:val="en-US" w:eastAsia="x-none"/>
        </w:rPr>
      </w:pPr>
      <w:r>
        <w:rPr>
          <w:noProof/>
          <w:lang w:val="en-US"/>
        </w:rPr>
        <w:lastRenderedPageBreak/>
        <w:drawing>
          <wp:inline distT="0" distB="0" distL="0" distR="0" wp14:anchorId="14CBB090" wp14:editId="28FFD6BC">
            <wp:extent cx="5702300" cy="4381288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rTDMvFDMsyncH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834" cy="4391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9C96B" w14:textId="2E35E1AF" w:rsidR="00A76092" w:rsidRDefault="00A76092" w:rsidP="00447C20">
      <w:pPr>
        <w:pStyle w:val="Caption"/>
        <w:jc w:val="center"/>
        <w:rPr>
          <w:lang w:val="en-US"/>
        </w:rPr>
      </w:pPr>
      <w:r>
        <w:t xml:space="preserve">Figure </w:t>
      </w:r>
      <w:r w:rsidRPr="00A76092">
        <w:rPr>
          <w:lang w:val="en-US"/>
        </w:rPr>
        <w:t>2</w:t>
      </w:r>
      <w:r w:rsidRPr="001A3EAD">
        <w:rPr>
          <w:lang w:val="en-US"/>
        </w:rPr>
        <w:t xml:space="preserve"> </w:t>
      </w:r>
      <w:r>
        <w:rPr>
          <w:lang w:val="en-US"/>
        </w:rPr>
        <w:t>Comparison of TDM vs FDM synchronization signals, CDL-C channel model</w:t>
      </w:r>
    </w:p>
    <w:p w14:paraId="692855B9" w14:textId="77777777" w:rsidR="005166F3" w:rsidRDefault="005166F3" w:rsidP="009040DC">
      <w:pPr>
        <w:rPr>
          <w:lang w:val="en-US" w:eastAsia="x-none"/>
        </w:rPr>
      </w:pPr>
    </w:p>
    <w:p w14:paraId="581A311D" w14:textId="4506D446" w:rsidR="00DF4936" w:rsidRDefault="001302C8" w:rsidP="00A362FA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20A4F82" wp14:editId="57C0BC1D">
            <wp:extent cx="5333333" cy="4000000"/>
            <wp:effectExtent l="0" t="0" r="127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nrTDMvFDMsyncAWG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3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A9418" w14:textId="2617BB85" w:rsidR="00DF4936" w:rsidRPr="00DF4936" w:rsidRDefault="00DF4936" w:rsidP="00447C2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977011" w:rsidRPr="00977011">
        <w:rPr>
          <w:lang w:val="en-US"/>
        </w:rPr>
        <w:t xml:space="preserve"> </w:t>
      </w:r>
      <w:r w:rsidR="00977011">
        <w:rPr>
          <w:lang w:val="en-US"/>
        </w:rPr>
        <w:t xml:space="preserve">Comparison of TDM vs FDM </w:t>
      </w:r>
      <w:r w:rsidR="00447C20">
        <w:rPr>
          <w:lang w:val="en-US"/>
        </w:rPr>
        <w:t>synchronization signals</w:t>
      </w:r>
      <w:r w:rsidRPr="00DF4936">
        <w:rPr>
          <w:lang w:val="en-US"/>
        </w:rPr>
        <w:t xml:space="preserve">, AWGN </w:t>
      </w:r>
      <w:r>
        <w:rPr>
          <w:lang w:val="en-US"/>
        </w:rPr>
        <w:t>channel</w:t>
      </w:r>
    </w:p>
    <w:p w14:paraId="20911271" w14:textId="77777777" w:rsidR="00DF4936" w:rsidRDefault="00DF4936" w:rsidP="009040DC">
      <w:pPr>
        <w:rPr>
          <w:lang w:val="en-US" w:eastAsia="x-none"/>
        </w:rPr>
      </w:pPr>
    </w:p>
    <w:p w14:paraId="29DF9B0F" w14:textId="71D0C049" w:rsidR="00DF4936" w:rsidRDefault="00A362FA" w:rsidP="00A362FA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06D9632" wp14:editId="6D9F9931">
            <wp:extent cx="5333333" cy="4000000"/>
            <wp:effectExtent l="0" t="0" r="127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rFreqOffsetSt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3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00208" w14:textId="1B9E61B9" w:rsidR="00DF4936" w:rsidRDefault="00DF4936" w:rsidP="00447C2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DF4936">
        <w:rPr>
          <w:lang w:val="en-US"/>
        </w:rPr>
        <w:t xml:space="preserve"> </w:t>
      </w:r>
      <w:r w:rsidR="00977011">
        <w:rPr>
          <w:lang w:val="en-US"/>
        </w:rPr>
        <w:t>Frequency error estimation accuracy</w:t>
      </w:r>
    </w:p>
    <w:p w14:paraId="77DC0C6E" w14:textId="4F3AE049" w:rsidR="00620244" w:rsidRDefault="005166F3" w:rsidP="00B74C8F">
      <w:pPr>
        <w:pStyle w:val="Heading1"/>
        <w:rPr>
          <w:b/>
          <w:bCs/>
          <w:lang w:val="en-US"/>
        </w:rPr>
      </w:pPr>
      <w:r>
        <w:rPr>
          <w:color w:val="000000"/>
        </w:rPr>
        <w:lastRenderedPageBreak/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B46E408" w14:textId="42AEE896" w:rsidR="00DF4936" w:rsidRPr="00DF4936" w:rsidRDefault="008819C7" w:rsidP="00DF4936">
      <w:pPr>
        <w:rPr>
          <w:lang w:val="en-US"/>
        </w:rPr>
      </w:pPr>
      <w:r>
        <w:rPr>
          <w:lang w:val="en-US"/>
        </w:rPr>
        <w:t>In terms of detection performance both TDM and FDM of synchronization signals are viable candidates.</w:t>
      </w:r>
    </w:p>
    <w:p w14:paraId="6715E3EE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DD616A6" w14:textId="77777777" w:rsidR="006F1D85" w:rsidRPr="0001345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>”, NTT DoCoMo</w:t>
      </w:r>
    </w:p>
    <w:p w14:paraId="292FC6E8" w14:textId="77777777" w:rsidR="00796F1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28EE7BA3" w14:textId="4E9BEE56" w:rsidR="006B4D91" w:rsidRDefault="006B4D91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RAN1#86</w:t>
      </w:r>
      <w:r w:rsidR="002366B1">
        <w:rPr>
          <w:sz w:val="18"/>
        </w:rPr>
        <w:t xml:space="preserve"> bis</w:t>
      </w:r>
      <w:r>
        <w:rPr>
          <w:sz w:val="18"/>
        </w:rPr>
        <w:t xml:space="preserve"> Chairman Notes</w:t>
      </w:r>
    </w:p>
    <w:p w14:paraId="75AB27B7" w14:textId="4A8E6F36" w:rsidR="00DF4936" w:rsidRDefault="00DF4936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 xml:space="preserve">R1-168488, </w:t>
      </w:r>
      <w:r w:rsidRPr="00DF4936">
        <w:rPr>
          <w:i/>
          <w:sz w:val="18"/>
        </w:rPr>
        <w:t>“Evaluation Scenarios and Assumptions for DL and UL Mobility”</w:t>
      </w:r>
      <w:r>
        <w:rPr>
          <w:sz w:val="18"/>
        </w:rPr>
        <w:t>, Qualcomm Incorporated, Huawei, Intel</w:t>
      </w:r>
    </w:p>
    <w:p w14:paraId="68B714FD" w14:textId="39D3D95D" w:rsidR="00AE6515" w:rsidRDefault="00AE6515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R1-1610290, “</w:t>
      </w:r>
      <w:r w:rsidRPr="00AE6515">
        <w:rPr>
          <w:i/>
          <w:sz w:val="18"/>
        </w:rPr>
        <w:t>Initial Synch Signal Performance Results</w:t>
      </w:r>
      <w:r>
        <w:rPr>
          <w:sz w:val="18"/>
        </w:rPr>
        <w:t>”, Nokia, Alcatel-Lucent Shanghai Bell</w:t>
      </w:r>
    </w:p>
    <w:sectPr w:rsidR="00AE651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8EB67" w14:textId="77777777" w:rsidR="00E4129E" w:rsidRDefault="00E4129E">
      <w:r>
        <w:separator/>
      </w:r>
    </w:p>
  </w:endnote>
  <w:endnote w:type="continuationSeparator" w:id="0">
    <w:p w14:paraId="0244961D" w14:textId="77777777" w:rsidR="00E4129E" w:rsidRDefault="00E4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59186" w14:textId="77777777" w:rsidR="00E4129E" w:rsidRDefault="00E4129E">
      <w:r>
        <w:separator/>
      </w:r>
    </w:p>
  </w:footnote>
  <w:footnote w:type="continuationSeparator" w:id="0">
    <w:p w14:paraId="6D6C6127" w14:textId="77777777" w:rsidR="00E4129E" w:rsidRDefault="00E41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529D"/>
    <w:multiLevelType w:val="hybridMultilevel"/>
    <w:tmpl w:val="2B3E32B6"/>
    <w:lvl w:ilvl="0" w:tplc="EA80C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2D816">
      <w:start w:val="6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0045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06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01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346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2F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46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9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F6C50"/>
    <w:multiLevelType w:val="hybridMultilevel"/>
    <w:tmpl w:val="8102C172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A503B2"/>
    <w:multiLevelType w:val="hybridMultilevel"/>
    <w:tmpl w:val="EC9E1A30"/>
    <w:lvl w:ilvl="0" w:tplc="23AA7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01614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FC41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27C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4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E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E7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A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D473D"/>
    <w:multiLevelType w:val="hybridMultilevel"/>
    <w:tmpl w:val="B3E6211A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4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549A2"/>
    <w:multiLevelType w:val="hybridMultilevel"/>
    <w:tmpl w:val="ADEE0420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5A3296"/>
    <w:multiLevelType w:val="hybridMultilevel"/>
    <w:tmpl w:val="96F601D8"/>
    <w:lvl w:ilvl="0" w:tplc="5E66CFE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98A6CF3"/>
    <w:multiLevelType w:val="hybridMultilevel"/>
    <w:tmpl w:val="E8687486"/>
    <w:lvl w:ilvl="0" w:tplc="C1546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C1A9C">
      <w:start w:val="6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080074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19B6">
      <w:start w:val="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0BCA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C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6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CB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B6924"/>
    <w:multiLevelType w:val="hybridMultilevel"/>
    <w:tmpl w:val="7DA6EB76"/>
    <w:lvl w:ilvl="0" w:tplc="BF46911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30"/>
  </w:num>
  <w:num w:numId="5">
    <w:abstractNumId w:val="29"/>
  </w:num>
  <w:num w:numId="6">
    <w:abstractNumId w:val="24"/>
  </w:num>
  <w:num w:numId="7">
    <w:abstractNumId w:val="6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14"/>
  </w:num>
  <w:num w:numId="11">
    <w:abstractNumId w:val="18"/>
  </w:num>
  <w:num w:numId="12">
    <w:abstractNumId w:val="4"/>
  </w:num>
  <w:num w:numId="13">
    <w:abstractNumId w:val="28"/>
  </w:num>
  <w:num w:numId="14">
    <w:abstractNumId w:val="16"/>
  </w:num>
  <w:num w:numId="15">
    <w:abstractNumId w:val="10"/>
  </w:num>
  <w:num w:numId="16">
    <w:abstractNumId w:val="12"/>
  </w:num>
  <w:num w:numId="17">
    <w:abstractNumId w:val="27"/>
  </w:num>
  <w:num w:numId="18">
    <w:abstractNumId w:val="26"/>
  </w:num>
  <w:num w:numId="19">
    <w:abstractNumId w:val="3"/>
  </w:num>
  <w:num w:numId="20">
    <w:abstractNumId w:val="5"/>
  </w:num>
  <w:num w:numId="21">
    <w:abstractNumId w:val="9"/>
  </w:num>
  <w:num w:numId="22">
    <w:abstractNumId w:val="1"/>
  </w:num>
  <w:num w:numId="23">
    <w:abstractNumId w:val="20"/>
  </w:num>
  <w:num w:numId="24">
    <w:abstractNumId w:val="15"/>
  </w:num>
  <w:num w:numId="25">
    <w:abstractNumId w:val="25"/>
  </w:num>
  <w:num w:numId="26">
    <w:abstractNumId w:val="2"/>
  </w:num>
  <w:num w:numId="27">
    <w:abstractNumId w:val="21"/>
  </w:num>
  <w:num w:numId="28">
    <w:abstractNumId w:val="11"/>
  </w:num>
  <w:num w:numId="29">
    <w:abstractNumId w:val="0"/>
  </w:num>
  <w:num w:numId="30">
    <w:abstractNumId w:val="23"/>
  </w:num>
  <w:num w:numId="3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30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208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6D0"/>
    <w:rsid w:val="00072BBA"/>
    <w:rsid w:val="00072FF5"/>
    <w:rsid w:val="00075FDA"/>
    <w:rsid w:val="00076386"/>
    <w:rsid w:val="00076D82"/>
    <w:rsid w:val="00081EC2"/>
    <w:rsid w:val="00083800"/>
    <w:rsid w:val="00084A65"/>
    <w:rsid w:val="00085745"/>
    <w:rsid w:val="00087F36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F3C"/>
    <w:rsid w:val="000B51EB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2BC"/>
    <w:rsid w:val="000D344D"/>
    <w:rsid w:val="000D40E7"/>
    <w:rsid w:val="000D584F"/>
    <w:rsid w:val="000E071E"/>
    <w:rsid w:val="000E27AA"/>
    <w:rsid w:val="000E337A"/>
    <w:rsid w:val="000E4350"/>
    <w:rsid w:val="000E4408"/>
    <w:rsid w:val="000E537F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5F73"/>
    <w:rsid w:val="00101C4F"/>
    <w:rsid w:val="00102C9F"/>
    <w:rsid w:val="001068D2"/>
    <w:rsid w:val="001103BD"/>
    <w:rsid w:val="00111208"/>
    <w:rsid w:val="001117A7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02C8"/>
    <w:rsid w:val="00132B71"/>
    <w:rsid w:val="0013427A"/>
    <w:rsid w:val="001362C2"/>
    <w:rsid w:val="00136955"/>
    <w:rsid w:val="00136E19"/>
    <w:rsid w:val="001371B2"/>
    <w:rsid w:val="0013798C"/>
    <w:rsid w:val="00137D78"/>
    <w:rsid w:val="001409A0"/>
    <w:rsid w:val="00141F08"/>
    <w:rsid w:val="00141FF2"/>
    <w:rsid w:val="0014287A"/>
    <w:rsid w:val="00142AAD"/>
    <w:rsid w:val="00142DE2"/>
    <w:rsid w:val="00144C87"/>
    <w:rsid w:val="001467B1"/>
    <w:rsid w:val="00147BC7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37C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A42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3B25"/>
    <w:rsid w:val="001A3EAD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3949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17BBA"/>
    <w:rsid w:val="00221985"/>
    <w:rsid w:val="00221EC5"/>
    <w:rsid w:val="00222A7A"/>
    <w:rsid w:val="00224A2C"/>
    <w:rsid w:val="00225262"/>
    <w:rsid w:val="002256D9"/>
    <w:rsid w:val="0022687C"/>
    <w:rsid w:val="002306F8"/>
    <w:rsid w:val="002312F4"/>
    <w:rsid w:val="002313A2"/>
    <w:rsid w:val="00231C55"/>
    <w:rsid w:val="00231FC7"/>
    <w:rsid w:val="00232930"/>
    <w:rsid w:val="00232A95"/>
    <w:rsid w:val="00232DD9"/>
    <w:rsid w:val="00233403"/>
    <w:rsid w:val="00233440"/>
    <w:rsid w:val="00233D0E"/>
    <w:rsid w:val="00236450"/>
    <w:rsid w:val="002366B1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1AF8"/>
    <w:rsid w:val="00262661"/>
    <w:rsid w:val="002632DF"/>
    <w:rsid w:val="002640BA"/>
    <w:rsid w:val="00264CF2"/>
    <w:rsid w:val="0026693C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A82"/>
    <w:rsid w:val="002B2D29"/>
    <w:rsid w:val="002B5A51"/>
    <w:rsid w:val="002C0C4B"/>
    <w:rsid w:val="002C1EEA"/>
    <w:rsid w:val="002C6034"/>
    <w:rsid w:val="002C635B"/>
    <w:rsid w:val="002C7CFF"/>
    <w:rsid w:val="002D0BC6"/>
    <w:rsid w:val="002D17C5"/>
    <w:rsid w:val="002D217B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4E4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0A42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567"/>
    <w:rsid w:val="003C5C41"/>
    <w:rsid w:val="003C7461"/>
    <w:rsid w:val="003D0788"/>
    <w:rsid w:val="003D0A29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1CC"/>
    <w:rsid w:val="003E64A9"/>
    <w:rsid w:val="003E7905"/>
    <w:rsid w:val="003F0336"/>
    <w:rsid w:val="003F5547"/>
    <w:rsid w:val="003F5C40"/>
    <w:rsid w:val="003F6E12"/>
    <w:rsid w:val="003F75ED"/>
    <w:rsid w:val="003F7883"/>
    <w:rsid w:val="004002B7"/>
    <w:rsid w:val="00400F31"/>
    <w:rsid w:val="00406B4D"/>
    <w:rsid w:val="0041443C"/>
    <w:rsid w:val="004154F7"/>
    <w:rsid w:val="00416D44"/>
    <w:rsid w:val="004176FF"/>
    <w:rsid w:val="004214AF"/>
    <w:rsid w:val="00421A27"/>
    <w:rsid w:val="004241C5"/>
    <w:rsid w:val="00424FA7"/>
    <w:rsid w:val="00426A87"/>
    <w:rsid w:val="004309D8"/>
    <w:rsid w:val="004313D1"/>
    <w:rsid w:val="00432072"/>
    <w:rsid w:val="00432110"/>
    <w:rsid w:val="00433EBE"/>
    <w:rsid w:val="00434406"/>
    <w:rsid w:val="00435462"/>
    <w:rsid w:val="00440FED"/>
    <w:rsid w:val="00441B92"/>
    <w:rsid w:val="0044474B"/>
    <w:rsid w:val="00445FF7"/>
    <w:rsid w:val="00447C20"/>
    <w:rsid w:val="00453341"/>
    <w:rsid w:val="004545C6"/>
    <w:rsid w:val="00454DCA"/>
    <w:rsid w:val="00456544"/>
    <w:rsid w:val="00456649"/>
    <w:rsid w:val="004567B7"/>
    <w:rsid w:val="00456856"/>
    <w:rsid w:val="00460AEA"/>
    <w:rsid w:val="00461210"/>
    <w:rsid w:val="00462490"/>
    <w:rsid w:val="00465299"/>
    <w:rsid w:val="00466A0F"/>
    <w:rsid w:val="0046795B"/>
    <w:rsid w:val="004708C0"/>
    <w:rsid w:val="00471863"/>
    <w:rsid w:val="004731FE"/>
    <w:rsid w:val="00473A14"/>
    <w:rsid w:val="00474CA8"/>
    <w:rsid w:val="00474E43"/>
    <w:rsid w:val="00475CC2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2EB"/>
    <w:rsid w:val="004A2CA9"/>
    <w:rsid w:val="004A35E3"/>
    <w:rsid w:val="004A3CB5"/>
    <w:rsid w:val="004A3CEC"/>
    <w:rsid w:val="004A4B59"/>
    <w:rsid w:val="004A537D"/>
    <w:rsid w:val="004A67F0"/>
    <w:rsid w:val="004A71C3"/>
    <w:rsid w:val="004A7769"/>
    <w:rsid w:val="004B23AD"/>
    <w:rsid w:val="004B2965"/>
    <w:rsid w:val="004B308D"/>
    <w:rsid w:val="004B4224"/>
    <w:rsid w:val="004B4647"/>
    <w:rsid w:val="004B7455"/>
    <w:rsid w:val="004B74FF"/>
    <w:rsid w:val="004B7CE4"/>
    <w:rsid w:val="004C0401"/>
    <w:rsid w:val="004C0C49"/>
    <w:rsid w:val="004C0F2B"/>
    <w:rsid w:val="004C183D"/>
    <w:rsid w:val="004C3063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4F7BCE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6F3"/>
    <w:rsid w:val="00516FD9"/>
    <w:rsid w:val="0051791D"/>
    <w:rsid w:val="005214D6"/>
    <w:rsid w:val="00523E75"/>
    <w:rsid w:val="005243E0"/>
    <w:rsid w:val="005256F3"/>
    <w:rsid w:val="005265A3"/>
    <w:rsid w:val="00526783"/>
    <w:rsid w:val="00527FB1"/>
    <w:rsid w:val="0053162F"/>
    <w:rsid w:val="00531777"/>
    <w:rsid w:val="00531D7B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741DA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1B8B"/>
    <w:rsid w:val="0059331A"/>
    <w:rsid w:val="00596BBA"/>
    <w:rsid w:val="005975C4"/>
    <w:rsid w:val="00597ED8"/>
    <w:rsid w:val="005A34D5"/>
    <w:rsid w:val="005A4904"/>
    <w:rsid w:val="005A515A"/>
    <w:rsid w:val="005A704D"/>
    <w:rsid w:val="005A74EB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E5C4D"/>
    <w:rsid w:val="005F0108"/>
    <w:rsid w:val="005F0ECC"/>
    <w:rsid w:val="005F21A5"/>
    <w:rsid w:val="005F2470"/>
    <w:rsid w:val="005F26BA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58B1"/>
    <w:rsid w:val="00606A26"/>
    <w:rsid w:val="00607D81"/>
    <w:rsid w:val="00610747"/>
    <w:rsid w:val="0061176E"/>
    <w:rsid w:val="00614CD1"/>
    <w:rsid w:val="0061567B"/>
    <w:rsid w:val="00620244"/>
    <w:rsid w:val="0062152A"/>
    <w:rsid w:val="00623583"/>
    <w:rsid w:val="0062462F"/>
    <w:rsid w:val="00624BA1"/>
    <w:rsid w:val="00625CA2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15C"/>
    <w:rsid w:val="006619B0"/>
    <w:rsid w:val="00662012"/>
    <w:rsid w:val="00662543"/>
    <w:rsid w:val="006626D0"/>
    <w:rsid w:val="00664E8C"/>
    <w:rsid w:val="00665F7C"/>
    <w:rsid w:val="00666926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87D19"/>
    <w:rsid w:val="00690E2E"/>
    <w:rsid w:val="00691DC5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B4D91"/>
    <w:rsid w:val="006B5D42"/>
    <w:rsid w:val="006C1445"/>
    <w:rsid w:val="006C4FC1"/>
    <w:rsid w:val="006C51A5"/>
    <w:rsid w:val="006C529D"/>
    <w:rsid w:val="006D0E6B"/>
    <w:rsid w:val="006D2146"/>
    <w:rsid w:val="006D4493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1D85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889"/>
    <w:rsid w:val="00702D5A"/>
    <w:rsid w:val="00702EF7"/>
    <w:rsid w:val="00703989"/>
    <w:rsid w:val="007042E9"/>
    <w:rsid w:val="007077B0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5EFF"/>
    <w:rsid w:val="00742B44"/>
    <w:rsid w:val="007436C2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15C8"/>
    <w:rsid w:val="007826C8"/>
    <w:rsid w:val="00784190"/>
    <w:rsid w:val="0078457B"/>
    <w:rsid w:val="00784756"/>
    <w:rsid w:val="0078539D"/>
    <w:rsid w:val="007856C1"/>
    <w:rsid w:val="00787051"/>
    <w:rsid w:val="0079018D"/>
    <w:rsid w:val="0079101E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D99"/>
    <w:rsid w:val="007D5E27"/>
    <w:rsid w:val="007D6F64"/>
    <w:rsid w:val="007E25AB"/>
    <w:rsid w:val="007E74E9"/>
    <w:rsid w:val="007E79C5"/>
    <w:rsid w:val="007F0674"/>
    <w:rsid w:val="007F2845"/>
    <w:rsid w:val="007F43BC"/>
    <w:rsid w:val="007F4740"/>
    <w:rsid w:val="008006C6"/>
    <w:rsid w:val="00800C52"/>
    <w:rsid w:val="0080153E"/>
    <w:rsid w:val="0080742D"/>
    <w:rsid w:val="0081151E"/>
    <w:rsid w:val="008121AF"/>
    <w:rsid w:val="00812498"/>
    <w:rsid w:val="008127E6"/>
    <w:rsid w:val="0081336E"/>
    <w:rsid w:val="00813928"/>
    <w:rsid w:val="00820DC7"/>
    <w:rsid w:val="00821698"/>
    <w:rsid w:val="00821BDA"/>
    <w:rsid w:val="00821FED"/>
    <w:rsid w:val="008221FE"/>
    <w:rsid w:val="00822BF5"/>
    <w:rsid w:val="00824894"/>
    <w:rsid w:val="00825366"/>
    <w:rsid w:val="00826192"/>
    <w:rsid w:val="00826C7B"/>
    <w:rsid w:val="00826DD9"/>
    <w:rsid w:val="00826E01"/>
    <w:rsid w:val="008277A8"/>
    <w:rsid w:val="008278B6"/>
    <w:rsid w:val="008307ED"/>
    <w:rsid w:val="0083350F"/>
    <w:rsid w:val="008342A4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19C7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419"/>
    <w:rsid w:val="00894FDC"/>
    <w:rsid w:val="008A0B25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40DC"/>
    <w:rsid w:val="00905C47"/>
    <w:rsid w:val="00906379"/>
    <w:rsid w:val="009077E7"/>
    <w:rsid w:val="009101EA"/>
    <w:rsid w:val="009106FC"/>
    <w:rsid w:val="0091070F"/>
    <w:rsid w:val="009118BB"/>
    <w:rsid w:val="0091191F"/>
    <w:rsid w:val="00915B81"/>
    <w:rsid w:val="00915D6B"/>
    <w:rsid w:val="009160DF"/>
    <w:rsid w:val="009162C7"/>
    <w:rsid w:val="00916EC2"/>
    <w:rsid w:val="009213BD"/>
    <w:rsid w:val="009228FD"/>
    <w:rsid w:val="00924627"/>
    <w:rsid w:val="009250A8"/>
    <w:rsid w:val="00925BE6"/>
    <w:rsid w:val="00926F61"/>
    <w:rsid w:val="0093123D"/>
    <w:rsid w:val="00933040"/>
    <w:rsid w:val="009330E9"/>
    <w:rsid w:val="00933A91"/>
    <w:rsid w:val="00933B15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011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FD9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4F68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487"/>
    <w:rsid w:val="00A03978"/>
    <w:rsid w:val="00A07E08"/>
    <w:rsid w:val="00A12798"/>
    <w:rsid w:val="00A153BE"/>
    <w:rsid w:val="00A15DEE"/>
    <w:rsid w:val="00A167B5"/>
    <w:rsid w:val="00A16DBE"/>
    <w:rsid w:val="00A17C4F"/>
    <w:rsid w:val="00A204CE"/>
    <w:rsid w:val="00A20653"/>
    <w:rsid w:val="00A20A39"/>
    <w:rsid w:val="00A21F28"/>
    <w:rsid w:val="00A238BD"/>
    <w:rsid w:val="00A243E4"/>
    <w:rsid w:val="00A2459D"/>
    <w:rsid w:val="00A24E23"/>
    <w:rsid w:val="00A25F05"/>
    <w:rsid w:val="00A311AE"/>
    <w:rsid w:val="00A311D7"/>
    <w:rsid w:val="00A312A6"/>
    <w:rsid w:val="00A3130E"/>
    <w:rsid w:val="00A324CF"/>
    <w:rsid w:val="00A32E8B"/>
    <w:rsid w:val="00A32ED6"/>
    <w:rsid w:val="00A344A5"/>
    <w:rsid w:val="00A346C3"/>
    <w:rsid w:val="00A362FA"/>
    <w:rsid w:val="00A42D07"/>
    <w:rsid w:val="00A430E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3EB5"/>
    <w:rsid w:val="00A5765D"/>
    <w:rsid w:val="00A607CB"/>
    <w:rsid w:val="00A61813"/>
    <w:rsid w:val="00A6351F"/>
    <w:rsid w:val="00A65A70"/>
    <w:rsid w:val="00A66F36"/>
    <w:rsid w:val="00A676D9"/>
    <w:rsid w:val="00A67EFC"/>
    <w:rsid w:val="00A7031E"/>
    <w:rsid w:val="00A71140"/>
    <w:rsid w:val="00A74692"/>
    <w:rsid w:val="00A760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4FC3"/>
    <w:rsid w:val="00AD69FF"/>
    <w:rsid w:val="00AD702B"/>
    <w:rsid w:val="00AD72E6"/>
    <w:rsid w:val="00AD7882"/>
    <w:rsid w:val="00AD7C95"/>
    <w:rsid w:val="00AE30FC"/>
    <w:rsid w:val="00AE3DE1"/>
    <w:rsid w:val="00AE6515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4107"/>
    <w:rsid w:val="00B2628E"/>
    <w:rsid w:val="00B266B0"/>
    <w:rsid w:val="00B27921"/>
    <w:rsid w:val="00B3000E"/>
    <w:rsid w:val="00B310B4"/>
    <w:rsid w:val="00B32159"/>
    <w:rsid w:val="00B326A8"/>
    <w:rsid w:val="00B329EB"/>
    <w:rsid w:val="00B33508"/>
    <w:rsid w:val="00B3377E"/>
    <w:rsid w:val="00B35DA4"/>
    <w:rsid w:val="00B40A96"/>
    <w:rsid w:val="00B422A7"/>
    <w:rsid w:val="00B42A32"/>
    <w:rsid w:val="00B42B38"/>
    <w:rsid w:val="00B42FA6"/>
    <w:rsid w:val="00B4399E"/>
    <w:rsid w:val="00B43A16"/>
    <w:rsid w:val="00B45CE1"/>
    <w:rsid w:val="00B46A75"/>
    <w:rsid w:val="00B500CD"/>
    <w:rsid w:val="00B5239C"/>
    <w:rsid w:val="00B52943"/>
    <w:rsid w:val="00B53039"/>
    <w:rsid w:val="00B53893"/>
    <w:rsid w:val="00B53CD3"/>
    <w:rsid w:val="00B548C2"/>
    <w:rsid w:val="00B55428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4C8F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56D3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46D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7261"/>
    <w:rsid w:val="00C61D4B"/>
    <w:rsid w:val="00C6238F"/>
    <w:rsid w:val="00C62B0A"/>
    <w:rsid w:val="00C63F08"/>
    <w:rsid w:val="00C6528C"/>
    <w:rsid w:val="00C661E8"/>
    <w:rsid w:val="00C70084"/>
    <w:rsid w:val="00C70508"/>
    <w:rsid w:val="00C7235B"/>
    <w:rsid w:val="00C72E18"/>
    <w:rsid w:val="00C731AD"/>
    <w:rsid w:val="00C73325"/>
    <w:rsid w:val="00C7380B"/>
    <w:rsid w:val="00C74421"/>
    <w:rsid w:val="00C75F2F"/>
    <w:rsid w:val="00C75FEE"/>
    <w:rsid w:val="00C76F1D"/>
    <w:rsid w:val="00C77D26"/>
    <w:rsid w:val="00C84D39"/>
    <w:rsid w:val="00C85277"/>
    <w:rsid w:val="00C85606"/>
    <w:rsid w:val="00C85D76"/>
    <w:rsid w:val="00C873AC"/>
    <w:rsid w:val="00C93462"/>
    <w:rsid w:val="00C9393F"/>
    <w:rsid w:val="00C94384"/>
    <w:rsid w:val="00C94A34"/>
    <w:rsid w:val="00C94C2B"/>
    <w:rsid w:val="00C96527"/>
    <w:rsid w:val="00C96F79"/>
    <w:rsid w:val="00C97CF9"/>
    <w:rsid w:val="00CA17DD"/>
    <w:rsid w:val="00CA1863"/>
    <w:rsid w:val="00CA26CE"/>
    <w:rsid w:val="00CA391D"/>
    <w:rsid w:val="00CA3ACD"/>
    <w:rsid w:val="00CA4F8B"/>
    <w:rsid w:val="00CA7198"/>
    <w:rsid w:val="00CB09DA"/>
    <w:rsid w:val="00CB0BD9"/>
    <w:rsid w:val="00CB0BE2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55E9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8D9"/>
    <w:rsid w:val="00D53830"/>
    <w:rsid w:val="00D5483E"/>
    <w:rsid w:val="00D55889"/>
    <w:rsid w:val="00D56B5F"/>
    <w:rsid w:val="00D57AF0"/>
    <w:rsid w:val="00D62ECD"/>
    <w:rsid w:val="00D64426"/>
    <w:rsid w:val="00D65648"/>
    <w:rsid w:val="00D67BC5"/>
    <w:rsid w:val="00D7021B"/>
    <w:rsid w:val="00D70D33"/>
    <w:rsid w:val="00D73077"/>
    <w:rsid w:val="00D73C57"/>
    <w:rsid w:val="00D742FF"/>
    <w:rsid w:val="00D758B3"/>
    <w:rsid w:val="00D76202"/>
    <w:rsid w:val="00D76ADC"/>
    <w:rsid w:val="00D77413"/>
    <w:rsid w:val="00D81F10"/>
    <w:rsid w:val="00D84A57"/>
    <w:rsid w:val="00D874DF"/>
    <w:rsid w:val="00D87A12"/>
    <w:rsid w:val="00D907A5"/>
    <w:rsid w:val="00D9121F"/>
    <w:rsid w:val="00D930E1"/>
    <w:rsid w:val="00D9415C"/>
    <w:rsid w:val="00D942CC"/>
    <w:rsid w:val="00D94D87"/>
    <w:rsid w:val="00D962DC"/>
    <w:rsid w:val="00DA0232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DF4936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7A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29E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95A"/>
    <w:rsid w:val="00EE3663"/>
    <w:rsid w:val="00EE41C4"/>
    <w:rsid w:val="00EE6B76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D26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753"/>
    <w:rsid w:val="00F71A8F"/>
    <w:rsid w:val="00F73BBD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2DF2"/>
    <w:rsid w:val="00F9397A"/>
    <w:rsid w:val="00F93A37"/>
    <w:rsid w:val="00F94182"/>
    <w:rsid w:val="00F944D9"/>
    <w:rsid w:val="00F94DB3"/>
    <w:rsid w:val="00F96500"/>
    <w:rsid w:val="00F978CC"/>
    <w:rsid w:val="00FA413A"/>
    <w:rsid w:val="00FA4144"/>
    <w:rsid w:val="00FA4DDF"/>
    <w:rsid w:val="00FA6E7F"/>
    <w:rsid w:val="00FA7114"/>
    <w:rsid w:val="00FB2379"/>
    <w:rsid w:val="00FB4B8A"/>
    <w:rsid w:val="00FB5152"/>
    <w:rsid w:val="00FB5757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CA89B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69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7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99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48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4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97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6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37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63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5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4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3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120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2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42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2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50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60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4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0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4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7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2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6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9D069B-F2BF-4DF6-A6C0-6BB3348C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2</cp:revision>
  <cp:lastPrinted>2016-06-20T12:35:00Z</cp:lastPrinted>
  <dcterms:created xsi:type="dcterms:W3CDTF">2016-11-04T19:51:00Z</dcterms:created>
  <dcterms:modified xsi:type="dcterms:W3CDTF">2016-11-04T19:51:00Z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