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7A" w:rsidRPr="00446F9D" w:rsidRDefault="00B54D7A" w:rsidP="00B54D7A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85</w:t>
      </w:r>
      <w:r w:rsidRPr="00446F9D">
        <w:tab/>
        <w:t>R1-</w:t>
      </w:r>
      <w:r>
        <w:t>16</w:t>
      </w:r>
      <w:r w:rsidR="008B0231">
        <w:t>4627</w:t>
      </w:r>
    </w:p>
    <w:p w:rsidR="00B54D7A" w:rsidRPr="000833FA" w:rsidRDefault="00B54D7A" w:rsidP="00B54D7A">
      <w:pPr>
        <w:pStyle w:val="Header"/>
        <w:rPr>
          <w:color w:val="000000"/>
        </w:rPr>
      </w:pPr>
      <w:r>
        <w:t>Nanjing</w:t>
      </w:r>
      <w:r w:rsidRPr="000833FA">
        <w:t xml:space="preserve">, </w:t>
      </w:r>
      <w:r>
        <w:t>China</w:t>
      </w:r>
      <w:r w:rsidRPr="000833FA">
        <w:t>,</w:t>
      </w:r>
      <w:r>
        <w:t xml:space="preserve"> May 23 – 27, 2016</w:t>
      </w:r>
    </w:p>
    <w:p w:rsidR="00B54D7A" w:rsidRPr="000833FA" w:rsidRDefault="00B54D7A" w:rsidP="00B54D7A">
      <w:pPr>
        <w:pStyle w:val="Header"/>
      </w:pPr>
    </w:p>
    <w:p w:rsidR="00B54D7A" w:rsidRPr="0003368D" w:rsidRDefault="00B54D7A" w:rsidP="00B54D7A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B54D7A" w:rsidRPr="00F64D4A" w:rsidRDefault="00B54D7A" w:rsidP="00B54D7A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>
        <w:t>Hybrid-ARQ acknowledgements for NR</w:t>
      </w:r>
    </w:p>
    <w:p w:rsidR="00B54D7A" w:rsidRPr="0003368D" w:rsidRDefault="00B54D7A" w:rsidP="00B54D7A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>
        <w:t>7.1.4</w:t>
      </w:r>
    </w:p>
    <w:p w:rsidR="00FE5799" w:rsidRPr="0003368D" w:rsidRDefault="00B54D7A" w:rsidP="00B54D7A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FE5799" w:rsidP="00FE5799">
      <w:pPr>
        <w:pStyle w:val="Heading1"/>
        <w:spacing w:before="180"/>
        <w:ind w:left="562" w:hanging="562"/>
      </w:pPr>
      <w:r>
        <w:t>Introduction</w:t>
      </w:r>
    </w:p>
    <w:p w:rsidR="00470861" w:rsidRPr="00470861" w:rsidRDefault="000E6FD6" w:rsidP="00470861">
      <w:pPr>
        <w:pStyle w:val="BodyText"/>
      </w:pPr>
      <w:r>
        <w:t>The new 5G RAT is likely to support hybrid ARQ retransmissions</w:t>
      </w:r>
      <w:r w:rsidR="009C19C1">
        <w:t xml:space="preserve"> and our view is discussed in this document.</w:t>
      </w:r>
    </w:p>
    <w:p w:rsidR="00FE5799" w:rsidRDefault="00A2016C" w:rsidP="00FE5799">
      <w:pPr>
        <w:pStyle w:val="Heading1"/>
      </w:pPr>
      <w:r>
        <w:t>Hybrid-ARQ acknowledgements</w:t>
      </w:r>
    </w:p>
    <w:p w:rsidR="00470861" w:rsidRDefault="00470861" w:rsidP="00470861">
      <w:pPr>
        <w:pStyle w:val="BodyText"/>
      </w:pPr>
      <w:r>
        <w:t>One of the main requirements on the new 5G RAT is to provide the possibility for low latency. T</w:t>
      </w:r>
      <w:r w:rsidRPr="00470861">
        <w:t>his requires fairly short basic subframe duration in the range of 100 – 200 µs but also the possibility for a fast feedback of the hybrid-ARQ acknowledgement</w:t>
      </w:r>
      <w:r>
        <w:t>.</w:t>
      </w:r>
      <w:r w:rsidR="00AC09C5">
        <w:t xml:space="preserve"> Operation in unlicensed spectrum also highly benefits from a fast feedback of the acknowledgement.</w:t>
      </w:r>
      <w:r>
        <w:t xml:space="preserve"> In </w:t>
      </w:r>
      <w:r w:rsidR="0025620C">
        <w:fldChar w:fldCharType="begin"/>
      </w:r>
      <w:r w:rsidR="0025620C">
        <w:instrText xml:space="preserve"> REF _Ref445886219 \r \h </w:instrText>
      </w:r>
      <w:r w:rsidR="0025620C">
        <w:fldChar w:fldCharType="separate"/>
      </w:r>
      <w:r w:rsidR="0025620C">
        <w:t>[1]</w:t>
      </w:r>
      <w:r w:rsidR="0025620C">
        <w:fldChar w:fldCharType="end"/>
      </w:r>
      <w:r>
        <w:t xml:space="preserve"> a frame structure supporting hybrid-ARQ acknowledgements after each downlink subframe, resulting in the possibility for very low latency.</w:t>
      </w:r>
    </w:p>
    <w:p w:rsidR="00470861" w:rsidRDefault="00470861" w:rsidP="00470861">
      <w:pPr>
        <w:pStyle w:val="BodyText"/>
      </w:pPr>
      <w:r>
        <w:t xml:space="preserve">However, not all services require low latency. For example, mobile broadband can in many cases be served very well with a somewhat longer transmission duration, at least when transferring larger object. Furthermore, </w:t>
      </w:r>
      <w:r w:rsidR="009B4738">
        <w:t xml:space="preserve">the overhead from </w:t>
      </w:r>
      <w:r>
        <w:t xml:space="preserve">frequent hybrid-ARQ feedback </w:t>
      </w:r>
      <w:r w:rsidR="009B4738">
        <w:t>in a TDD system due to uplink-downlink switching may not always be motivated.</w:t>
      </w:r>
    </w:p>
    <w:p w:rsidR="00C517C5" w:rsidRDefault="00C517C5" w:rsidP="00470861">
      <w:pPr>
        <w:pStyle w:val="BodyText"/>
      </w:pPr>
      <w:r>
        <w:t xml:space="preserve">Coexistence aspects may also imply restrictions on the possibility for uplink or downlink transmissions. For example, deploying the new RAT next to an existing </w:t>
      </w:r>
      <w:r w:rsidR="009C19C1">
        <w:t>LTE FS2</w:t>
      </w:r>
      <w:r>
        <w:t xml:space="preserve"> carrier may not allow transmission of fast acknowledgements immediately after the </w:t>
      </w:r>
      <w:r w:rsidR="009C1BA6">
        <w:t>downlink</w:t>
      </w:r>
      <w:r>
        <w:t xml:space="preserve"> </w:t>
      </w:r>
      <w:r w:rsidR="009C1BA6">
        <w:t>transmission</w:t>
      </w:r>
      <w:r>
        <w:t xml:space="preserve"> and call for the possibility for a later </w:t>
      </w:r>
      <w:r w:rsidR="009C1BA6">
        <w:t>acknowledgement</w:t>
      </w:r>
      <w:r>
        <w:t xml:space="preserve"> as illustrated in</w:t>
      </w:r>
      <w:r w:rsidR="00423142">
        <w:t xml:space="preserve"> the Figure below</w:t>
      </w:r>
      <w:r>
        <w:t>.</w:t>
      </w:r>
    </w:p>
    <w:p w:rsidR="009B4738" w:rsidRDefault="009B4738" w:rsidP="00470861">
      <w:pPr>
        <w:pStyle w:val="BodyText"/>
      </w:pPr>
      <w:r>
        <w:t>Therefore, to provide the necessary flexibility, it is proposed to provide means for both</w:t>
      </w:r>
    </w:p>
    <w:p w:rsidR="009B4738" w:rsidRDefault="009B4738" w:rsidP="009B4738">
      <w:pPr>
        <w:pStyle w:val="BodyText"/>
        <w:numPr>
          <w:ilvl w:val="0"/>
          <w:numId w:val="4"/>
        </w:numPr>
      </w:pPr>
      <w:r>
        <w:t xml:space="preserve">“immediate” hybrid-ARQ feedback at the end of each subframe as outlined in </w:t>
      </w:r>
      <w:r w:rsidR="000E6FD6">
        <w:fldChar w:fldCharType="begin"/>
      </w:r>
      <w:r w:rsidR="000E6FD6">
        <w:instrText xml:space="preserve"> REF _Ref446602365 \r \h </w:instrText>
      </w:r>
      <w:r w:rsidR="000E6FD6">
        <w:fldChar w:fldCharType="separate"/>
      </w:r>
      <w:r w:rsidR="000E6FD6">
        <w:t>[1]</w:t>
      </w:r>
      <w:r w:rsidR="000E6FD6">
        <w:fldChar w:fldCharType="end"/>
      </w:r>
      <w:r>
        <w:t>, and</w:t>
      </w:r>
    </w:p>
    <w:p w:rsidR="009B4738" w:rsidRDefault="009B4738" w:rsidP="009B4738">
      <w:pPr>
        <w:pStyle w:val="BodyText"/>
        <w:numPr>
          <w:ilvl w:val="0"/>
          <w:numId w:val="4"/>
        </w:numPr>
      </w:pPr>
      <w:r>
        <w:t>multi-subframe hybrid-ARQ feedback</w:t>
      </w:r>
      <w:r w:rsidR="000E6FD6">
        <w:t xml:space="preserve"> where multiple subframes are acknowledged at the same time</w:t>
      </w:r>
    </w:p>
    <w:p w:rsidR="000E6FD6" w:rsidRDefault="009C19C1" w:rsidP="000E6FD6">
      <w:pPr>
        <w:pStyle w:val="BodyText"/>
      </w:pPr>
      <w:r>
        <w:t xml:space="preserve">Note that LTE FS2 </w:t>
      </w:r>
      <w:r w:rsidR="000E6FD6">
        <w:t>coexistence is not the only reason for multi-subframe acknowledgements and the number of subframes to acknowledge at one instant may vary over time as a consequence of traffic variations. Tying the acknowledgement timing to a semi-static uplink-downlink allocation as in LTE is therefore less attractive.</w:t>
      </w:r>
    </w:p>
    <w:p w:rsidR="009C1BA6" w:rsidRDefault="009C1BA6" w:rsidP="009C1BA6">
      <w:pPr>
        <w:pStyle w:val="BodyText"/>
      </w:pPr>
    </w:p>
    <w:p w:rsidR="0031048B" w:rsidRDefault="0031048B" w:rsidP="0031048B">
      <w:pPr>
        <w:pStyle w:val="BodyText"/>
        <w:keepNext/>
      </w:pPr>
      <w:r w:rsidRPr="0031048B">
        <w:rPr>
          <w:noProof/>
          <w:lang w:val="sv-SE" w:eastAsia="sv-SE"/>
        </w:rPr>
        <w:drawing>
          <wp:inline distT="0" distB="0" distL="0" distR="0" wp14:anchorId="02594B72" wp14:editId="36AFFAC7">
            <wp:extent cx="5760720" cy="16433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4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142" w:rsidRPr="00423142" w:rsidRDefault="0031048B" w:rsidP="0031048B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Coexistence between TD-LTE and NR.</w:t>
      </w:r>
    </w:p>
    <w:p w:rsidR="00FE5799" w:rsidRDefault="00FE5799" w:rsidP="00FE5799">
      <w:pPr>
        <w:pStyle w:val="Heading1"/>
      </w:pPr>
      <w:r>
        <w:t>Conclusion</w:t>
      </w:r>
    </w:p>
    <w:p w:rsidR="009B4738" w:rsidRDefault="009B4738" w:rsidP="009B4738">
      <w:pPr>
        <w:pStyle w:val="BodyText"/>
      </w:pPr>
      <w:r>
        <w:t xml:space="preserve">It is proposed to provide means for </w:t>
      </w:r>
      <w:r w:rsidRPr="0025620C">
        <w:rPr>
          <w:b/>
        </w:rPr>
        <w:t>both</w:t>
      </w:r>
    </w:p>
    <w:p w:rsidR="009B4738" w:rsidRPr="0025620C" w:rsidRDefault="009B4738" w:rsidP="009B4738">
      <w:pPr>
        <w:pStyle w:val="BodyText"/>
        <w:numPr>
          <w:ilvl w:val="0"/>
          <w:numId w:val="4"/>
        </w:numPr>
        <w:rPr>
          <w:b/>
        </w:rPr>
      </w:pPr>
      <w:r w:rsidRPr="0025620C">
        <w:rPr>
          <w:b/>
        </w:rPr>
        <w:t xml:space="preserve">“immediate” hybrid-ARQ feedback at the end of each subframe as outlined in </w:t>
      </w:r>
      <w:r w:rsidR="0025620C" w:rsidRPr="0025620C">
        <w:rPr>
          <w:b/>
        </w:rPr>
        <w:fldChar w:fldCharType="begin"/>
      </w:r>
      <w:r w:rsidR="0025620C" w:rsidRPr="0025620C">
        <w:rPr>
          <w:b/>
        </w:rPr>
        <w:instrText xml:space="preserve"> REF _Ref445886219 \r \h </w:instrText>
      </w:r>
      <w:r w:rsidR="0025620C">
        <w:rPr>
          <w:b/>
        </w:rPr>
        <w:instrText xml:space="preserve"> \* MERGEFORMAT </w:instrText>
      </w:r>
      <w:r w:rsidR="0025620C" w:rsidRPr="0025620C">
        <w:rPr>
          <w:b/>
        </w:rPr>
      </w:r>
      <w:r w:rsidR="0025620C" w:rsidRPr="0025620C">
        <w:rPr>
          <w:b/>
        </w:rPr>
        <w:fldChar w:fldCharType="separate"/>
      </w:r>
      <w:r w:rsidR="0025620C" w:rsidRPr="0025620C">
        <w:rPr>
          <w:b/>
        </w:rPr>
        <w:t>[1]</w:t>
      </w:r>
      <w:r w:rsidR="0025620C" w:rsidRPr="0025620C">
        <w:rPr>
          <w:b/>
        </w:rPr>
        <w:fldChar w:fldCharType="end"/>
      </w:r>
      <w:r w:rsidRPr="0025620C">
        <w:rPr>
          <w:b/>
        </w:rPr>
        <w:t>, and</w:t>
      </w:r>
    </w:p>
    <w:p w:rsidR="009B4738" w:rsidRPr="0025620C" w:rsidRDefault="009B4738" w:rsidP="009B4738">
      <w:pPr>
        <w:pStyle w:val="BodyText"/>
        <w:numPr>
          <w:ilvl w:val="0"/>
          <w:numId w:val="4"/>
        </w:numPr>
        <w:rPr>
          <w:b/>
        </w:rPr>
      </w:pPr>
      <w:r w:rsidRPr="0025620C">
        <w:rPr>
          <w:b/>
        </w:rPr>
        <w:t>multi-subframe hybrid-ARQ feedback.</w:t>
      </w:r>
    </w:p>
    <w:p w:rsidR="00FE5799" w:rsidRDefault="00FE5799" w:rsidP="00FE5799">
      <w:pPr>
        <w:pStyle w:val="BodyText"/>
      </w:pPr>
    </w:p>
    <w:p w:rsidR="00FE5799" w:rsidRPr="00510266" w:rsidRDefault="00FE5799" w:rsidP="00FE5799">
      <w:pPr>
        <w:pStyle w:val="Heading1"/>
      </w:pPr>
      <w:r w:rsidRPr="00510266">
        <w:lastRenderedPageBreak/>
        <w:t>References</w:t>
      </w:r>
    </w:p>
    <w:p w:rsidR="0025620C" w:rsidRPr="0025620C" w:rsidRDefault="009C19C1" w:rsidP="0025620C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3" w:name="_Ref446602365"/>
      <w:bookmarkStart w:id="4" w:name="_Ref445886219"/>
      <w:r>
        <w:t>R1-16</w:t>
      </w:r>
      <w:r w:rsidR="00090D22">
        <w:t>4628</w:t>
      </w:r>
      <w:bookmarkStart w:id="5" w:name="_GoBack"/>
      <w:bookmarkEnd w:id="5"/>
      <w:r w:rsidR="00A2016C">
        <w:t>, “</w:t>
      </w:r>
      <w:r w:rsidR="00A2016C" w:rsidRPr="0025620C">
        <w:t xml:space="preserve">Frame structure for </w:t>
      </w:r>
      <w:r>
        <w:t>NR</w:t>
      </w:r>
      <w:r w:rsidR="00A2016C">
        <w:t>”, Ericsson</w:t>
      </w:r>
      <w:bookmarkEnd w:id="3"/>
    </w:p>
    <w:bookmarkEnd w:id="4"/>
    <w:p w:rsidR="00FE5799" w:rsidRPr="00461DD9" w:rsidRDefault="00FE5799" w:rsidP="00A2016C">
      <w:pPr>
        <w:jc w:val="both"/>
        <w:rPr>
          <w:szCs w:val="20"/>
          <w:lang w:val="it-IT"/>
        </w:rPr>
      </w:pPr>
    </w:p>
    <w:p w:rsidR="00FE5799" w:rsidRPr="00FE5799" w:rsidRDefault="00FE5799" w:rsidP="0025620C">
      <w:pPr>
        <w:ind w:left="567"/>
        <w:jc w:val="both"/>
        <w:rPr>
          <w:szCs w:val="20"/>
          <w:lang w:val="it-IT"/>
        </w:rPr>
      </w:pPr>
    </w:p>
    <w:sectPr w:rsidR="00FE5799" w:rsidRPr="00FE579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F43" w:rsidRDefault="003F2F43">
      <w:r>
        <w:separator/>
      </w:r>
    </w:p>
  </w:endnote>
  <w:endnote w:type="continuationSeparator" w:id="0">
    <w:p w:rsidR="003F2F43" w:rsidRDefault="003F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F43" w:rsidRDefault="003F2F43">
      <w:r>
        <w:separator/>
      </w:r>
    </w:p>
  </w:footnote>
  <w:footnote w:type="continuationSeparator" w:id="0">
    <w:p w:rsidR="003F2F43" w:rsidRDefault="003F2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3F2F43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B0B"/>
    <w:multiLevelType w:val="hybridMultilevel"/>
    <w:tmpl w:val="499E9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41764"/>
    <w:rsid w:val="00065BA1"/>
    <w:rsid w:val="00090D22"/>
    <w:rsid w:val="000C0A38"/>
    <w:rsid w:val="000E51DA"/>
    <w:rsid w:val="000E5D44"/>
    <w:rsid w:val="000E6FD6"/>
    <w:rsid w:val="001A69B1"/>
    <w:rsid w:val="0025620C"/>
    <w:rsid w:val="00267303"/>
    <w:rsid w:val="00297C58"/>
    <w:rsid w:val="002C5A7A"/>
    <w:rsid w:val="0031048B"/>
    <w:rsid w:val="003F2F43"/>
    <w:rsid w:val="00423142"/>
    <w:rsid w:val="00470861"/>
    <w:rsid w:val="004932B5"/>
    <w:rsid w:val="00530F9E"/>
    <w:rsid w:val="00642C35"/>
    <w:rsid w:val="006A286A"/>
    <w:rsid w:val="006C716C"/>
    <w:rsid w:val="00894786"/>
    <w:rsid w:val="008A0D33"/>
    <w:rsid w:val="008B0231"/>
    <w:rsid w:val="009B4738"/>
    <w:rsid w:val="009C19C1"/>
    <w:rsid w:val="009C1BA6"/>
    <w:rsid w:val="00A2016C"/>
    <w:rsid w:val="00A616FA"/>
    <w:rsid w:val="00AC09C5"/>
    <w:rsid w:val="00B1014E"/>
    <w:rsid w:val="00B368D9"/>
    <w:rsid w:val="00B54D7A"/>
    <w:rsid w:val="00C1560A"/>
    <w:rsid w:val="00C517C5"/>
    <w:rsid w:val="00C842CE"/>
    <w:rsid w:val="00DC188B"/>
    <w:rsid w:val="00E3454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B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BA6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C1BA6"/>
    <w:pPr>
      <w:spacing w:after="200"/>
    </w:pPr>
    <w:rPr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61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6F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6F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6FA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B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BA6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C1BA6"/>
    <w:pPr>
      <w:spacing w:after="200"/>
    </w:pPr>
    <w:rPr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61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6F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6F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6FA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21181-0779-4146-9119-6DD4519FA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3</cp:revision>
  <dcterms:created xsi:type="dcterms:W3CDTF">2016-05-11T08:29:00Z</dcterms:created>
  <dcterms:modified xsi:type="dcterms:W3CDTF">2016-05-13T12:56:00Z</dcterms:modified>
</cp:coreProperties>
</file>