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CB1AC3" w14:textId="3FA5794F" w:rsidR="00327B62" w:rsidRPr="007C1B33" w:rsidRDefault="00327B62" w:rsidP="00327B62">
      <w:pPr>
        <w:pStyle w:val="TdocHeader2"/>
        <w:rPr>
          <w:rFonts w:eastAsia="Times New Roman" w:cs="Arial"/>
          <w:bCs/>
          <w:noProof/>
          <w:sz w:val="20"/>
          <w:szCs w:val="18"/>
          <w:lang w:val="en-US" w:eastAsia="zh-CN"/>
        </w:rPr>
      </w:pPr>
      <w:bookmarkStart w:id="0" w:name="OLE_LINK1"/>
      <w:bookmarkStart w:id="1" w:name="OLE_LINK2"/>
      <w:r>
        <w:rPr>
          <w:rFonts w:eastAsia="Times New Roman" w:cs="Arial"/>
          <w:bCs/>
          <w:noProof/>
          <w:sz w:val="20"/>
          <w:szCs w:val="18"/>
          <w:lang w:val="en-US" w:eastAsia="zh-CN"/>
        </w:rPr>
        <w:t>3GPP TSG RAN WG1 Meeting #85</w:t>
      </w:r>
      <w:r w:rsidRPr="007C1B33">
        <w:rPr>
          <w:rFonts w:eastAsia="Times New Roman" w:cs="Arial"/>
          <w:bCs/>
          <w:noProof/>
          <w:sz w:val="20"/>
          <w:szCs w:val="18"/>
          <w:lang w:val="en-US" w:eastAsia="zh-CN"/>
        </w:rPr>
        <w:t xml:space="preserve">                                                      </w:t>
      </w:r>
      <w:r>
        <w:rPr>
          <w:rFonts w:eastAsia="Times New Roman" w:cs="Arial"/>
          <w:bCs/>
          <w:noProof/>
          <w:sz w:val="20"/>
          <w:szCs w:val="18"/>
          <w:lang w:val="en-US" w:eastAsia="zh-CN"/>
        </w:rPr>
        <w:t xml:space="preserve"> </w:t>
      </w:r>
      <w:r w:rsidRPr="007C1B33">
        <w:rPr>
          <w:rFonts w:eastAsia="Times New Roman" w:cs="Arial"/>
          <w:bCs/>
          <w:noProof/>
          <w:sz w:val="20"/>
          <w:szCs w:val="18"/>
          <w:lang w:val="en-US" w:eastAsia="zh-CN"/>
        </w:rPr>
        <w:t xml:space="preserve">                      </w:t>
      </w:r>
      <w:r>
        <w:rPr>
          <w:rFonts w:eastAsia="Times New Roman" w:cs="Arial"/>
          <w:bCs/>
          <w:noProof/>
          <w:sz w:val="20"/>
          <w:szCs w:val="18"/>
          <w:lang w:val="en-US" w:eastAsia="zh-CN"/>
        </w:rPr>
        <w:t xml:space="preserve">    </w:t>
      </w:r>
      <w:r w:rsidRPr="00722560">
        <w:rPr>
          <w:rFonts w:eastAsia="Times New Roman" w:cs="Arial"/>
          <w:bCs/>
          <w:noProof/>
          <w:sz w:val="20"/>
          <w:szCs w:val="18"/>
          <w:lang w:val="en-US" w:eastAsia="zh-CN"/>
        </w:rPr>
        <w:t>R1-16</w:t>
      </w:r>
      <w:r w:rsidR="00722560" w:rsidRPr="00722560">
        <w:rPr>
          <w:rFonts w:eastAsia="Times New Roman" w:cs="Arial"/>
          <w:bCs/>
          <w:noProof/>
          <w:sz w:val="20"/>
          <w:szCs w:val="18"/>
          <w:lang w:val="en-US" w:eastAsia="zh-CN"/>
        </w:rPr>
        <w:t>4623</w:t>
      </w:r>
    </w:p>
    <w:p w14:paraId="14CE6AFB" w14:textId="77777777" w:rsidR="00327B62" w:rsidRDefault="00327B62" w:rsidP="00327B62">
      <w:pPr>
        <w:pStyle w:val="TdocHeader2"/>
        <w:rPr>
          <w:rFonts w:eastAsia="Times New Roman" w:cs="Arial"/>
          <w:bCs/>
          <w:noProof/>
          <w:sz w:val="20"/>
          <w:szCs w:val="18"/>
          <w:lang w:val="en-US" w:eastAsia="zh-CN"/>
        </w:rPr>
      </w:pPr>
      <w:r>
        <w:rPr>
          <w:rFonts w:eastAsia="Times New Roman" w:cs="Arial"/>
          <w:bCs/>
          <w:noProof/>
          <w:sz w:val="20"/>
          <w:szCs w:val="18"/>
          <w:lang w:val="en-US" w:eastAsia="zh-CN"/>
        </w:rPr>
        <w:t>Nanjing, 23</w:t>
      </w:r>
      <w:r>
        <w:rPr>
          <w:rFonts w:eastAsia="Times New Roman" w:cs="Arial"/>
          <w:bCs/>
          <w:noProof/>
          <w:sz w:val="20"/>
          <w:szCs w:val="18"/>
          <w:vertAlign w:val="superscript"/>
          <w:lang w:val="en-US" w:eastAsia="zh-CN"/>
        </w:rPr>
        <w:t>rd</w:t>
      </w:r>
      <w:r>
        <w:rPr>
          <w:rFonts w:eastAsia="Times New Roman" w:cs="Arial"/>
          <w:bCs/>
          <w:noProof/>
          <w:sz w:val="20"/>
          <w:szCs w:val="18"/>
          <w:lang w:val="en-US" w:eastAsia="zh-CN"/>
        </w:rPr>
        <w:t xml:space="preserve"> – 27</w:t>
      </w:r>
      <w:r w:rsidRPr="00617591">
        <w:rPr>
          <w:rFonts w:eastAsia="Times New Roman" w:cs="Arial"/>
          <w:bCs/>
          <w:noProof/>
          <w:sz w:val="20"/>
          <w:szCs w:val="18"/>
          <w:vertAlign w:val="superscript"/>
          <w:lang w:val="en-US" w:eastAsia="zh-CN"/>
        </w:rPr>
        <w:t>th</w:t>
      </w:r>
      <w:r>
        <w:rPr>
          <w:rFonts w:eastAsia="Times New Roman" w:cs="Arial"/>
          <w:bCs/>
          <w:noProof/>
          <w:sz w:val="20"/>
          <w:szCs w:val="18"/>
          <w:lang w:val="en-US" w:eastAsia="zh-CN"/>
        </w:rPr>
        <w:t xml:space="preserve"> May,</w:t>
      </w:r>
      <w:r w:rsidRPr="00395CD7">
        <w:rPr>
          <w:rFonts w:eastAsia="Times New Roman" w:cs="Arial"/>
          <w:bCs/>
          <w:noProof/>
          <w:sz w:val="20"/>
          <w:szCs w:val="18"/>
          <w:lang w:val="en-US" w:eastAsia="zh-CN"/>
        </w:rPr>
        <w:t xml:space="preserve">  201</w:t>
      </w:r>
      <w:r>
        <w:rPr>
          <w:rFonts w:eastAsia="Times New Roman" w:cs="Arial"/>
          <w:bCs/>
          <w:noProof/>
          <w:sz w:val="20"/>
          <w:szCs w:val="18"/>
          <w:lang w:val="en-US" w:eastAsia="zh-CN"/>
        </w:rPr>
        <w:t>6</w:t>
      </w:r>
    </w:p>
    <w:p w14:paraId="4DEAE53E" w14:textId="77777777" w:rsidR="00327B62" w:rsidRDefault="00327B62" w:rsidP="00327B62">
      <w:pPr>
        <w:pStyle w:val="TdocHeader2"/>
        <w:rPr>
          <w:sz w:val="20"/>
          <w:lang w:val="en-US"/>
        </w:rPr>
      </w:pPr>
    </w:p>
    <w:p w14:paraId="47694EFE" w14:textId="77777777" w:rsidR="00327B62" w:rsidRPr="008979AC" w:rsidRDefault="00327B62" w:rsidP="00327B62">
      <w:pPr>
        <w:pStyle w:val="TdocHeader2"/>
        <w:rPr>
          <w:sz w:val="20"/>
          <w:lang w:val="en-US"/>
        </w:rPr>
      </w:pPr>
      <w:r w:rsidRPr="008979AC">
        <w:rPr>
          <w:sz w:val="20"/>
          <w:lang w:val="en-US"/>
        </w:rPr>
        <w:t xml:space="preserve">Source: </w:t>
      </w:r>
      <w:r w:rsidRPr="008979AC">
        <w:rPr>
          <w:sz w:val="20"/>
          <w:lang w:val="en-US"/>
        </w:rPr>
        <w:tab/>
        <w:t>Ericsson</w:t>
      </w:r>
    </w:p>
    <w:p w14:paraId="2E084D73" w14:textId="77777777" w:rsidR="00327B62" w:rsidRPr="0027658D" w:rsidRDefault="00327B62" w:rsidP="00327B62">
      <w:pPr>
        <w:pStyle w:val="TdocHeader2"/>
        <w:rPr>
          <w:sz w:val="20"/>
          <w:lang w:val="en-US"/>
        </w:rPr>
      </w:pPr>
      <w:r w:rsidRPr="008979AC">
        <w:rPr>
          <w:sz w:val="20"/>
          <w:lang w:val="en-US"/>
        </w:rPr>
        <w:t>Title:</w:t>
      </w:r>
      <w:bookmarkStart w:id="2" w:name="Title"/>
      <w:bookmarkEnd w:id="2"/>
      <w:r w:rsidRPr="008979AC">
        <w:rPr>
          <w:sz w:val="20"/>
          <w:lang w:val="en-US"/>
        </w:rPr>
        <w:tab/>
      </w:r>
      <w:r>
        <w:rPr>
          <w:sz w:val="20"/>
          <w:lang w:val="en-US"/>
        </w:rPr>
        <w:t>Mixed Numerology in an OFDM System</w:t>
      </w:r>
    </w:p>
    <w:p w14:paraId="0F901331" w14:textId="3D68F4C2" w:rsidR="00327B62" w:rsidRPr="002D72B0" w:rsidRDefault="00327B62" w:rsidP="00327B62">
      <w:pPr>
        <w:pStyle w:val="TdocHeader2"/>
        <w:rPr>
          <w:sz w:val="20"/>
          <w:lang w:val="en-US"/>
        </w:rPr>
      </w:pPr>
      <w:r w:rsidRPr="002D72B0">
        <w:rPr>
          <w:sz w:val="20"/>
          <w:lang w:val="en-US"/>
        </w:rPr>
        <w:t>Agenda Item:</w:t>
      </w:r>
      <w:r w:rsidRPr="002D72B0">
        <w:rPr>
          <w:sz w:val="20"/>
          <w:lang w:val="en-US"/>
        </w:rPr>
        <w:tab/>
      </w:r>
      <w:r w:rsidR="0063501E">
        <w:rPr>
          <w:bCs/>
          <w:iCs/>
          <w:sz w:val="20"/>
        </w:rPr>
        <w:t>7.1.3.1</w:t>
      </w:r>
    </w:p>
    <w:p w14:paraId="253CED2F" w14:textId="77777777" w:rsidR="00327B62" w:rsidRPr="0027658D" w:rsidRDefault="00327B62" w:rsidP="00327B62">
      <w:pPr>
        <w:pStyle w:val="TdocHeader2"/>
        <w:rPr>
          <w:sz w:val="20"/>
          <w:lang w:val="en-US"/>
        </w:rPr>
      </w:pPr>
      <w:r>
        <w:rPr>
          <w:sz w:val="20"/>
          <w:lang w:val="en-US"/>
        </w:rPr>
        <w:t>Document for:</w:t>
      </w:r>
      <w:r>
        <w:rPr>
          <w:sz w:val="20"/>
          <w:lang w:val="en-US"/>
        </w:rPr>
        <w:tab/>
        <w:t>Discussion</w:t>
      </w:r>
    </w:p>
    <w:p w14:paraId="2D63E843" w14:textId="77777777" w:rsidR="00327B62" w:rsidRDefault="00327B62" w:rsidP="00327B62">
      <w:pPr>
        <w:pStyle w:val="Heading1"/>
        <w:pBdr>
          <w:top w:val="single" w:sz="12" w:space="0" w:color="auto"/>
        </w:pBdr>
        <w:rPr>
          <w:lang w:val="en-US"/>
        </w:rPr>
      </w:pPr>
      <w:bookmarkStart w:id="3" w:name="_Ref298777854"/>
      <w:bookmarkEnd w:id="0"/>
      <w:bookmarkEnd w:id="1"/>
      <w:r w:rsidRPr="00310B2F">
        <w:rPr>
          <w:lang w:val="en-US"/>
        </w:rPr>
        <w:t>Introduction</w:t>
      </w:r>
      <w:bookmarkEnd w:id="3"/>
    </w:p>
    <w:p w14:paraId="6CD2110D" w14:textId="271112BA" w:rsidR="00327B62" w:rsidRDefault="00327B62" w:rsidP="00327B62">
      <w:r>
        <w:t>In an OFDM system supporting mixed numerologies</w:t>
      </w:r>
      <w:r w:rsidR="00A91CA7">
        <w:t>,</w:t>
      </w:r>
      <w:r>
        <w:t xml:space="preserve"> different OFDM numerologies are multiplexed in frequency-domain on the same carrier. This benefits simultaneous support of services with vastly different requirements, e.g. ultra-low latency communications (short symbols and thus wide subcarrier spacing) and MBMS services (long symbols to enable long cyclic prefix and thus narrow subcarrier spacing).   </w:t>
      </w:r>
    </w:p>
    <w:p w14:paraId="51E52133" w14:textId="77777777" w:rsidR="00327B62" w:rsidRPr="0059413D" w:rsidRDefault="00327B62" w:rsidP="00327B62">
      <w:r>
        <w:t xml:space="preserve">In this contribution we describe some features of mixed numerology and present some simulation results.   </w:t>
      </w:r>
    </w:p>
    <w:p w14:paraId="5E377692" w14:textId="77777777" w:rsidR="00327B62" w:rsidRDefault="00327B62" w:rsidP="00327B62">
      <w:pPr>
        <w:pStyle w:val="Heading1"/>
      </w:pPr>
      <w:r>
        <w:t>Discussion</w:t>
      </w:r>
    </w:p>
    <w:p w14:paraId="10CC9F1A" w14:textId="77777777" w:rsidR="00327B62" w:rsidRDefault="00327B62" w:rsidP="00327B62">
      <w:pPr>
        <w:pStyle w:val="Heading2"/>
      </w:pPr>
      <w:r>
        <w:t>Spectrum confinement</w:t>
      </w:r>
    </w:p>
    <w:p w14:paraId="150056AE" w14:textId="77777777" w:rsidR="00327B62" w:rsidRDefault="00327B62" w:rsidP="00327B62">
      <w:r>
        <w:t xml:space="preserve">In an OFDM system all subcarriers are orthogonal to each other. Subcarrier transfer functions are not “brick wall” pulses but have sinc-like behaviour; orthogonality between subcarriers is achieved via properties of the waveform and not via energy-confinement to a subcarrier bandwidth (sinc-like since in discrete-time signal processing a rectangular pulse is not exactly a sinc-function). In an OFDM system with different numerologies (subcarrier bandwidth and/or cyclic prefix length) multiplexed in frequency-domain, see </w:t>
      </w:r>
      <w:r>
        <w:fldChar w:fldCharType="begin"/>
      </w:r>
      <w:r>
        <w:instrText xml:space="preserve"> REF _Ref444254362 \h </w:instrText>
      </w:r>
      <w:r>
        <w:fldChar w:fldCharType="separate"/>
      </w:r>
      <w:r>
        <w:t xml:space="preserve">Figure </w:t>
      </w:r>
      <w:r>
        <w:rPr>
          <w:noProof/>
        </w:rPr>
        <w:t>1</w:t>
      </w:r>
      <w:r>
        <w:fldChar w:fldCharType="end"/>
      </w:r>
      <w:r>
        <w:t xml:space="preserve">, only subcarriers within </w:t>
      </w:r>
      <w:proofErr w:type="gramStart"/>
      <w:r>
        <w:t>a numerology</w:t>
      </w:r>
      <w:proofErr w:type="gramEnd"/>
      <w:r>
        <w:t xml:space="preserve"> are orthogonal to each other. Subcarriers from one numerology interfere with subcarriers from </w:t>
      </w:r>
      <w:proofErr w:type="gramStart"/>
      <w:r>
        <w:t>another numerology</w:t>
      </w:r>
      <w:proofErr w:type="gramEnd"/>
      <w:r>
        <w:t xml:space="preserve"> since energy leaks outside the subcarrier bandwidth and is picked up by subcarrier filters of the other numerology. </w:t>
      </w:r>
    </w:p>
    <w:p w14:paraId="490A0775" w14:textId="77777777" w:rsidR="00327B62" w:rsidRDefault="00327B62" w:rsidP="00327B62">
      <w:pPr>
        <w:jc w:val="center"/>
      </w:pPr>
      <w:r>
        <w:rPr>
          <w:noProof/>
          <w:lang w:val="en-US" w:eastAsia="en-US"/>
        </w:rPr>
        <w:drawing>
          <wp:inline distT="0" distB="0" distL="0" distR="0" wp14:anchorId="03103F1F" wp14:editId="215237B2">
            <wp:extent cx="3504910" cy="87165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ixing.png"/>
                    <pic:cNvPicPr/>
                  </pic:nvPicPr>
                  <pic:blipFill>
                    <a:blip r:embed="rId14">
                      <a:extLst>
                        <a:ext uri="{28A0092B-C50C-407E-A947-70E740481C1C}">
                          <a14:useLocalDpi xmlns:a14="http://schemas.microsoft.com/office/drawing/2010/main" val="0"/>
                        </a:ext>
                      </a:extLst>
                    </a:blip>
                    <a:stretch>
                      <a:fillRect/>
                    </a:stretch>
                  </pic:blipFill>
                  <pic:spPr>
                    <a:xfrm>
                      <a:off x="0" y="0"/>
                      <a:ext cx="3504910" cy="871656"/>
                    </a:xfrm>
                    <a:prstGeom prst="rect">
                      <a:avLst/>
                    </a:prstGeom>
                  </pic:spPr>
                </pic:pic>
              </a:graphicData>
            </a:graphic>
          </wp:inline>
        </w:drawing>
      </w:r>
    </w:p>
    <w:p w14:paraId="20CD00D4" w14:textId="1D87337F" w:rsidR="00327B62" w:rsidRDefault="00327B62" w:rsidP="00327B62">
      <w:pPr>
        <w:pStyle w:val="Caption"/>
      </w:pPr>
      <w:bookmarkStart w:id="4" w:name="_Ref444254362"/>
      <w:r>
        <w:t xml:space="preserve">Figure </w:t>
      </w:r>
      <w:r w:rsidR="00B8103C">
        <w:fldChar w:fldCharType="begin"/>
      </w:r>
      <w:r w:rsidR="00B8103C">
        <w:instrText xml:space="preserve"> SEQ Figure \* ARABIC </w:instrText>
      </w:r>
      <w:r w:rsidR="00B8103C">
        <w:fldChar w:fldCharType="separate"/>
      </w:r>
      <w:r w:rsidR="00171F5E">
        <w:rPr>
          <w:noProof/>
        </w:rPr>
        <w:t>1</w:t>
      </w:r>
      <w:r w:rsidR="00B8103C">
        <w:fldChar w:fldCharType="end"/>
      </w:r>
      <w:bookmarkEnd w:id="4"/>
      <w:r>
        <w:tab/>
        <w:t>Schematic picture of frequency-domain multiplexing of different numerologies</w:t>
      </w:r>
    </w:p>
    <w:p w14:paraId="73A57903" w14:textId="77777777" w:rsidR="00327B62" w:rsidRDefault="00327B62" w:rsidP="00327B62">
      <w:r>
        <w:t xml:space="preserve">To reduce inter-numerology interference the transmit spectrum of each numerology must be better confined, i.e. a better spectrum roll-off is needed. In </w:t>
      </w:r>
      <w:r>
        <w:fldChar w:fldCharType="begin"/>
      </w:r>
      <w:r>
        <w:instrText xml:space="preserve"> REF _Ref450653136 \h </w:instrText>
      </w:r>
      <w:r>
        <w:fldChar w:fldCharType="separate"/>
      </w:r>
      <w:r>
        <w:t xml:space="preserve">Figure </w:t>
      </w:r>
      <w:r>
        <w:rPr>
          <w:noProof/>
        </w:rPr>
        <w:t>2</w:t>
      </w:r>
      <w:r>
        <w:fldChar w:fldCharType="end"/>
      </w:r>
      <w:r>
        <w:t xml:space="preserve"> two subbands with different numerologies are shown. The aggressor numerology (dash-dotted lines) must apply a spectrum emission confinement technique to reduce energy transmitted in the passband of the victim numerology (blue dash-dotted line). However, emission control alone is not sufficient since a victim receiver without steeper roll off (solid red curve) picks up high interference from the passband of the aggressor numerology. Only if the victim receiver (solid blue curve) and the aggressor transmitter (dashed blue curve) have improved filter functions inter-numerology interference is efficiently reduced.</w:t>
      </w:r>
    </w:p>
    <w:p w14:paraId="2E206A8B" w14:textId="77777777" w:rsidR="00327B62" w:rsidRDefault="00327B62" w:rsidP="00327B62">
      <w:pPr>
        <w:jc w:val="center"/>
      </w:pPr>
      <w:r>
        <w:rPr>
          <w:noProof/>
          <w:lang w:val="en-US" w:eastAsia="en-US"/>
        </w:rPr>
        <w:lastRenderedPageBreak/>
        <w:drawing>
          <wp:inline distT="0" distB="0" distL="0" distR="0" wp14:anchorId="6A2F5A51" wp14:editId="35A8BE2D">
            <wp:extent cx="3352523" cy="2218761"/>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pectrum control.png"/>
                    <pic:cNvPicPr/>
                  </pic:nvPicPr>
                  <pic:blipFill>
                    <a:blip r:embed="rId15">
                      <a:extLst>
                        <a:ext uri="{28A0092B-C50C-407E-A947-70E740481C1C}">
                          <a14:useLocalDpi xmlns:a14="http://schemas.microsoft.com/office/drawing/2010/main" val="0"/>
                        </a:ext>
                      </a:extLst>
                    </a:blip>
                    <a:stretch>
                      <a:fillRect/>
                    </a:stretch>
                  </pic:blipFill>
                  <pic:spPr>
                    <a:xfrm>
                      <a:off x="0" y="0"/>
                      <a:ext cx="3352523" cy="2218761"/>
                    </a:xfrm>
                    <a:prstGeom prst="rect">
                      <a:avLst/>
                    </a:prstGeom>
                  </pic:spPr>
                </pic:pic>
              </a:graphicData>
            </a:graphic>
          </wp:inline>
        </w:drawing>
      </w:r>
    </w:p>
    <w:p w14:paraId="2CA4131D" w14:textId="66CF60E2" w:rsidR="00327B62" w:rsidRDefault="00327B62" w:rsidP="00327B62">
      <w:pPr>
        <w:pStyle w:val="Caption"/>
      </w:pPr>
      <w:bookmarkStart w:id="5" w:name="_Ref450653136"/>
      <w:r>
        <w:t xml:space="preserve">Figure </w:t>
      </w:r>
      <w:r w:rsidR="00B8103C">
        <w:fldChar w:fldCharType="begin"/>
      </w:r>
      <w:r w:rsidR="00B8103C">
        <w:instrText xml:space="preserve"> SEQ Figure \* ARABIC </w:instrText>
      </w:r>
      <w:r w:rsidR="00B8103C">
        <w:fldChar w:fldCharType="separate"/>
      </w:r>
      <w:r w:rsidR="00B8103C">
        <w:rPr>
          <w:noProof/>
        </w:rPr>
        <w:t>2</w:t>
      </w:r>
      <w:r w:rsidR="00B8103C">
        <w:fldChar w:fldCharType="end"/>
      </w:r>
      <w:bookmarkEnd w:id="5"/>
      <w:r>
        <w:tab/>
        <w:t>Both the transmitter and receiver filtering functionality must be improved to reduce inter-numerology interference efficiently.</w:t>
      </w:r>
    </w:p>
    <w:p w14:paraId="2D7E175A" w14:textId="77777777" w:rsidR="00327B62" w:rsidRPr="007B77C0" w:rsidRDefault="00327B62" w:rsidP="00327B62">
      <w:pPr>
        <w:rPr>
          <w:b/>
          <w:i/>
        </w:rPr>
      </w:pPr>
      <w:r>
        <w:t>Windowing and filtering are well known techniques to improve transmitter and receiver characteristics w.r.t. spectral confinement.</w:t>
      </w:r>
    </w:p>
    <w:p w14:paraId="5952AD0A" w14:textId="77777777" w:rsidR="00327B62" w:rsidRDefault="00327B62" w:rsidP="00327B62">
      <w:pPr>
        <w:pStyle w:val="Heading2"/>
      </w:pPr>
      <w:r>
        <w:t>Guard band</w:t>
      </w:r>
    </w:p>
    <w:p w14:paraId="53C52E33" w14:textId="3CC49E76" w:rsidR="00327B62" w:rsidRPr="007B77C0" w:rsidRDefault="00327B62" w:rsidP="00327B62">
      <w:r>
        <w:t xml:space="preserve">Guard tones can be inserted between numerologies to reduce inter-numerology interference and/or relax the degree of required spectrum confinement. Adding guard tones slightly increases overhead; in a 20 MHz system with 1200 subcarriers one guard tone corresponds to less than 0.1 % overhead. Trying to minimize guard tones to an absolute minimum may therefore not be worth the effort (since it increases requirements on spectrum confinement technique both at transmitter and receiver) and also complicates other system design aspects as outlined below: In the example of </w:t>
      </w:r>
      <w:r>
        <w:fldChar w:fldCharType="begin"/>
      </w:r>
      <w:r>
        <w:instrText xml:space="preserve"> REF _Ref450660596 \h </w:instrText>
      </w:r>
      <w:r>
        <w:fldChar w:fldCharType="separate"/>
      </w:r>
      <w:r>
        <w:t xml:space="preserve">Figure </w:t>
      </w:r>
      <w:r>
        <w:rPr>
          <w:noProof/>
        </w:rPr>
        <w:t>3</w:t>
      </w:r>
      <w:r>
        <w:fldChar w:fldCharType="end"/>
      </w:r>
      <w:r>
        <w:t xml:space="preserve"> one narrowband subcarrier is inserted as guard between numerology 1 (green, e.g. 15 kHz) and numerology 2 (blue, 4 times as wide subcarriers, e.g. 60 kHz). A resource block is 12 (narrowband or wideband) subcarriers for both numerologies. If the scheduling is done as indicated for numerology 2 then subcarriers of numerology 2 are not even on the 60 kHz resource grid (the first subcarrier of the blue resource block is on narrow subcarrier 41 which corresponds to wide subcarrier 10.25, so a fractional subcarrier shift). </w:t>
      </w:r>
    </w:p>
    <w:p w14:paraId="4E8A4500" w14:textId="77777777" w:rsidR="00327B62" w:rsidRDefault="00327B62" w:rsidP="00327B62">
      <w:r>
        <w:rPr>
          <w:noProof/>
          <w:lang w:val="en-US" w:eastAsia="en-US"/>
        </w:rPr>
        <w:drawing>
          <wp:inline distT="0" distB="0" distL="0" distR="0" wp14:anchorId="25949BA4" wp14:editId="5123AD81">
            <wp:extent cx="6120765" cy="26828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isalignment.png"/>
                    <pic:cNvPicPr/>
                  </pic:nvPicPr>
                  <pic:blipFill>
                    <a:blip r:embed="rId16">
                      <a:extLst>
                        <a:ext uri="{28A0092B-C50C-407E-A947-70E740481C1C}">
                          <a14:useLocalDpi xmlns:a14="http://schemas.microsoft.com/office/drawing/2010/main" val="0"/>
                        </a:ext>
                      </a:extLst>
                    </a:blip>
                    <a:stretch>
                      <a:fillRect/>
                    </a:stretch>
                  </pic:blipFill>
                  <pic:spPr>
                    <a:xfrm>
                      <a:off x="0" y="0"/>
                      <a:ext cx="6120765" cy="2682875"/>
                    </a:xfrm>
                    <a:prstGeom prst="rect">
                      <a:avLst/>
                    </a:prstGeom>
                  </pic:spPr>
                </pic:pic>
              </a:graphicData>
            </a:graphic>
          </wp:inline>
        </w:drawing>
      </w:r>
    </w:p>
    <w:p w14:paraId="2985EF1D" w14:textId="5DFFDEF8" w:rsidR="00327B62" w:rsidRDefault="00327B62" w:rsidP="00327B62">
      <w:pPr>
        <w:pStyle w:val="Caption"/>
      </w:pPr>
      <w:bookmarkStart w:id="6" w:name="_Ref450660596"/>
      <w:r>
        <w:t xml:space="preserve">Figure </w:t>
      </w:r>
      <w:r w:rsidR="00B8103C">
        <w:fldChar w:fldCharType="begin"/>
      </w:r>
      <w:r w:rsidR="00B8103C">
        <w:instrText xml:space="preserve"> SEQ Figure \* ARABIC </w:instrText>
      </w:r>
      <w:r w:rsidR="00B8103C">
        <w:fldChar w:fldCharType="separate"/>
      </w:r>
      <w:r w:rsidR="00B8103C">
        <w:rPr>
          <w:noProof/>
        </w:rPr>
        <w:t>3</w:t>
      </w:r>
      <w:r w:rsidR="00B8103C">
        <w:fldChar w:fldCharType="end"/>
      </w:r>
      <w:bookmarkEnd w:id="6"/>
      <w:r>
        <w:tab/>
        <w:t xml:space="preserve">One narrowband subcarrier is inserted as guard between numerology 1 and 2. The first subcarrier of numerology 2 is located at </w:t>
      </w:r>
      <m:oMath>
        <m:r>
          <m:rPr>
            <m:sty m:val="bi"/>
          </m:rPr>
          <w:rPr>
            <w:rFonts w:ascii="Cambria Math" w:hAnsi="Cambria Math"/>
          </w:rPr>
          <m:t xml:space="preserve">41×15 </m:t>
        </m:r>
        <m:r>
          <m:rPr>
            <m:nor/>
          </m:rPr>
          <w:rPr>
            <w:rFonts w:ascii="Cambria Math" w:hAnsi="Cambria Math"/>
          </w:rPr>
          <m:t>kHz</m:t>
        </m:r>
      </m:oMath>
      <w:r>
        <w:t xml:space="preserve"> which corresponds to subcarrier 10.25 in 60 kHz subcarrier </w:t>
      </w:r>
      <w:proofErr w:type="gramStart"/>
      <w:r>
        <w:t>grid</w:t>
      </w:r>
      <w:proofErr w:type="gramEnd"/>
      <w:r>
        <w:t xml:space="preserve">. </w:t>
      </w:r>
    </w:p>
    <w:p w14:paraId="1232E469" w14:textId="3690C187" w:rsidR="00327B62" w:rsidRDefault="00327B62" w:rsidP="00327B62">
      <w:r>
        <w:t>To avoid fractional subcarrier shifts</w:t>
      </w:r>
      <w:r w:rsidR="00A91CA7">
        <w:t>,</w:t>
      </w:r>
      <w:r>
        <w:t xml:space="preserve"> subcarrier frequencies in each numerology should coincide with the natural grid of the </w:t>
      </w:r>
      <w:proofErr w:type="gramStart"/>
      <w:r>
        <w:t xml:space="preserve">numerology </w:t>
      </w:r>
      <w:proofErr w:type="gramEnd"/>
      <m:oMath>
        <m:r>
          <w:rPr>
            <w:rFonts w:ascii="Cambria Math" w:hAnsi="Cambria Math"/>
          </w:rPr>
          <m:t>n×</m:t>
        </m:r>
        <m:r>
          <m:rPr>
            <m:sty m:val="p"/>
          </m:rPr>
          <w:rPr>
            <w:rFonts w:ascii="Cambria Math" w:hAnsi="Cambria Math"/>
          </w:rPr>
          <m:t>Δ</m:t>
        </m:r>
        <m:r>
          <w:rPr>
            <w:rFonts w:ascii="Cambria Math" w:hAnsi="Cambria Math"/>
          </w:rPr>
          <m:t>f</m:t>
        </m:r>
      </m:oMath>
      <w:r>
        <w:t xml:space="preserve">, with </w:t>
      </w:r>
      <m:oMath>
        <m:r>
          <m:rPr>
            <m:sty m:val="p"/>
          </m:rPr>
          <w:rPr>
            <w:rFonts w:ascii="Cambria Math" w:hAnsi="Cambria Math"/>
          </w:rPr>
          <m:t>Δ</m:t>
        </m:r>
        <m:r>
          <w:rPr>
            <w:rFonts w:ascii="Cambria Math" w:hAnsi="Cambria Math"/>
          </w:rPr>
          <m:t>f</m:t>
        </m:r>
      </m:oMath>
      <w:r>
        <w:t xml:space="preserve"> the subcarrier spacing of the numerology. </w:t>
      </w:r>
    </w:p>
    <w:p w14:paraId="45713E73" w14:textId="77777777" w:rsidR="00327B62" w:rsidRDefault="00327B62" w:rsidP="00327B62">
      <w:r>
        <w:lastRenderedPageBreak/>
        <w:t xml:space="preserve">However, even with this requirement wide resource blocks (numerology 2) are still not on its natural grid if compared to cell 2, see </w:t>
      </w:r>
      <w:r>
        <w:fldChar w:fldCharType="begin"/>
      </w:r>
      <w:r>
        <w:instrText xml:space="preserve"> REF _Ref450665454 \h </w:instrText>
      </w:r>
      <w:r>
        <w:fldChar w:fldCharType="separate"/>
      </w:r>
      <w:r>
        <w:t xml:space="preserve">Figure </w:t>
      </w:r>
      <w:r>
        <w:rPr>
          <w:noProof/>
        </w:rPr>
        <w:t>4</w:t>
      </w:r>
      <w:r>
        <w:fldChar w:fldCharType="end"/>
      </w:r>
      <w:r>
        <w:t xml:space="preserve">. Such a misaligned resource grid implies that all users of numerology 2 would have to be dynamically informed about this offset (since this offset depends on the scheduling decision). In another cell a different offset may be present, or, as shown in </w:t>
      </w:r>
      <w:r>
        <w:fldChar w:fldCharType="begin"/>
      </w:r>
      <w:r>
        <w:instrText xml:space="preserve"> REF _Ref450665454 \h </w:instrText>
      </w:r>
      <w:r>
        <w:fldChar w:fldCharType="separate"/>
      </w:r>
      <w:r>
        <w:t xml:space="preserve">Figure </w:t>
      </w:r>
      <w:r>
        <w:rPr>
          <w:noProof/>
        </w:rPr>
        <w:t>4</w:t>
      </w:r>
      <w:r>
        <w:fldChar w:fldCharType="end"/>
      </w:r>
      <w:r>
        <w:t xml:space="preserve">, another cell may only operate with numerology 2. Resource blocks in different cells would not be aligned making ICIC, creation of orthogonal reference signals across </w:t>
      </w:r>
      <w:proofErr w:type="gramStart"/>
      <w:r>
        <w:t>cells,</w:t>
      </w:r>
      <w:proofErr w:type="gramEnd"/>
      <w:r>
        <w:t xml:space="preserve"> and interference prediction across cells more difficult.    </w:t>
      </w:r>
    </w:p>
    <w:p w14:paraId="2475A55C" w14:textId="77777777" w:rsidR="00327B62" w:rsidRDefault="00327B62" w:rsidP="00327B62">
      <w:pPr>
        <w:jc w:val="center"/>
      </w:pPr>
      <w:r>
        <w:rPr>
          <w:noProof/>
          <w:lang w:val="en-US" w:eastAsia="en-US"/>
        </w:rPr>
        <w:drawing>
          <wp:inline distT="0" distB="0" distL="0" distR="0" wp14:anchorId="60C42047" wp14:editId="5F172BA4">
            <wp:extent cx="6120765" cy="35858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isalignment2.png"/>
                    <pic:cNvPicPr/>
                  </pic:nvPicPr>
                  <pic:blipFill>
                    <a:blip r:embed="rId17">
                      <a:extLst>
                        <a:ext uri="{28A0092B-C50C-407E-A947-70E740481C1C}">
                          <a14:useLocalDpi xmlns:a14="http://schemas.microsoft.com/office/drawing/2010/main" val="0"/>
                        </a:ext>
                      </a:extLst>
                    </a:blip>
                    <a:stretch>
                      <a:fillRect/>
                    </a:stretch>
                  </pic:blipFill>
                  <pic:spPr>
                    <a:xfrm>
                      <a:off x="0" y="0"/>
                      <a:ext cx="6120765" cy="3585845"/>
                    </a:xfrm>
                    <a:prstGeom prst="rect">
                      <a:avLst/>
                    </a:prstGeom>
                  </pic:spPr>
                </pic:pic>
              </a:graphicData>
            </a:graphic>
          </wp:inline>
        </w:drawing>
      </w:r>
    </w:p>
    <w:p w14:paraId="50557D42" w14:textId="3C19C296" w:rsidR="00327B62" w:rsidRDefault="00327B62" w:rsidP="00327B62">
      <w:pPr>
        <w:pStyle w:val="Caption"/>
      </w:pPr>
      <w:bookmarkStart w:id="7" w:name="_Ref450665454"/>
      <w:r>
        <w:t xml:space="preserve">Figure </w:t>
      </w:r>
      <w:r w:rsidR="00B8103C">
        <w:fldChar w:fldCharType="begin"/>
      </w:r>
      <w:r w:rsidR="00B8103C">
        <w:instrText xml:space="preserve"> SEQ Figure \* ARABIC </w:instrText>
      </w:r>
      <w:r w:rsidR="00B8103C">
        <w:fldChar w:fldCharType="separate"/>
      </w:r>
      <w:r w:rsidR="00B8103C">
        <w:rPr>
          <w:noProof/>
        </w:rPr>
        <w:t>4</w:t>
      </w:r>
      <w:r w:rsidR="00B8103C">
        <w:fldChar w:fldCharType="end"/>
      </w:r>
      <w:bookmarkEnd w:id="7"/>
      <w:r>
        <w:tab/>
        <w:t xml:space="preserve">Four narrowband subcarriers are inserted as guard between numerology 1 and 2. Subcarriers of numerology 2 are now located on its natural resource grid. However, numerology 2 resource blocks are still misaligned across cells. </w:t>
      </w:r>
    </w:p>
    <w:p w14:paraId="7AB327B6" w14:textId="77777777" w:rsidR="00327B62" w:rsidRDefault="00327B62" w:rsidP="00327B62">
      <w:r>
        <w:t xml:space="preserve">Alternatively, the first blue resource block in cell 1 in </w:t>
      </w:r>
      <w:r>
        <w:fldChar w:fldCharType="begin"/>
      </w:r>
      <w:r>
        <w:instrText xml:space="preserve"> REF _Ref450665454 \h </w:instrText>
      </w:r>
      <w:r>
        <w:fldChar w:fldCharType="separate"/>
      </w:r>
      <w:r>
        <w:t xml:space="preserve">Figure </w:t>
      </w:r>
      <w:r>
        <w:rPr>
          <w:noProof/>
        </w:rPr>
        <w:t>4</w:t>
      </w:r>
      <w:r>
        <w:fldChar w:fldCharType="end"/>
      </w:r>
      <w:r>
        <w:t xml:space="preserve"> could be a fractional resource block (corresponding to the bandwidth marked by “Misalignment”). Special definitions of reference signals and rate matching would be required for all possible fractional resource blocks. For the fractional resource block in cell 1 and the overlapping resource block in cell 2 the same disadvantages as mention above are valid.</w:t>
      </w:r>
    </w:p>
    <w:p w14:paraId="4607700C" w14:textId="77777777" w:rsidR="00327B62" w:rsidRDefault="00327B62" w:rsidP="00327B62">
      <w:r>
        <w:t xml:space="preserve">The cleanest solution is to limit location of resource blocks to its natural resource grid, i.e. in the example of </w:t>
      </w:r>
      <w:r>
        <w:fldChar w:fldCharType="begin"/>
      </w:r>
      <w:r>
        <w:instrText xml:space="preserve"> REF _Ref450665841 \h </w:instrText>
      </w:r>
      <w:r>
        <w:fldChar w:fldCharType="separate"/>
      </w:r>
      <w:r>
        <w:t xml:space="preserve">Figure </w:t>
      </w:r>
      <w:r>
        <w:rPr>
          <w:noProof/>
        </w:rPr>
        <w:t>5</w:t>
      </w:r>
      <w:r>
        <w:fldChar w:fldCharType="end"/>
      </w:r>
      <w:r>
        <w:t xml:space="preserve"> numerology 1 (15 kHz) resource blocks would always start at frequency </w:t>
      </w:r>
      <m:oMath>
        <m:r>
          <w:rPr>
            <w:rFonts w:ascii="Cambria Math" w:hAnsi="Cambria Math"/>
          </w:rPr>
          <m:t xml:space="preserve">n×12×15 </m:t>
        </m:r>
        <m:r>
          <m:rPr>
            <m:nor/>
          </m:rPr>
          <w:rPr>
            <w:rFonts w:ascii="Cambria Math" w:hAnsi="Cambria Math"/>
          </w:rPr>
          <m:t>kHz</m:t>
        </m:r>
      </m:oMath>
      <w:r>
        <w:t xml:space="preserve"> and numerology 2 resource blocks (60 kHz) at frequency </w:t>
      </w:r>
      <m:oMath>
        <m:r>
          <w:rPr>
            <w:rFonts w:ascii="Cambria Math" w:hAnsi="Cambria Math"/>
          </w:rPr>
          <m:t xml:space="preserve">n×12×60 </m:t>
        </m:r>
        <m:r>
          <m:rPr>
            <m:nor/>
          </m:rPr>
          <w:rPr>
            <w:rFonts w:ascii="Cambria Math" w:hAnsi="Cambria Math"/>
          </w:rPr>
          <m:t>kHz</m:t>
        </m:r>
      </m:oMath>
      <w:r>
        <w:t xml:space="preserve"> (it is assumed that a resource block is 12 subcarriers). This simplifies ICIC, makes interference predication across cells easier, and enables orthogonal reference signals of the same numerology across cells.</w:t>
      </w:r>
    </w:p>
    <w:p w14:paraId="26624AA9" w14:textId="77777777" w:rsidR="00327B62" w:rsidRDefault="00327B62" w:rsidP="00327B62">
      <w:r>
        <w:t>For the 15/60 kHz numerology combination the resulting guard band is 8 narrowband (15 kHz) subcarriers. For the 15/30 kHz or 30/60 kHz combination the guard band would be 10 narrowband subcarriers. In a 20 MHz system with around 1200 narrowband subcarriers the loss is less than 1 %.</w:t>
      </w:r>
    </w:p>
    <w:p w14:paraId="23D7081E" w14:textId="77777777" w:rsidR="00327B62" w:rsidRDefault="00327B62" w:rsidP="00327B62"/>
    <w:p w14:paraId="0B5F2EC2" w14:textId="77777777" w:rsidR="00327B62" w:rsidRDefault="00327B62" w:rsidP="00327B62">
      <w:pPr>
        <w:jc w:val="center"/>
      </w:pPr>
      <w:r>
        <w:rPr>
          <w:noProof/>
          <w:lang w:val="en-US" w:eastAsia="en-US"/>
        </w:rPr>
        <w:lastRenderedPageBreak/>
        <w:drawing>
          <wp:inline distT="0" distB="0" distL="0" distR="0" wp14:anchorId="16F22958" wp14:editId="6328C49F">
            <wp:extent cx="6120765" cy="358584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lignment.png"/>
                    <pic:cNvPicPr/>
                  </pic:nvPicPr>
                  <pic:blipFill>
                    <a:blip r:embed="rId18">
                      <a:extLst>
                        <a:ext uri="{28A0092B-C50C-407E-A947-70E740481C1C}">
                          <a14:useLocalDpi xmlns:a14="http://schemas.microsoft.com/office/drawing/2010/main" val="0"/>
                        </a:ext>
                      </a:extLst>
                    </a:blip>
                    <a:stretch>
                      <a:fillRect/>
                    </a:stretch>
                  </pic:blipFill>
                  <pic:spPr>
                    <a:xfrm>
                      <a:off x="0" y="0"/>
                      <a:ext cx="6120765" cy="3585845"/>
                    </a:xfrm>
                    <a:prstGeom prst="rect">
                      <a:avLst/>
                    </a:prstGeom>
                  </pic:spPr>
                </pic:pic>
              </a:graphicData>
            </a:graphic>
          </wp:inline>
        </w:drawing>
      </w:r>
    </w:p>
    <w:p w14:paraId="5D91835E" w14:textId="434ABCF3" w:rsidR="00327B62" w:rsidRPr="00507033" w:rsidRDefault="00327B62" w:rsidP="00327B62">
      <w:pPr>
        <w:pStyle w:val="Caption"/>
        <w:rPr>
          <w:lang w:val="en-ZA"/>
        </w:rPr>
      </w:pPr>
      <w:bookmarkStart w:id="8" w:name="_Ref450665841"/>
      <w:r>
        <w:t xml:space="preserve">Figure </w:t>
      </w:r>
      <w:r w:rsidR="00B8103C">
        <w:fldChar w:fldCharType="begin"/>
      </w:r>
      <w:r w:rsidR="00B8103C">
        <w:instrText xml:space="preserve"> SEQ Figure \* ARABIC </w:instrText>
      </w:r>
      <w:r w:rsidR="00B8103C">
        <w:fldChar w:fldCharType="separate"/>
      </w:r>
      <w:r w:rsidR="00B8103C">
        <w:rPr>
          <w:noProof/>
        </w:rPr>
        <w:t>5</w:t>
      </w:r>
      <w:r w:rsidR="00B8103C">
        <w:fldChar w:fldCharType="end"/>
      </w:r>
      <w:bookmarkEnd w:id="8"/>
      <w:r>
        <w:tab/>
        <w:t xml:space="preserve">Eight narrowband subcarriers are inserted as guard between numerology 1 and 2. Subcarriers of numerology 2 are located at its natural resource grid and numerology 2 resource blocks are aligned across cells. </w:t>
      </w:r>
    </w:p>
    <w:p w14:paraId="3269A483" w14:textId="77777777" w:rsidR="00327B62" w:rsidRDefault="00327B62" w:rsidP="00327B62">
      <w:pPr>
        <w:pStyle w:val="Heading1"/>
      </w:pPr>
      <w:r>
        <w:t>Simulation results</w:t>
      </w:r>
    </w:p>
    <w:p w14:paraId="19D8F6A1" w14:textId="77777777" w:rsidR="00327B62" w:rsidRDefault="00327B62" w:rsidP="00327B62">
      <w:pPr>
        <w:pStyle w:val="BodyText"/>
      </w:pPr>
      <w:r>
        <w:t>In this section we present throughput results in a mixed numerology system based on link level simulations.</w:t>
      </w:r>
    </w:p>
    <w:p w14:paraId="337A4B71" w14:textId="77777777" w:rsidR="00327B62" w:rsidRDefault="00327B62" w:rsidP="00327B62">
      <w:pPr>
        <w:pStyle w:val="Heading2"/>
      </w:pPr>
      <w:r>
        <w:t>Simulation assumptions</w:t>
      </w:r>
    </w:p>
    <w:p w14:paraId="75ACF66E" w14:textId="14C7C77D" w:rsidR="00327B62" w:rsidRDefault="00327B62" w:rsidP="00327B62">
      <w:r>
        <w:fldChar w:fldCharType="begin"/>
      </w:r>
      <w:r>
        <w:instrText xml:space="preserve"> REF _Ref450726407 \h </w:instrText>
      </w:r>
      <w:r>
        <w:fldChar w:fldCharType="separate"/>
      </w:r>
      <w:r>
        <w:t xml:space="preserve">Table </w:t>
      </w:r>
      <w:r>
        <w:rPr>
          <w:noProof/>
        </w:rPr>
        <w:t>1</w:t>
      </w:r>
      <w:r>
        <w:fldChar w:fldCharType="end"/>
      </w:r>
      <w:r>
        <w:t xml:space="preserve"> summarize</w:t>
      </w:r>
      <w:r w:rsidR="00D32D4F">
        <w:t>s</w:t>
      </w:r>
      <w:r>
        <w:t xml:space="preserve"> simulation assumptions.</w:t>
      </w:r>
    </w:p>
    <w:p w14:paraId="0776C5A3" w14:textId="4F3CC367" w:rsidR="00327B62" w:rsidRDefault="00327B62" w:rsidP="00327B62">
      <w:pPr>
        <w:pStyle w:val="Caption"/>
      </w:pPr>
      <w:bookmarkStart w:id="9" w:name="_Ref450726407"/>
      <w:r>
        <w:t xml:space="preserve">Table </w:t>
      </w:r>
      <w:r w:rsidR="00B8103C">
        <w:fldChar w:fldCharType="begin"/>
      </w:r>
      <w:r w:rsidR="00B8103C">
        <w:instrText xml:space="preserve"> SEQ Table \* ARABIC </w:instrText>
      </w:r>
      <w:r w:rsidR="00B8103C">
        <w:fldChar w:fldCharType="separate"/>
      </w:r>
      <w:r w:rsidR="00B8103C">
        <w:rPr>
          <w:noProof/>
        </w:rPr>
        <w:t>1</w:t>
      </w:r>
      <w:r w:rsidR="00B8103C">
        <w:fldChar w:fldCharType="end"/>
      </w:r>
      <w:bookmarkEnd w:id="9"/>
      <w:r>
        <w:tab/>
        <w:t>Link level simulation assumptions for 15/60 kHz simulation case</w:t>
      </w:r>
    </w:p>
    <w:tbl>
      <w:tblPr>
        <w:tblStyle w:val="TableGrid"/>
        <w:tblW w:w="0" w:type="auto"/>
        <w:tblLook w:val="04A0" w:firstRow="1" w:lastRow="0" w:firstColumn="1" w:lastColumn="0" w:noHBand="0" w:noVBand="1"/>
      </w:tblPr>
      <w:tblGrid>
        <w:gridCol w:w="4927"/>
        <w:gridCol w:w="4928"/>
      </w:tblGrid>
      <w:tr w:rsidR="00327B62" w:rsidRPr="00D32D4F" w14:paraId="3F891E16" w14:textId="77777777" w:rsidTr="00525AA7">
        <w:tc>
          <w:tcPr>
            <w:tcW w:w="4927" w:type="dxa"/>
          </w:tcPr>
          <w:p w14:paraId="013263AF" w14:textId="77777777" w:rsidR="00327B62" w:rsidRPr="00D32D4F" w:rsidRDefault="00327B62" w:rsidP="00525AA7">
            <w:pPr>
              <w:rPr>
                <w:b/>
              </w:rPr>
            </w:pPr>
            <w:r w:rsidRPr="00D32D4F">
              <w:rPr>
                <w:b/>
              </w:rPr>
              <w:t>Parameter</w:t>
            </w:r>
          </w:p>
        </w:tc>
        <w:tc>
          <w:tcPr>
            <w:tcW w:w="4928" w:type="dxa"/>
          </w:tcPr>
          <w:p w14:paraId="0526E0C2" w14:textId="77777777" w:rsidR="00327B62" w:rsidRPr="00D32D4F" w:rsidRDefault="00327B62" w:rsidP="00525AA7">
            <w:pPr>
              <w:rPr>
                <w:b/>
              </w:rPr>
            </w:pPr>
            <w:r w:rsidRPr="00D32D4F">
              <w:rPr>
                <w:b/>
              </w:rPr>
              <w:t>Value</w:t>
            </w:r>
          </w:p>
        </w:tc>
      </w:tr>
      <w:tr w:rsidR="00327B62" w:rsidRPr="00D32D4F" w14:paraId="368AA23A" w14:textId="77777777" w:rsidTr="00525AA7">
        <w:tc>
          <w:tcPr>
            <w:tcW w:w="4927" w:type="dxa"/>
            <w:vAlign w:val="center"/>
          </w:tcPr>
          <w:p w14:paraId="0A540C66" w14:textId="77777777" w:rsidR="00327B62" w:rsidRPr="00D32D4F" w:rsidRDefault="00327B62" w:rsidP="00525AA7">
            <w:pPr>
              <w:jc w:val="left"/>
            </w:pPr>
            <w:r w:rsidRPr="00D32D4F">
              <w:t>Numerologies</w:t>
            </w:r>
          </w:p>
        </w:tc>
        <w:tc>
          <w:tcPr>
            <w:tcW w:w="4928" w:type="dxa"/>
            <w:vAlign w:val="center"/>
          </w:tcPr>
          <w:p w14:paraId="556C4B1E" w14:textId="360A9F38" w:rsidR="00327B62" w:rsidRPr="00D32D4F" w:rsidRDefault="00327B62" w:rsidP="00B8103C">
            <w:pPr>
              <w:jc w:val="left"/>
              <w:rPr>
                <w:lang w:val="en-US"/>
              </w:rPr>
            </w:pPr>
            <w:r w:rsidRPr="00D32D4F">
              <w:rPr>
                <w:lang w:val="en-US"/>
              </w:rPr>
              <w:t>15 kHz (</w:t>
            </w:r>
            <w:r w:rsidR="00B8103C" w:rsidRPr="00D32D4F">
              <w:rPr>
                <w:lang w:val="en-US"/>
              </w:rPr>
              <w:t>victim</w:t>
            </w:r>
            <w:r w:rsidRPr="00D32D4F">
              <w:rPr>
                <w:lang w:val="en-US"/>
              </w:rPr>
              <w:t>) and 60 kHz (</w:t>
            </w:r>
            <w:r w:rsidR="00B8103C" w:rsidRPr="00D32D4F">
              <w:rPr>
                <w:lang w:val="en-US"/>
              </w:rPr>
              <w:t>aggressor</w:t>
            </w:r>
            <w:r w:rsidRPr="00D32D4F">
              <w:rPr>
                <w:lang w:val="en-US"/>
              </w:rPr>
              <w:t>)</w:t>
            </w:r>
          </w:p>
        </w:tc>
      </w:tr>
      <w:tr w:rsidR="00327B62" w:rsidRPr="00D32D4F" w14:paraId="67F0B6C0" w14:textId="77777777" w:rsidTr="00525AA7">
        <w:tc>
          <w:tcPr>
            <w:tcW w:w="4927" w:type="dxa"/>
            <w:vAlign w:val="center"/>
          </w:tcPr>
          <w:p w14:paraId="7F7E6D39" w14:textId="77777777" w:rsidR="00327B62" w:rsidRPr="00D32D4F" w:rsidRDefault="00327B62" w:rsidP="00525AA7">
            <w:pPr>
              <w:jc w:val="left"/>
            </w:pPr>
            <w:r w:rsidRPr="00D32D4F">
              <w:t>Aggressor allocation</w:t>
            </w:r>
          </w:p>
        </w:tc>
        <w:tc>
          <w:tcPr>
            <w:tcW w:w="4928" w:type="dxa"/>
            <w:vAlign w:val="center"/>
          </w:tcPr>
          <w:p w14:paraId="303121F6" w14:textId="25F54B36" w:rsidR="00327B62" w:rsidRPr="00D32D4F" w:rsidRDefault="00704016" w:rsidP="00525AA7">
            <w:pPr>
              <w:jc w:val="left"/>
            </w:pPr>
            <w:r w:rsidRPr="00D32D4F">
              <w:t>Wideband (21 PRB</w:t>
            </w:r>
            <w:r w:rsidR="00A91CA7" w:rsidRPr="00D32D4F">
              <w:t xml:space="preserve"> – 252 60kHz subcarriers</w:t>
            </w:r>
            <w:r w:rsidRPr="00D32D4F">
              <w:t>)</w:t>
            </w:r>
          </w:p>
        </w:tc>
      </w:tr>
      <w:tr w:rsidR="00327B62" w:rsidRPr="00D32D4F" w14:paraId="5E7BCF87" w14:textId="77777777" w:rsidTr="00525AA7">
        <w:tc>
          <w:tcPr>
            <w:tcW w:w="4927" w:type="dxa"/>
            <w:vAlign w:val="center"/>
          </w:tcPr>
          <w:p w14:paraId="189FE288" w14:textId="77777777" w:rsidR="00327B62" w:rsidRPr="00D32D4F" w:rsidRDefault="00327B62" w:rsidP="00525AA7">
            <w:pPr>
              <w:jc w:val="left"/>
            </w:pPr>
            <w:r w:rsidRPr="00D32D4F">
              <w:t>Victim allocation</w:t>
            </w:r>
          </w:p>
        </w:tc>
        <w:tc>
          <w:tcPr>
            <w:tcW w:w="4928" w:type="dxa"/>
            <w:vAlign w:val="center"/>
          </w:tcPr>
          <w:p w14:paraId="48C23BC5" w14:textId="3826C422" w:rsidR="00327B62" w:rsidRPr="00D32D4F" w:rsidRDefault="00704016" w:rsidP="00525AA7">
            <w:pPr>
              <w:jc w:val="left"/>
            </w:pPr>
            <w:r w:rsidRPr="00D32D4F">
              <w:t>Wideband (54 PRB</w:t>
            </w:r>
            <w:r w:rsidR="00A91CA7" w:rsidRPr="00D32D4F">
              <w:t xml:space="preserve"> – 648 15kHz subcarriers</w:t>
            </w:r>
            <w:r w:rsidRPr="00D32D4F">
              <w:t>) and narrowband (6 PRB</w:t>
            </w:r>
            <w:r w:rsidR="00A91CA7" w:rsidRPr="00D32D4F">
              <w:t xml:space="preserve"> – 72 15kHz subcarriers</w:t>
            </w:r>
            <w:r w:rsidRPr="00D32D4F">
              <w:t>)</w:t>
            </w:r>
          </w:p>
        </w:tc>
      </w:tr>
      <w:tr w:rsidR="00327B62" w:rsidRPr="00D32D4F" w14:paraId="190A36AD" w14:textId="77777777" w:rsidTr="00525AA7">
        <w:tc>
          <w:tcPr>
            <w:tcW w:w="4927" w:type="dxa"/>
            <w:vAlign w:val="center"/>
          </w:tcPr>
          <w:p w14:paraId="4ED55B83" w14:textId="77777777" w:rsidR="00327B62" w:rsidRPr="00D32D4F" w:rsidRDefault="00327B62" w:rsidP="00525AA7">
            <w:pPr>
              <w:jc w:val="left"/>
            </w:pPr>
            <w:r w:rsidRPr="00D32D4F">
              <w:t>PSD allocation between numerologies</w:t>
            </w:r>
          </w:p>
        </w:tc>
        <w:tc>
          <w:tcPr>
            <w:tcW w:w="4928" w:type="dxa"/>
            <w:vAlign w:val="center"/>
          </w:tcPr>
          <w:p w14:paraId="6A2498E3" w14:textId="77777777" w:rsidR="00327B62" w:rsidRPr="00D32D4F" w:rsidRDefault="00327B62" w:rsidP="00525AA7">
            <w:pPr>
              <w:jc w:val="left"/>
            </w:pPr>
            <w:r w:rsidRPr="00D32D4F">
              <w:t>Equal</w:t>
            </w:r>
          </w:p>
        </w:tc>
      </w:tr>
      <w:tr w:rsidR="00327B62" w:rsidRPr="00D32D4F" w14:paraId="4FDDF2B8" w14:textId="77777777" w:rsidTr="00525AA7">
        <w:tc>
          <w:tcPr>
            <w:tcW w:w="4927" w:type="dxa"/>
            <w:vAlign w:val="center"/>
          </w:tcPr>
          <w:p w14:paraId="37E04824" w14:textId="77777777" w:rsidR="00327B62" w:rsidRPr="00D32D4F" w:rsidRDefault="00327B62" w:rsidP="00525AA7">
            <w:pPr>
              <w:jc w:val="left"/>
            </w:pPr>
            <w:r w:rsidRPr="00D32D4F">
              <w:t>Spectral confinement method</w:t>
            </w:r>
          </w:p>
        </w:tc>
        <w:tc>
          <w:tcPr>
            <w:tcW w:w="4928" w:type="dxa"/>
            <w:vAlign w:val="center"/>
          </w:tcPr>
          <w:p w14:paraId="323C56E2" w14:textId="62105281" w:rsidR="00327B62" w:rsidRPr="00D32D4F" w:rsidRDefault="00327B62" w:rsidP="00525AA7">
            <w:pPr>
              <w:jc w:val="left"/>
            </w:pPr>
            <w:r w:rsidRPr="00D32D4F">
              <w:t xml:space="preserve">TX and RX windowing </w:t>
            </w:r>
            <w:r w:rsidRPr="00D32D4F">
              <w:fldChar w:fldCharType="begin"/>
            </w:r>
            <w:r w:rsidRPr="00D32D4F">
              <w:instrText xml:space="preserve"> REF _Ref444257346 \r \h </w:instrText>
            </w:r>
            <w:r w:rsidR="00D32D4F">
              <w:instrText xml:space="preserve"> \* MERGEFORMAT </w:instrText>
            </w:r>
            <w:r w:rsidRPr="00D32D4F">
              <w:fldChar w:fldCharType="separate"/>
            </w:r>
            <w:r w:rsidRPr="00D32D4F">
              <w:t>[1</w:t>
            </w:r>
            <w:proofErr w:type="gramStart"/>
            <w:r w:rsidRPr="00D32D4F">
              <w:t>]</w:t>
            </w:r>
            <w:proofErr w:type="gramEnd"/>
            <w:r w:rsidRPr="00D32D4F">
              <w:fldChar w:fldCharType="end"/>
            </w:r>
            <w:r w:rsidRPr="00D32D4F">
              <w:fldChar w:fldCharType="begin"/>
            </w:r>
            <w:r w:rsidRPr="00D32D4F">
              <w:instrText xml:space="preserve"> REF _Ref450726460 \r \h </w:instrText>
            </w:r>
            <w:r w:rsidR="00D32D4F">
              <w:instrText xml:space="preserve"> \* MERGEFORMAT </w:instrText>
            </w:r>
            <w:r w:rsidRPr="00D32D4F">
              <w:fldChar w:fldCharType="separate"/>
            </w:r>
            <w:r w:rsidRPr="00D32D4F">
              <w:t>[2]</w:t>
            </w:r>
            <w:r w:rsidRPr="00D32D4F">
              <w:fldChar w:fldCharType="end"/>
            </w:r>
            <w:r w:rsidRPr="00D32D4F">
              <w:t xml:space="preserve"> with linear window slop</w:t>
            </w:r>
            <w:r w:rsidR="00A91CA7" w:rsidRPr="00D32D4F">
              <w:t>e</w:t>
            </w:r>
            <w:r w:rsidRPr="00D32D4F">
              <w:t xml:space="preserve"> of length 24 (15 kHz) and 12 (60 kHz) samples. </w:t>
            </w:r>
          </w:p>
        </w:tc>
      </w:tr>
      <w:tr w:rsidR="00327B62" w:rsidRPr="00D32D4F" w14:paraId="4178D897" w14:textId="77777777" w:rsidTr="00525AA7">
        <w:tc>
          <w:tcPr>
            <w:tcW w:w="4927" w:type="dxa"/>
            <w:vAlign w:val="center"/>
          </w:tcPr>
          <w:p w14:paraId="10B555C9" w14:textId="77777777" w:rsidR="00327B62" w:rsidRPr="00D32D4F" w:rsidRDefault="00327B62" w:rsidP="00525AA7">
            <w:pPr>
              <w:jc w:val="left"/>
            </w:pPr>
            <w:r w:rsidRPr="00D32D4F">
              <w:t>Guard band</w:t>
            </w:r>
          </w:p>
        </w:tc>
        <w:tc>
          <w:tcPr>
            <w:tcW w:w="4928" w:type="dxa"/>
            <w:vAlign w:val="center"/>
          </w:tcPr>
          <w:p w14:paraId="17A8CACD" w14:textId="77777777" w:rsidR="00327B62" w:rsidRPr="00D32D4F" w:rsidRDefault="00327B62" w:rsidP="00525AA7">
            <w:pPr>
              <w:jc w:val="left"/>
            </w:pPr>
            <w:r w:rsidRPr="00D32D4F">
              <w:t>8 narrowband subcarriers</w:t>
            </w:r>
          </w:p>
        </w:tc>
      </w:tr>
      <w:tr w:rsidR="00327B62" w:rsidRPr="00D32D4F" w14:paraId="760C9623" w14:textId="77777777" w:rsidTr="00525AA7">
        <w:tc>
          <w:tcPr>
            <w:tcW w:w="4927" w:type="dxa"/>
            <w:vAlign w:val="center"/>
          </w:tcPr>
          <w:p w14:paraId="5419E296" w14:textId="77777777" w:rsidR="00327B62" w:rsidRPr="00D32D4F" w:rsidRDefault="00327B62" w:rsidP="00525AA7">
            <w:pPr>
              <w:jc w:val="left"/>
            </w:pPr>
            <w:r w:rsidRPr="00D32D4F">
              <w:t>FFT size</w:t>
            </w:r>
          </w:p>
        </w:tc>
        <w:tc>
          <w:tcPr>
            <w:tcW w:w="4928" w:type="dxa"/>
            <w:vAlign w:val="center"/>
          </w:tcPr>
          <w:p w14:paraId="00166425" w14:textId="77777777" w:rsidR="00327B62" w:rsidRPr="00D32D4F" w:rsidRDefault="00327B62" w:rsidP="00525AA7">
            <w:pPr>
              <w:jc w:val="left"/>
            </w:pPr>
            <w:r w:rsidRPr="00D32D4F">
              <w:t>15 kHz: 4096</w:t>
            </w:r>
            <w:r w:rsidRPr="00D32D4F">
              <w:br/>
              <w:t>60 kHz: 1024</w:t>
            </w:r>
          </w:p>
        </w:tc>
      </w:tr>
      <w:tr w:rsidR="00327B62" w:rsidRPr="00D32D4F" w14:paraId="22C4333F" w14:textId="77777777" w:rsidTr="00525AA7">
        <w:tc>
          <w:tcPr>
            <w:tcW w:w="4927" w:type="dxa"/>
            <w:vAlign w:val="center"/>
          </w:tcPr>
          <w:p w14:paraId="5BE8AD7B" w14:textId="77777777" w:rsidR="00327B62" w:rsidRPr="00D32D4F" w:rsidRDefault="00327B62" w:rsidP="00525AA7">
            <w:pPr>
              <w:jc w:val="left"/>
            </w:pPr>
            <w:r w:rsidRPr="00D32D4F">
              <w:t>Cyclic prefix length</w:t>
            </w:r>
          </w:p>
        </w:tc>
        <w:tc>
          <w:tcPr>
            <w:tcW w:w="4928" w:type="dxa"/>
            <w:vAlign w:val="center"/>
          </w:tcPr>
          <w:p w14:paraId="08543D66" w14:textId="77777777" w:rsidR="00327B62" w:rsidRPr="00D32D4F" w:rsidRDefault="00327B62" w:rsidP="00525AA7">
            <w:pPr>
              <w:jc w:val="left"/>
            </w:pPr>
            <w:r w:rsidRPr="00D32D4F">
              <w:t>15 kHz: 1</w:t>
            </w:r>
            <w:r w:rsidRPr="00D32D4F">
              <w:sym w:font="Symbol" w:char="F0B4"/>
            </w:r>
            <w:r w:rsidRPr="00D32D4F">
              <w:t>320 + 6</w:t>
            </w:r>
            <w:r w:rsidRPr="00D32D4F">
              <w:sym w:font="Symbol" w:char="F0B4"/>
            </w:r>
            <w:r w:rsidRPr="00D32D4F">
              <w:t xml:space="preserve">288 samples </w:t>
            </w:r>
            <w:r w:rsidRPr="00D32D4F">
              <w:br/>
              <w:t>60 kHz: 1</w:t>
            </w:r>
            <w:r w:rsidRPr="00D32D4F">
              <w:sym w:font="Symbol" w:char="F0B4"/>
            </w:r>
            <w:r w:rsidRPr="00D32D4F">
              <w:t>80 + 6</w:t>
            </w:r>
            <w:r w:rsidRPr="00D32D4F">
              <w:sym w:font="Symbol" w:char="F0B4"/>
            </w:r>
            <w:r w:rsidRPr="00D32D4F">
              <w:t xml:space="preserve">72 samples </w:t>
            </w:r>
          </w:p>
        </w:tc>
      </w:tr>
      <w:tr w:rsidR="00327B62" w:rsidRPr="00D32D4F" w14:paraId="6BF98C5C" w14:textId="77777777" w:rsidTr="00525AA7">
        <w:tc>
          <w:tcPr>
            <w:tcW w:w="4927" w:type="dxa"/>
            <w:vAlign w:val="center"/>
          </w:tcPr>
          <w:p w14:paraId="5BEEAC69" w14:textId="77777777" w:rsidR="00327B62" w:rsidRPr="00D32D4F" w:rsidRDefault="00327B62" w:rsidP="00525AA7">
            <w:pPr>
              <w:jc w:val="left"/>
            </w:pPr>
            <w:r w:rsidRPr="00D32D4F">
              <w:t>Resource block size</w:t>
            </w:r>
          </w:p>
        </w:tc>
        <w:tc>
          <w:tcPr>
            <w:tcW w:w="4928" w:type="dxa"/>
            <w:vAlign w:val="center"/>
          </w:tcPr>
          <w:p w14:paraId="6E591EA5" w14:textId="77777777" w:rsidR="00327B62" w:rsidRPr="00D32D4F" w:rsidRDefault="00327B62" w:rsidP="00525AA7">
            <w:pPr>
              <w:jc w:val="left"/>
            </w:pPr>
            <w:r w:rsidRPr="00D32D4F">
              <w:t>12 subcarriers</w:t>
            </w:r>
          </w:p>
        </w:tc>
      </w:tr>
      <w:tr w:rsidR="00327B62" w:rsidRPr="00D32D4F" w14:paraId="393FD88E" w14:textId="77777777" w:rsidTr="00525AA7">
        <w:tc>
          <w:tcPr>
            <w:tcW w:w="4927" w:type="dxa"/>
            <w:vAlign w:val="center"/>
          </w:tcPr>
          <w:p w14:paraId="5F8A9F54" w14:textId="77777777" w:rsidR="00327B62" w:rsidRPr="00D32D4F" w:rsidRDefault="00327B62" w:rsidP="00525AA7">
            <w:pPr>
              <w:jc w:val="left"/>
            </w:pPr>
            <w:r w:rsidRPr="00D32D4F">
              <w:t>TTI length</w:t>
            </w:r>
          </w:p>
        </w:tc>
        <w:tc>
          <w:tcPr>
            <w:tcW w:w="4928" w:type="dxa"/>
            <w:vAlign w:val="center"/>
          </w:tcPr>
          <w:p w14:paraId="640F47BC" w14:textId="4603F31B" w:rsidR="00327B62" w:rsidRPr="00D32D4F" w:rsidRDefault="00327B62" w:rsidP="00525AA7">
            <w:pPr>
              <w:jc w:val="left"/>
            </w:pPr>
            <w:r w:rsidRPr="00D32D4F">
              <w:t xml:space="preserve">15 kHz: </w:t>
            </w:r>
            <w:r w:rsidR="00704016" w:rsidRPr="00D32D4F">
              <w:t>1</w:t>
            </w:r>
            <w:r w:rsidRPr="00D32D4F">
              <w:t xml:space="preserve"> </w:t>
            </w:r>
            <w:r w:rsidR="00704016" w:rsidRPr="00D32D4F">
              <w:rPr>
                <w:rFonts w:cs="Arial"/>
              </w:rPr>
              <w:t>m</w:t>
            </w:r>
            <w:r w:rsidRPr="00D32D4F">
              <w:t xml:space="preserve">s </w:t>
            </w:r>
            <w:r w:rsidRPr="00D32D4F">
              <w:br/>
            </w:r>
            <w:r w:rsidRPr="00D32D4F">
              <w:lastRenderedPageBreak/>
              <w:t xml:space="preserve">60 kHz: </w:t>
            </w:r>
            <w:r w:rsidR="00704016" w:rsidRPr="00D32D4F">
              <w:t>1</w:t>
            </w:r>
            <w:r w:rsidRPr="00D32D4F">
              <w:t xml:space="preserve"> </w:t>
            </w:r>
            <w:r w:rsidR="00704016" w:rsidRPr="00D32D4F">
              <w:rPr>
                <w:rFonts w:cs="Arial"/>
              </w:rPr>
              <w:t>m</w:t>
            </w:r>
            <w:r w:rsidRPr="00D32D4F">
              <w:t>s</w:t>
            </w:r>
          </w:p>
        </w:tc>
      </w:tr>
      <w:tr w:rsidR="00327B62" w:rsidRPr="00D32D4F" w14:paraId="1A2BAD5C" w14:textId="77777777" w:rsidTr="00525AA7">
        <w:tc>
          <w:tcPr>
            <w:tcW w:w="4927" w:type="dxa"/>
            <w:vAlign w:val="center"/>
          </w:tcPr>
          <w:p w14:paraId="61639095" w14:textId="77777777" w:rsidR="00327B62" w:rsidRPr="00D32D4F" w:rsidRDefault="00327B62" w:rsidP="00525AA7">
            <w:pPr>
              <w:jc w:val="left"/>
            </w:pPr>
            <w:r w:rsidRPr="00D32D4F">
              <w:lastRenderedPageBreak/>
              <w:t>Channel estimation</w:t>
            </w:r>
          </w:p>
        </w:tc>
        <w:tc>
          <w:tcPr>
            <w:tcW w:w="4928" w:type="dxa"/>
            <w:vAlign w:val="center"/>
          </w:tcPr>
          <w:p w14:paraId="43AE8B88" w14:textId="77777777" w:rsidR="00327B62" w:rsidRPr="00D32D4F" w:rsidRDefault="00327B62" w:rsidP="00525AA7">
            <w:pPr>
              <w:jc w:val="left"/>
            </w:pPr>
            <w:r w:rsidRPr="00D32D4F">
              <w:t>ideal</w:t>
            </w:r>
          </w:p>
        </w:tc>
      </w:tr>
      <w:tr w:rsidR="00327B62" w:rsidRPr="00D32D4F" w14:paraId="413033F4" w14:textId="77777777" w:rsidTr="00525AA7">
        <w:tc>
          <w:tcPr>
            <w:tcW w:w="4927" w:type="dxa"/>
            <w:vAlign w:val="center"/>
          </w:tcPr>
          <w:p w14:paraId="18A66ACE" w14:textId="77777777" w:rsidR="00327B62" w:rsidRPr="00D32D4F" w:rsidRDefault="00327B62" w:rsidP="00525AA7">
            <w:pPr>
              <w:jc w:val="left"/>
            </w:pPr>
            <w:r w:rsidRPr="00D32D4F">
              <w:t>Link adaption</w:t>
            </w:r>
          </w:p>
        </w:tc>
        <w:tc>
          <w:tcPr>
            <w:tcW w:w="4928" w:type="dxa"/>
            <w:vAlign w:val="center"/>
          </w:tcPr>
          <w:p w14:paraId="435C2625" w14:textId="77777777" w:rsidR="00327B62" w:rsidRPr="00D32D4F" w:rsidRDefault="00327B62" w:rsidP="00525AA7">
            <w:pPr>
              <w:jc w:val="left"/>
            </w:pPr>
            <w:r w:rsidRPr="00D32D4F">
              <w:t>Based on ideal ACK/NACK</w:t>
            </w:r>
          </w:p>
        </w:tc>
      </w:tr>
      <w:tr w:rsidR="00327B62" w:rsidRPr="00D32D4F" w14:paraId="06354DD6" w14:textId="77777777" w:rsidTr="00525AA7">
        <w:tc>
          <w:tcPr>
            <w:tcW w:w="4927" w:type="dxa"/>
            <w:vAlign w:val="center"/>
          </w:tcPr>
          <w:p w14:paraId="714601A9" w14:textId="77777777" w:rsidR="00327B62" w:rsidRPr="00D32D4F" w:rsidRDefault="00327B62" w:rsidP="00525AA7">
            <w:pPr>
              <w:jc w:val="left"/>
            </w:pPr>
            <w:r w:rsidRPr="00D32D4F">
              <w:t>Modulations scheme</w:t>
            </w:r>
          </w:p>
        </w:tc>
        <w:tc>
          <w:tcPr>
            <w:tcW w:w="4928" w:type="dxa"/>
            <w:vAlign w:val="center"/>
          </w:tcPr>
          <w:p w14:paraId="25BAB16C" w14:textId="77777777" w:rsidR="00327B62" w:rsidRPr="00D32D4F" w:rsidRDefault="00327B62" w:rsidP="00525AA7">
            <w:pPr>
              <w:jc w:val="left"/>
            </w:pPr>
            <w:r w:rsidRPr="00D32D4F">
              <w:t>QPSK, 16QAM, 64QAM</w:t>
            </w:r>
          </w:p>
        </w:tc>
      </w:tr>
      <w:tr w:rsidR="00704016" w:rsidRPr="00D32D4F" w14:paraId="7855491A" w14:textId="77777777" w:rsidTr="00525AA7">
        <w:tc>
          <w:tcPr>
            <w:tcW w:w="4927" w:type="dxa"/>
            <w:vAlign w:val="center"/>
          </w:tcPr>
          <w:p w14:paraId="665CE0B5" w14:textId="20922322" w:rsidR="00704016" w:rsidRPr="00D32D4F" w:rsidRDefault="00704016" w:rsidP="00D32D4F">
            <w:pPr>
              <w:jc w:val="left"/>
            </w:pPr>
            <w:r w:rsidRPr="00D32D4F">
              <w:t xml:space="preserve">Channel </w:t>
            </w:r>
            <w:r w:rsidR="00D32D4F" w:rsidRPr="00D32D4F">
              <w:t>codec</w:t>
            </w:r>
          </w:p>
        </w:tc>
        <w:tc>
          <w:tcPr>
            <w:tcW w:w="4928" w:type="dxa"/>
            <w:vAlign w:val="center"/>
          </w:tcPr>
          <w:p w14:paraId="14255C5E" w14:textId="47AEF135" w:rsidR="00704016" w:rsidRPr="00D32D4F" w:rsidRDefault="00704016" w:rsidP="00525AA7">
            <w:pPr>
              <w:jc w:val="left"/>
            </w:pPr>
            <w:r w:rsidRPr="00D32D4F">
              <w:t>LTE Turbo code</w:t>
            </w:r>
          </w:p>
        </w:tc>
      </w:tr>
      <w:tr w:rsidR="00327B62" w:rsidRPr="00D32D4F" w14:paraId="0B554BAC" w14:textId="77777777" w:rsidTr="00525AA7">
        <w:tc>
          <w:tcPr>
            <w:tcW w:w="4927" w:type="dxa"/>
            <w:vAlign w:val="center"/>
          </w:tcPr>
          <w:p w14:paraId="45F7B6CD" w14:textId="77777777" w:rsidR="00327B62" w:rsidRPr="00D32D4F" w:rsidRDefault="00327B62" w:rsidP="00525AA7">
            <w:pPr>
              <w:jc w:val="left"/>
            </w:pPr>
            <w:r w:rsidRPr="00D32D4F">
              <w:t>Reference signal overhead</w:t>
            </w:r>
          </w:p>
        </w:tc>
        <w:tc>
          <w:tcPr>
            <w:tcW w:w="4928" w:type="dxa"/>
            <w:vAlign w:val="center"/>
          </w:tcPr>
          <w:p w14:paraId="4B2CA8D2" w14:textId="215A9E67" w:rsidR="00327B62" w:rsidRPr="00D32D4F" w:rsidRDefault="00704016" w:rsidP="00525AA7">
            <w:pPr>
              <w:jc w:val="left"/>
            </w:pPr>
            <w:r w:rsidRPr="00D32D4F">
              <w:t>LTE-DL DMRS</w:t>
            </w:r>
          </w:p>
        </w:tc>
      </w:tr>
      <w:tr w:rsidR="00327B62" w:rsidRPr="00D32D4F" w14:paraId="15EC4F1D" w14:textId="77777777" w:rsidTr="00525AA7">
        <w:tc>
          <w:tcPr>
            <w:tcW w:w="4927" w:type="dxa"/>
            <w:vAlign w:val="center"/>
          </w:tcPr>
          <w:p w14:paraId="6244AE9E" w14:textId="77777777" w:rsidR="00327B62" w:rsidRPr="00D32D4F" w:rsidRDefault="00327B62" w:rsidP="00525AA7">
            <w:pPr>
              <w:jc w:val="left"/>
            </w:pPr>
            <w:r w:rsidRPr="00D32D4F">
              <w:t>Control channel overhead</w:t>
            </w:r>
          </w:p>
        </w:tc>
        <w:tc>
          <w:tcPr>
            <w:tcW w:w="4928" w:type="dxa"/>
            <w:vAlign w:val="center"/>
          </w:tcPr>
          <w:p w14:paraId="7FEBD8E2" w14:textId="77777777" w:rsidR="00327B62" w:rsidRPr="00D32D4F" w:rsidRDefault="00327B62" w:rsidP="00525AA7">
            <w:pPr>
              <w:jc w:val="left"/>
            </w:pPr>
            <w:r w:rsidRPr="00D32D4F">
              <w:t>not included</w:t>
            </w:r>
          </w:p>
        </w:tc>
      </w:tr>
      <w:tr w:rsidR="00327B62" w14:paraId="632A318C" w14:textId="77777777" w:rsidTr="00525AA7">
        <w:tc>
          <w:tcPr>
            <w:tcW w:w="4927" w:type="dxa"/>
            <w:vAlign w:val="center"/>
          </w:tcPr>
          <w:p w14:paraId="25A3CC80" w14:textId="77777777" w:rsidR="00327B62" w:rsidRPr="00D32D4F" w:rsidRDefault="00327B62" w:rsidP="00525AA7">
            <w:pPr>
              <w:jc w:val="left"/>
            </w:pPr>
            <w:r w:rsidRPr="00D32D4F">
              <w:t>Channel model</w:t>
            </w:r>
          </w:p>
        </w:tc>
        <w:tc>
          <w:tcPr>
            <w:tcW w:w="4928" w:type="dxa"/>
            <w:vAlign w:val="center"/>
          </w:tcPr>
          <w:p w14:paraId="17E9107C" w14:textId="1DE00118" w:rsidR="00327B62" w:rsidRDefault="00327B62" w:rsidP="00704016">
            <w:pPr>
              <w:jc w:val="left"/>
            </w:pPr>
            <w:r w:rsidRPr="00D32D4F">
              <w:t xml:space="preserve">TDL-A with </w:t>
            </w:r>
            <w:r w:rsidR="00704016" w:rsidRPr="00D32D4F">
              <w:t xml:space="preserve">10ns and 1000ns </w:t>
            </w:r>
            <w:r w:rsidRPr="00D32D4F">
              <w:t>RMS delay spread</w:t>
            </w:r>
          </w:p>
        </w:tc>
      </w:tr>
    </w:tbl>
    <w:p w14:paraId="0F538099" w14:textId="77777777" w:rsidR="00327B62" w:rsidRDefault="00327B62" w:rsidP="00327B62">
      <w:pPr>
        <w:pStyle w:val="Heading2"/>
      </w:pPr>
      <w:r>
        <w:t>Simulation results</w:t>
      </w:r>
    </w:p>
    <w:p w14:paraId="3BA4430C" w14:textId="21F0402C" w:rsidR="00196102" w:rsidRPr="00D32D4F" w:rsidRDefault="00B8103C" w:rsidP="00196102">
      <w:pPr>
        <w:pStyle w:val="Heading3"/>
      </w:pPr>
      <w:r w:rsidRPr="00D32D4F">
        <w:t>Victim</w:t>
      </w:r>
      <w:r w:rsidR="00196102" w:rsidRPr="00D32D4F">
        <w:t xml:space="preserve">: 15 kHz, </w:t>
      </w:r>
      <w:r w:rsidRPr="00D32D4F">
        <w:t>aggressor</w:t>
      </w:r>
      <w:r w:rsidR="00196102" w:rsidRPr="00D32D4F">
        <w:t xml:space="preserve"> 60 kHz</w:t>
      </w:r>
    </w:p>
    <w:p w14:paraId="37732DA1" w14:textId="1196E16A" w:rsidR="00F90B7C" w:rsidRDefault="00D32D4F" w:rsidP="00196102">
      <w:r>
        <w:fldChar w:fldCharType="begin"/>
      </w:r>
      <w:r>
        <w:instrText xml:space="preserve"> REF _Ref450920091 \h </w:instrText>
      </w:r>
      <w:r>
        <w:fldChar w:fldCharType="separate"/>
      </w:r>
      <w:r>
        <w:t xml:space="preserve">Figure </w:t>
      </w:r>
      <w:r>
        <w:rPr>
          <w:noProof/>
        </w:rPr>
        <w:t>6</w:t>
      </w:r>
      <w:r>
        <w:fldChar w:fldCharType="end"/>
      </w:r>
      <w:r>
        <w:t xml:space="preserve"> to </w:t>
      </w:r>
      <w:r>
        <w:fldChar w:fldCharType="begin"/>
      </w:r>
      <w:r>
        <w:instrText xml:space="preserve"> REF _Ref450920099 \h </w:instrText>
      </w:r>
      <w:r>
        <w:fldChar w:fldCharType="separate"/>
      </w:r>
      <w:r>
        <w:t xml:space="preserve">Figure </w:t>
      </w:r>
      <w:r>
        <w:rPr>
          <w:noProof/>
        </w:rPr>
        <w:t>9</w:t>
      </w:r>
      <w:r>
        <w:fldChar w:fldCharType="end"/>
      </w:r>
      <w:r>
        <w:t xml:space="preserve"> </w:t>
      </w:r>
      <w:r w:rsidR="00704016">
        <w:t xml:space="preserve">below </w:t>
      </w:r>
      <w:r>
        <w:t>compare</w:t>
      </w:r>
      <w:r w:rsidR="00704016">
        <w:t xml:space="preserve"> link level simulation results in terms of throughput vs. SNR of </w:t>
      </w:r>
      <w:r>
        <w:t>a mixed numerology system using</w:t>
      </w:r>
      <w:r w:rsidR="00704016">
        <w:t xml:space="preserve"> windowed-OFDM </w:t>
      </w:r>
      <w:r>
        <w:t>with</w:t>
      </w:r>
      <w:r w:rsidR="00F90B7C">
        <w:t xml:space="preserve"> </w:t>
      </w:r>
      <w:r w:rsidR="00704016">
        <w:t>OFDM</w:t>
      </w:r>
      <w:r w:rsidR="00F90B7C">
        <w:t xml:space="preserve"> simulated</w:t>
      </w:r>
      <w:r w:rsidR="00704016">
        <w:t xml:space="preserve"> without aggressor/interferer. As expected, with </w:t>
      </w:r>
      <w:r w:rsidR="00F90B7C">
        <w:t xml:space="preserve">a </w:t>
      </w:r>
      <w:r w:rsidR="00704016">
        <w:t xml:space="preserve">wideband </w:t>
      </w:r>
      <w:r w:rsidR="00F90B7C">
        <w:t xml:space="preserve">victim </w:t>
      </w:r>
      <w:r w:rsidR="00704016">
        <w:t xml:space="preserve">allocation, the performance loss due to the aggressor is </w:t>
      </w:r>
      <w:r>
        <w:t>negligible</w:t>
      </w:r>
      <w:r w:rsidR="00704016">
        <w:t xml:space="preserve">. With </w:t>
      </w:r>
      <w:r w:rsidR="00F90B7C">
        <w:t>1000</w:t>
      </w:r>
      <w:r>
        <w:t xml:space="preserve"> </w:t>
      </w:r>
      <w:r w:rsidR="00F90B7C">
        <w:t>ns</w:t>
      </w:r>
      <w:r w:rsidR="00704016">
        <w:t xml:space="preserve"> delay spread</w:t>
      </w:r>
      <w:r w:rsidR="00F90B7C">
        <w:t xml:space="preserve"> (which is much longer than what is typically experienced in practical scenarios)</w:t>
      </w:r>
      <w:r w:rsidR="00704016">
        <w:t xml:space="preserve">, there is a small loss in the high SNR region due to a slightly shorter cyclic prefix </w:t>
      </w:r>
      <w:r>
        <w:t>if</w:t>
      </w:r>
      <w:r w:rsidR="00704016">
        <w:t xml:space="preserve"> windowing</w:t>
      </w:r>
      <w:r>
        <w:t xml:space="preserve"> is used</w:t>
      </w:r>
      <w:r w:rsidR="00704016">
        <w:t xml:space="preserve">. </w:t>
      </w:r>
    </w:p>
    <w:p w14:paraId="1F4EFC06" w14:textId="027D48F7" w:rsidR="00D32D4F" w:rsidRDefault="00704016" w:rsidP="00196102">
      <w:r>
        <w:t>For narrowband</w:t>
      </w:r>
      <w:r w:rsidR="00F90B7C">
        <w:t xml:space="preserve"> victim</w:t>
      </w:r>
      <w:r>
        <w:t xml:space="preserve"> allocation</w:t>
      </w:r>
      <w:r w:rsidR="00D32D4F">
        <w:t xml:space="preserve"> – </w:t>
      </w:r>
      <w:r>
        <w:t>6 PRB</w:t>
      </w:r>
      <w:r w:rsidR="00D32D4F">
        <w:t xml:space="preserve"> </w:t>
      </w:r>
      <w:r w:rsidR="00D32D4F">
        <w:t>–</w:t>
      </w:r>
      <w:r w:rsidR="00F90B7C">
        <w:t xml:space="preserve"> a</w:t>
      </w:r>
      <w:r>
        <w:t xml:space="preserve"> </w:t>
      </w:r>
      <w:r w:rsidR="00F90B7C">
        <w:t xml:space="preserve">small </w:t>
      </w:r>
      <w:r>
        <w:t xml:space="preserve">performance loss is observed </w:t>
      </w:r>
      <w:r w:rsidR="00F90B7C">
        <w:t>for</w:t>
      </w:r>
      <w:r>
        <w:t xml:space="preserve"> </w:t>
      </w:r>
      <w:r w:rsidR="00D32D4F">
        <w:t xml:space="preserve">high </w:t>
      </w:r>
      <w:r>
        <w:t xml:space="preserve">SNR above 15 </w:t>
      </w:r>
      <w:proofErr w:type="spellStart"/>
      <w:r>
        <w:t>dB.</w:t>
      </w:r>
      <w:proofErr w:type="spellEnd"/>
      <w:r>
        <w:t xml:space="preserve"> </w:t>
      </w:r>
    </w:p>
    <w:p w14:paraId="61A615EE" w14:textId="1B64E0A2" w:rsidR="00196102" w:rsidRDefault="00D32D4F" w:rsidP="00196102">
      <w:r>
        <w:t>Based on these results</w:t>
      </w:r>
      <w:r w:rsidR="00704016">
        <w:t xml:space="preserve"> we can conclude that windowing works well with mixed numerologies</w:t>
      </w:r>
      <w:r w:rsidR="00F90B7C">
        <w:t xml:space="preserve">, also with </w:t>
      </w:r>
      <w:r>
        <w:t xml:space="preserve">only </w:t>
      </w:r>
      <w:r w:rsidR="00F90B7C">
        <w:t xml:space="preserve">8 narrowband subcarriers </w:t>
      </w:r>
      <w:r>
        <w:t xml:space="preserve">as </w:t>
      </w:r>
      <w:r w:rsidR="00F90B7C">
        <w:t>guard</w:t>
      </w:r>
      <w:r w:rsidR="00313B02">
        <w:t xml:space="preserve"> </w:t>
      </w:r>
      <w:r w:rsidR="00F90B7C">
        <w:t>band</w:t>
      </w:r>
      <w:r w:rsidR="00704016">
        <w:t>.</w:t>
      </w:r>
    </w:p>
    <w:p w14:paraId="5A38C03C" w14:textId="29509DE0" w:rsidR="00B8103C" w:rsidRDefault="00B8103C" w:rsidP="00196102">
      <w:r>
        <w:rPr>
          <w:noProof/>
          <w:lang w:val="en-US" w:eastAsia="en-US"/>
        </w:rPr>
        <w:drawing>
          <wp:inline distT="0" distB="0" distL="0" distR="0" wp14:anchorId="6BADDDA0" wp14:editId="59A808E0">
            <wp:extent cx="6120765" cy="314199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0765" cy="3141993"/>
                    </a:xfrm>
                    <a:prstGeom prst="rect">
                      <a:avLst/>
                    </a:prstGeom>
                    <a:noFill/>
                    <a:ln>
                      <a:noFill/>
                    </a:ln>
                  </pic:spPr>
                </pic:pic>
              </a:graphicData>
            </a:graphic>
          </wp:inline>
        </w:drawing>
      </w:r>
    </w:p>
    <w:p w14:paraId="4E33ADBD" w14:textId="15FD6DA4" w:rsidR="00B8103C" w:rsidRDefault="00B8103C" w:rsidP="00D32D4F">
      <w:pPr>
        <w:pStyle w:val="Caption"/>
      </w:pPr>
      <w:bookmarkStart w:id="10" w:name="_Ref450920091"/>
      <w:r>
        <w:t xml:space="preserve">Figure </w:t>
      </w:r>
      <w:r>
        <w:fldChar w:fldCharType="begin"/>
      </w:r>
      <w:r>
        <w:instrText xml:space="preserve"> SEQ Figure \* ARABIC </w:instrText>
      </w:r>
      <w:r>
        <w:fldChar w:fldCharType="separate"/>
      </w:r>
      <w:proofErr w:type="gramStart"/>
      <w:r>
        <w:rPr>
          <w:noProof/>
        </w:rPr>
        <w:t>6</w:t>
      </w:r>
      <w:r>
        <w:fldChar w:fldCharType="end"/>
      </w:r>
      <w:bookmarkEnd w:id="10"/>
      <w:r>
        <w:tab/>
        <w:t xml:space="preserve">Wideband </w:t>
      </w:r>
      <w:r w:rsidR="00D32D4F">
        <w:t xml:space="preserve">victim </w:t>
      </w:r>
      <w:r>
        <w:t>allocation</w:t>
      </w:r>
      <w:proofErr w:type="gramEnd"/>
      <w:r>
        <w:t xml:space="preserve"> </w:t>
      </w:r>
      <w:r w:rsidR="00704016">
        <w:t xml:space="preserve">(54 PRB) </w:t>
      </w:r>
      <w:r>
        <w:t>on fading channel TDL-A RMS-DS 10ns</w:t>
      </w:r>
    </w:p>
    <w:p w14:paraId="6C664D67" w14:textId="2B343057" w:rsidR="00B8103C" w:rsidRDefault="00B8103C" w:rsidP="00196102">
      <w:r>
        <w:rPr>
          <w:noProof/>
          <w:lang w:val="en-US" w:eastAsia="en-US"/>
        </w:rPr>
        <w:lastRenderedPageBreak/>
        <w:drawing>
          <wp:inline distT="0" distB="0" distL="0" distR="0" wp14:anchorId="3251CCAE" wp14:editId="16DDE8CD">
            <wp:extent cx="6120765" cy="314199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0765" cy="3141993"/>
                    </a:xfrm>
                    <a:prstGeom prst="rect">
                      <a:avLst/>
                    </a:prstGeom>
                    <a:noFill/>
                    <a:ln>
                      <a:noFill/>
                    </a:ln>
                  </pic:spPr>
                </pic:pic>
              </a:graphicData>
            </a:graphic>
          </wp:inline>
        </w:drawing>
      </w:r>
    </w:p>
    <w:p w14:paraId="2BB45032" w14:textId="64526BC8" w:rsidR="00B8103C" w:rsidRDefault="00B8103C" w:rsidP="00D32D4F">
      <w:pPr>
        <w:pStyle w:val="Caption"/>
      </w:pPr>
      <w:r>
        <w:t xml:space="preserve">Figure </w:t>
      </w:r>
      <w:r>
        <w:fldChar w:fldCharType="begin"/>
      </w:r>
      <w:r>
        <w:instrText xml:space="preserve"> SEQ Figure \* ARABIC </w:instrText>
      </w:r>
      <w:r>
        <w:fldChar w:fldCharType="separate"/>
      </w:r>
      <w:proofErr w:type="gramStart"/>
      <w:r>
        <w:rPr>
          <w:noProof/>
        </w:rPr>
        <w:t>7</w:t>
      </w:r>
      <w:r>
        <w:fldChar w:fldCharType="end"/>
      </w:r>
      <w:r>
        <w:tab/>
        <w:t xml:space="preserve">Wideband </w:t>
      </w:r>
      <w:r w:rsidR="00D32D4F">
        <w:t xml:space="preserve">victim </w:t>
      </w:r>
      <w:r>
        <w:t>allocation</w:t>
      </w:r>
      <w:proofErr w:type="gramEnd"/>
      <w:r w:rsidR="00704016">
        <w:t xml:space="preserve"> (54 PRB)</w:t>
      </w:r>
      <w:r>
        <w:t xml:space="preserve"> on fading channel TDL-A RMS-DS 1000ns</w:t>
      </w:r>
    </w:p>
    <w:p w14:paraId="3F7557AB" w14:textId="77777777" w:rsidR="00B8103C" w:rsidRDefault="00B8103C" w:rsidP="00196102"/>
    <w:p w14:paraId="1CA1EE5C" w14:textId="3C7C0A4B" w:rsidR="00171F5E" w:rsidRDefault="00171F5E" w:rsidP="00196102">
      <w:r>
        <w:rPr>
          <w:noProof/>
          <w:lang w:val="en-US" w:eastAsia="en-US"/>
        </w:rPr>
        <w:drawing>
          <wp:inline distT="0" distB="0" distL="0" distR="0" wp14:anchorId="0982F8E7" wp14:editId="647C1F7D">
            <wp:extent cx="6120765" cy="3141993"/>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0765" cy="3141993"/>
                    </a:xfrm>
                    <a:prstGeom prst="rect">
                      <a:avLst/>
                    </a:prstGeom>
                    <a:noFill/>
                    <a:ln>
                      <a:noFill/>
                    </a:ln>
                  </pic:spPr>
                </pic:pic>
              </a:graphicData>
            </a:graphic>
          </wp:inline>
        </w:drawing>
      </w:r>
    </w:p>
    <w:p w14:paraId="513F8BF5" w14:textId="4CCAAA8B" w:rsidR="00171F5E" w:rsidRPr="00196102" w:rsidRDefault="00171F5E" w:rsidP="00D32D4F">
      <w:pPr>
        <w:pStyle w:val="Caption"/>
      </w:pPr>
      <w:r>
        <w:t xml:space="preserve">Figure </w:t>
      </w:r>
      <w:r>
        <w:fldChar w:fldCharType="begin"/>
      </w:r>
      <w:r>
        <w:instrText xml:space="preserve"> SEQ Figure \* ARABIC </w:instrText>
      </w:r>
      <w:r>
        <w:fldChar w:fldCharType="separate"/>
      </w:r>
      <w:proofErr w:type="gramStart"/>
      <w:r>
        <w:rPr>
          <w:noProof/>
        </w:rPr>
        <w:t>8</w:t>
      </w:r>
      <w:r>
        <w:fldChar w:fldCharType="end"/>
      </w:r>
      <w:r>
        <w:tab/>
        <w:t xml:space="preserve">Narrowband </w:t>
      </w:r>
      <w:r w:rsidR="00D32D4F">
        <w:t xml:space="preserve">victim </w:t>
      </w:r>
      <w:r>
        <w:t>allocation</w:t>
      </w:r>
      <w:proofErr w:type="gramEnd"/>
      <w:r w:rsidR="00704016">
        <w:t xml:space="preserve"> (6 PRB)</w:t>
      </w:r>
      <w:r>
        <w:t xml:space="preserve"> on fading channel TDL-A RMS-DS 10ns</w:t>
      </w:r>
    </w:p>
    <w:p w14:paraId="21F9ED8C" w14:textId="656CE9F3" w:rsidR="00327B62" w:rsidRDefault="00171F5E" w:rsidP="00327B62">
      <w:r>
        <w:rPr>
          <w:noProof/>
          <w:lang w:val="en-US" w:eastAsia="en-US"/>
        </w:rPr>
        <w:lastRenderedPageBreak/>
        <w:drawing>
          <wp:inline distT="0" distB="0" distL="0" distR="0" wp14:anchorId="21A3A97F" wp14:editId="2ED20013">
            <wp:extent cx="6120765" cy="3141993"/>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0765" cy="3141993"/>
                    </a:xfrm>
                    <a:prstGeom prst="rect">
                      <a:avLst/>
                    </a:prstGeom>
                    <a:noFill/>
                    <a:ln>
                      <a:noFill/>
                    </a:ln>
                  </pic:spPr>
                </pic:pic>
              </a:graphicData>
            </a:graphic>
          </wp:inline>
        </w:drawing>
      </w:r>
    </w:p>
    <w:p w14:paraId="4FC57842" w14:textId="48FDD469" w:rsidR="00171F5E" w:rsidRDefault="00171F5E" w:rsidP="00D32D4F">
      <w:pPr>
        <w:pStyle w:val="Caption"/>
      </w:pPr>
      <w:bookmarkStart w:id="11" w:name="_Ref450920099"/>
      <w:r>
        <w:t xml:space="preserve">Figure </w:t>
      </w:r>
      <w:r>
        <w:fldChar w:fldCharType="begin"/>
      </w:r>
      <w:r>
        <w:instrText xml:space="preserve"> SEQ Figure \* ARABIC </w:instrText>
      </w:r>
      <w:r>
        <w:fldChar w:fldCharType="separate"/>
      </w:r>
      <w:proofErr w:type="gramStart"/>
      <w:r>
        <w:rPr>
          <w:noProof/>
        </w:rPr>
        <w:t>9</w:t>
      </w:r>
      <w:r>
        <w:fldChar w:fldCharType="end"/>
      </w:r>
      <w:bookmarkEnd w:id="11"/>
      <w:r>
        <w:tab/>
        <w:t xml:space="preserve">Narrowband </w:t>
      </w:r>
      <w:r w:rsidR="00D32D4F">
        <w:t xml:space="preserve">victim </w:t>
      </w:r>
      <w:r>
        <w:t>allocation</w:t>
      </w:r>
      <w:proofErr w:type="gramEnd"/>
      <w:r w:rsidR="00704016">
        <w:t xml:space="preserve"> (6 PRB)</w:t>
      </w:r>
      <w:r>
        <w:t xml:space="preserve"> on fading channel TDL-A RMS-DS 1000ns</w:t>
      </w:r>
    </w:p>
    <w:p w14:paraId="08D0DD46" w14:textId="77777777" w:rsidR="00171F5E" w:rsidRPr="00B42F9D" w:rsidRDefault="00171F5E" w:rsidP="00327B62"/>
    <w:p w14:paraId="0C1ACAC9" w14:textId="77777777" w:rsidR="00327B62" w:rsidRDefault="00327B62" w:rsidP="00327B62">
      <w:pPr>
        <w:pStyle w:val="Heading3"/>
      </w:pPr>
      <w:r>
        <w:t>Complexity</w:t>
      </w:r>
    </w:p>
    <w:p w14:paraId="7AE239F6" w14:textId="77777777" w:rsidR="00327B62" w:rsidRPr="000F7836" w:rsidRDefault="00327B62" w:rsidP="00327B62">
      <w:r>
        <w:t xml:space="preserve">Windowing has extremely low complexity. Only the windowed samples must be scaled and overlap-and-add over the windowed periods must be performed. For a window length of 12 samples TX windowing requires 24 multiplications and RX windowing requires 24 multiplications and 12 additions. For the 24 sample long window complexity doubles. In any case, the complexity is virtual zero compared to the several thousand operations required per FFT. No latency – neither at the transmitter nor at the receiver – is introduced. </w:t>
      </w:r>
    </w:p>
    <w:p w14:paraId="53D6945E" w14:textId="77777777" w:rsidR="00327B62" w:rsidRDefault="00327B62" w:rsidP="00327B62">
      <w:pPr>
        <w:pStyle w:val="Heading1"/>
        <w:rPr>
          <w:lang w:val="en-US"/>
        </w:rPr>
      </w:pPr>
      <w:r>
        <w:rPr>
          <w:lang w:val="en-US"/>
        </w:rPr>
        <w:t>Conclusion</w:t>
      </w:r>
    </w:p>
    <w:p w14:paraId="6A06B9AE" w14:textId="77777777" w:rsidR="00327B62" w:rsidRDefault="00327B62" w:rsidP="00327B62">
      <w:pPr>
        <w:rPr>
          <w:lang w:val="en-US"/>
        </w:rPr>
      </w:pPr>
      <w:r>
        <w:rPr>
          <w:lang w:val="en-US"/>
        </w:rPr>
        <w:t xml:space="preserve">In this contribution mixed numerology in an OFDM system is discussed. It illustrated that both a transmitter and receiver side spectral confinement operation (e.g. windowing, filtering) is required to reduce inter-numerology interference. </w:t>
      </w:r>
    </w:p>
    <w:p w14:paraId="1F0E38C1" w14:textId="77777777" w:rsidR="00327B62" w:rsidRDefault="00327B62" w:rsidP="00327B62">
      <w:pPr>
        <w:rPr>
          <w:lang w:val="en-US"/>
        </w:rPr>
      </w:pPr>
      <w:r>
        <w:rPr>
          <w:lang w:val="en-US"/>
        </w:rPr>
        <w:t>We show furthermore that windowing is an efficient and simple tool to control inter-numerology interference.</w:t>
      </w:r>
    </w:p>
    <w:p w14:paraId="7FA41735" w14:textId="77777777" w:rsidR="00327B62" w:rsidRPr="00A742FA" w:rsidRDefault="00327B62" w:rsidP="00327B62">
      <w:pPr>
        <w:pStyle w:val="Heading1"/>
        <w:rPr>
          <w:lang w:val="en-US"/>
        </w:rPr>
      </w:pPr>
      <w:r w:rsidRPr="00A742FA">
        <w:rPr>
          <w:lang w:val="en-US"/>
        </w:rPr>
        <w:t>Reference</w:t>
      </w:r>
      <w:r>
        <w:rPr>
          <w:lang w:val="en-US"/>
        </w:rPr>
        <w:t>s</w:t>
      </w:r>
    </w:p>
    <w:p w14:paraId="551B36F3" w14:textId="77777777" w:rsidR="00327B62" w:rsidRDefault="00327B62" w:rsidP="00327B62">
      <w:pPr>
        <w:pStyle w:val="Reference"/>
        <w:rPr>
          <w:lang w:val="en-US"/>
        </w:rPr>
      </w:pPr>
      <w:bookmarkStart w:id="12" w:name="_Ref444257346"/>
      <w:bookmarkStart w:id="13" w:name="_Ref444097166"/>
      <w:bookmarkStart w:id="14" w:name="_Ref442441852"/>
      <w:bookmarkStart w:id="15" w:name="_Ref441562466"/>
      <w:r w:rsidRPr="00CA25B1">
        <w:rPr>
          <w:lang w:val="en-US"/>
        </w:rPr>
        <w:t xml:space="preserve">F. </w:t>
      </w:r>
      <w:proofErr w:type="spellStart"/>
      <w:r w:rsidRPr="00CA25B1">
        <w:rPr>
          <w:lang w:val="en-US"/>
        </w:rPr>
        <w:t>Sjoberg</w:t>
      </w:r>
      <w:proofErr w:type="spellEnd"/>
      <w:r w:rsidRPr="00CA25B1">
        <w:rPr>
          <w:lang w:val="en-US"/>
        </w:rPr>
        <w:t xml:space="preserve">, R. Nilsson, M. </w:t>
      </w:r>
      <w:proofErr w:type="spellStart"/>
      <w:r w:rsidRPr="00CA25B1">
        <w:rPr>
          <w:lang w:val="en-US"/>
        </w:rPr>
        <w:t>Isaksson</w:t>
      </w:r>
      <w:proofErr w:type="spellEnd"/>
      <w:r w:rsidRPr="00CA25B1">
        <w:rPr>
          <w:lang w:val="en-US"/>
        </w:rPr>
        <w:t xml:space="preserve">, and P. </w:t>
      </w:r>
      <w:proofErr w:type="spellStart"/>
      <w:r w:rsidRPr="00CA25B1">
        <w:rPr>
          <w:lang w:val="en-US"/>
        </w:rPr>
        <w:t>Odling</w:t>
      </w:r>
      <w:proofErr w:type="spellEnd"/>
      <w:r w:rsidRPr="00CA25B1">
        <w:rPr>
          <w:lang w:val="en-US"/>
        </w:rPr>
        <w:t xml:space="preserve">, and P. O. </w:t>
      </w:r>
      <w:proofErr w:type="spellStart"/>
      <w:r w:rsidRPr="00CA25B1">
        <w:rPr>
          <w:lang w:val="en-US"/>
        </w:rPr>
        <w:t>Borjesson</w:t>
      </w:r>
      <w:proofErr w:type="spellEnd"/>
      <w:r w:rsidRPr="00CA25B1">
        <w:rPr>
          <w:lang w:val="en-US"/>
        </w:rPr>
        <w:t>, “Asynchronous Zipper,” IEEE International Conference on Communications (ICC), 1999.</w:t>
      </w:r>
      <w:bookmarkEnd w:id="12"/>
      <w:bookmarkEnd w:id="13"/>
      <w:bookmarkEnd w:id="14"/>
      <w:bookmarkEnd w:id="15"/>
    </w:p>
    <w:p w14:paraId="1017FB4C" w14:textId="01993787" w:rsidR="00327B62" w:rsidRDefault="00327B62" w:rsidP="00327B62">
      <w:pPr>
        <w:pStyle w:val="Reference"/>
        <w:ind w:left="1134" w:hanging="1134"/>
        <w:rPr>
          <w:lang w:val="en-US"/>
        </w:rPr>
      </w:pPr>
      <w:bookmarkStart w:id="16" w:name="_Ref450726460"/>
      <w:r>
        <w:rPr>
          <w:lang w:val="en-US"/>
        </w:rPr>
        <w:t>R1-16</w:t>
      </w:r>
      <w:r w:rsidR="009C5085">
        <w:rPr>
          <w:lang w:val="en-US"/>
        </w:rPr>
        <w:t>3224</w:t>
      </w:r>
      <w:r>
        <w:rPr>
          <w:lang w:val="en-US"/>
        </w:rPr>
        <w:t>, “Feasibility of Mixing Numerology in an OFDM System,” Ericsson</w:t>
      </w:r>
      <w:bookmarkEnd w:id="16"/>
    </w:p>
    <w:p w14:paraId="006A568E" w14:textId="4635A36B" w:rsidR="00025630" w:rsidRPr="00327B62" w:rsidRDefault="00025630" w:rsidP="00327B62">
      <w:pPr>
        <w:rPr>
          <w:lang w:val="en-US"/>
        </w:rPr>
      </w:pPr>
      <w:bookmarkStart w:id="17" w:name="_GoBack"/>
      <w:bookmarkEnd w:id="17"/>
    </w:p>
    <w:sectPr w:rsidR="00025630" w:rsidRPr="00327B62">
      <w:headerReference w:type="even" r:id="rId23"/>
      <w:footerReference w:type="default" r:id="rId24"/>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E0FA9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D557C2" w14:textId="77777777" w:rsidR="005B175B" w:rsidRDefault="005B175B">
      <w:r>
        <w:separator/>
      </w:r>
    </w:p>
  </w:endnote>
  <w:endnote w:type="continuationSeparator" w:id="0">
    <w:p w14:paraId="074012C8" w14:textId="77777777" w:rsidR="005B175B" w:rsidRDefault="005B175B">
      <w:r>
        <w:continuationSeparator/>
      </w:r>
    </w:p>
  </w:endnote>
  <w:endnote w:type="continuationNotice" w:id="1">
    <w:p w14:paraId="3B426D11" w14:textId="77777777" w:rsidR="005B175B" w:rsidRDefault="005B17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3705D3" w14:textId="77777777" w:rsidR="00AC263C" w:rsidRDefault="00AC263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3501E">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3501E">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9FDD45" w14:textId="77777777" w:rsidR="005B175B" w:rsidRDefault="005B175B">
      <w:r>
        <w:separator/>
      </w:r>
    </w:p>
  </w:footnote>
  <w:footnote w:type="continuationSeparator" w:id="0">
    <w:p w14:paraId="7625679B" w14:textId="77777777" w:rsidR="005B175B" w:rsidRDefault="005B175B">
      <w:r>
        <w:continuationSeparator/>
      </w:r>
    </w:p>
  </w:footnote>
  <w:footnote w:type="continuationNotice" w:id="1">
    <w:p w14:paraId="0DB0CDFC" w14:textId="77777777" w:rsidR="005B175B" w:rsidRDefault="005B175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17B2D1" w14:textId="77777777" w:rsidR="00AC263C" w:rsidRDefault="00AC263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816F3C2"/>
    <w:lvl w:ilvl="0">
      <w:start w:val="1"/>
      <w:numFmt w:val="decimal"/>
      <w:lvlText w:val="%1."/>
      <w:lvlJc w:val="left"/>
      <w:pPr>
        <w:tabs>
          <w:tab w:val="num" w:pos="1492"/>
        </w:tabs>
        <w:ind w:left="1492" w:hanging="360"/>
      </w:pPr>
    </w:lvl>
  </w:abstractNum>
  <w:abstractNum w:abstractNumId="1">
    <w:nsid w:val="FFFFFF7D"/>
    <w:multiLevelType w:val="singleLevel"/>
    <w:tmpl w:val="36326736"/>
    <w:lvl w:ilvl="0">
      <w:start w:val="1"/>
      <w:numFmt w:val="decimal"/>
      <w:lvlText w:val="%1."/>
      <w:lvlJc w:val="left"/>
      <w:pPr>
        <w:tabs>
          <w:tab w:val="num" w:pos="1209"/>
        </w:tabs>
        <w:ind w:left="1209" w:hanging="360"/>
      </w:pPr>
    </w:lvl>
  </w:abstractNum>
  <w:abstractNum w:abstractNumId="2">
    <w:nsid w:val="FFFFFF7E"/>
    <w:multiLevelType w:val="singleLevel"/>
    <w:tmpl w:val="2780B4DE"/>
    <w:lvl w:ilvl="0">
      <w:start w:val="1"/>
      <w:numFmt w:val="decimal"/>
      <w:lvlText w:val="%1."/>
      <w:lvlJc w:val="left"/>
      <w:pPr>
        <w:tabs>
          <w:tab w:val="num" w:pos="926"/>
        </w:tabs>
        <w:ind w:left="926" w:hanging="360"/>
      </w:pPr>
    </w:lvl>
  </w:abstractNum>
  <w:abstractNum w:abstractNumId="3">
    <w:nsid w:val="FFFFFFFB"/>
    <w:multiLevelType w:val="multilevel"/>
    <w:tmpl w:val="E7BA6638"/>
    <w:lvl w:ilvl="0">
      <w:start w:val="1"/>
      <w:numFmt w:val="decimal"/>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0"/>
        </w:tabs>
        <w:ind w:left="2551" w:hanging="1304"/>
      </w:pPr>
      <w:rPr>
        <w:rFonts w:hint="default"/>
        <w:u w:val="none"/>
      </w:rPr>
    </w:lvl>
    <w:lvl w:ilvl="4">
      <w:start w:val="1"/>
      <w:numFmt w:val="decimal"/>
      <w:lvlText w:val="%1.%2.%3.%4.%5"/>
      <w:lvlJc w:val="left"/>
      <w:pPr>
        <w:tabs>
          <w:tab w:val="num" w:pos="0"/>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0AD7196D"/>
    <w:multiLevelType w:val="hybridMultilevel"/>
    <w:tmpl w:val="5F1C2D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0E557A59"/>
    <w:multiLevelType w:val="hybridMultilevel"/>
    <w:tmpl w:val="FE7A2C6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nsid w:val="2193368C"/>
    <w:multiLevelType w:val="hybridMultilevel"/>
    <w:tmpl w:val="8A50BE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nsid w:val="22F71E03"/>
    <w:multiLevelType w:val="hybridMultilevel"/>
    <w:tmpl w:val="45D42C80"/>
    <w:lvl w:ilvl="0" w:tplc="78E0A7AC">
      <w:start w:val="1"/>
      <w:numFmt w:val="bullet"/>
      <w:lvlText w:val="›"/>
      <w:lvlJc w:val="left"/>
      <w:pPr>
        <w:tabs>
          <w:tab w:val="num" w:pos="720"/>
        </w:tabs>
        <w:ind w:left="720" w:hanging="360"/>
      </w:pPr>
      <w:rPr>
        <w:rFonts w:ascii="Arial" w:hAnsi="Arial" w:hint="default"/>
      </w:rPr>
    </w:lvl>
    <w:lvl w:ilvl="1" w:tplc="2020E332">
      <w:start w:val="2442"/>
      <w:numFmt w:val="bullet"/>
      <w:lvlText w:val="–"/>
      <w:lvlJc w:val="left"/>
      <w:pPr>
        <w:tabs>
          <w:tab w:val="num" w:pos="1440"/>
        </w:tabs>
        <w:ind w:left="1440" w:hanging="360"/>
      </w:pPr>
      <w:rPr>
        <w:rFonts w:ascii="Ericsson Capital TT" w:hAnsi="Ericsson Capital TT" w:hint="default"/>
      </w:rPr>
    </w:lvl>
    <w:lvl w:ilvl="2" w:tplc="B226FA72" w:tentative="1">
      <w:start w:val="1"/>
      <w:numFmt w:val="bullet"/>
      <w:lvlText w:val="›"/>
      <w:lvlJc w:val="left"/>
      <w:pPr>
        <w:tabs>
          <w:tab w:val="num" w:pos="2160"/>
        </w:tabs>
        <w:ind w:left="2160" w:hanging="360"/>
      </w:pPr>
      <w:rPr>
        <w:rFonts w:ascii="Arial" w:hAnsi="Arial" w:hint="default"/>
      </w:rPr>
    </w:lvl>
    <w:lvl w:ilvl="3" w:tplc="A01AA58E" w:tentative="1">
      <w:start w:val="1"/>
      <w:numFmt w:val="bullet"/>
      <w:lvlText w:val="›"/>
      <w:lvlJc w:val="left"/>
      <w:pPr>
        <w:tabs>
          <w:tab w:val="num" w:pos="2880"/>
        </w:tabs>
        <w:ind w:left="2880" w:hanging="360"/>
      </w:pPr>
      <w:rPr>
        <w:rFonts w:ascii="Arial" w:hAnsi="Arial" w:hint="default"/>
      </w:rPr>
    </w:lvl>
    <w:lvl w:ilvl="4" w:tplc="C268C838" w:tentative="1">
      <w:start w:val="1"/>
      <w:numFmt w:val="bullet"/>
      <w:lvlText w:val="›"/>
      <w:lvlJc w:val="left"/>
      <w:pPr>
        <w:tabs>
          <w:tab w:val="num" w:pos="3600"/>
        </w:tabs>
        <w:ind w:left="3600" w:hanging="360"/>
      </w:pPr>
      <w:rPr>
        <w:rFonts w:ascii="Arial" w:hAnsi="Arial" w:hint="default"/>
      </w:rPr>
    </w:lvl>
    <w:lvl w:ilvl="5" w:tplc="B896CF94" w:tentative="1">
      <w:start w:val="1"/>
      <w:numFmt w:val="bullet"/>
      <w:lvlText w:val="›"/>
      <w:lvlJc w:val="left"/>
      <w:pPr>
        <w:tabs>
          <w:tab w:val="num" w:pos="4320"/>
        </w:tabs>
        <w:ind w:left="4320" w:hanging="360"/>
      </w:pPr>
      <w:rPr>
        <w:rFonts w:ascii="Arial" w:hAnsi="Arial" w:hint="default"/>
      </w:rPr>
    </w:lvl>
    <w:lvl w:ilvl="6" w:tplc="DB20EB8A" w:tentative="1">
      <w:start w:val="1"/>
      <w:numFmt w:val="bullet"/>
      <w:lvlText w:val="›"/>
      <w:lvlJc w:val="left"/>
      <w:pPr>
        <w:tabs>
          <w:tab w:val="num" w:pos="5040"/>
        </w:tabs>
        <w:ind w:left="5040" w:hanging="360"/>
      </w:pPr>
      <w:rPr>
        <w:rFonts w:ascii="Arial" w:hAnsi="Arial" w:hint="default"/>
      </w:rPr>
    </w:lvl>
    <w:lvl w:ilvl="7" w:tplc="C3A4EDC6" w:tentative="1">
      <w:start w:val="1"/>
      <w:numFmt w:val="bullet"/>
      <w:lvlText w:val="›"/>
      <w:lvlJc w:val="left"/>
      <w:pPr>
        <w:tabs>
          <w:tab w:val="num" w:pos="5760"/>
        </w:tabs>
        <w:ind w:left="5760" w:hanging="360"/>
      </w:pPr>
      <w:rPr>
        <w:rFonts w:ascii="Arial" w:hAnsi="Arial" w:hint="default"/>
      </w:rPr>
    </w:lvl>
    <w:lvl w:ilvl="8" w:tplc="54C69D70" w:tentative="1">
      <w:start w:val="1"/>
      <w:numFmt w:val="bullet"/>
      <w:lvlText w:val="›"/>
      <w:lvlJc w:val="left"/>
      <w:pPr>
        <w:tabs>
          <w:tab w:val="num" w:pos="6480"/>
        </w:tabs>
        <w:ind w:left="6480" w:hanging="360"/>
      </w:pPr>
      <w:rPr>
        <w:rFonts w:ascii="Arial" w:hAnsi="Arial" w:hint="default"/>
      </w:rPr>
    </w:lvl>
  </w:abstractNum>
  <w:abstractNum w:abstractNumId="9">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nsid w:val="3FFF530C"/>
    <w:multiLevelType w:val="hybridMultilevel"/>
    <w:tmpl w:val="93A6D77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5">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965666A"/>
    <w:multiLevelType w:val="hybridMultilevel"/>
    <w:tmpl w:val="8F204AF2"/>
    <w:lvl w:ilvl="0" w:tplc="BE88EF00">
      <w:start w:val="1"/>
      <w:numFmt w:val="bullet"/>
      <w:lvlText w:val="›"/>
      <w:lvlJc w:val="left"/>
      <w:pPr>
        <w:tabs>
          <w:tab w:val="num" w:pos="720"/>
        </w:tabs>
        <w:ind w:left="720" w:hanging="360"/>
      </w:pPr>
      <w:rPr>
        <w:rFonts w:ascii="Arial" w:hAnsi="Arial" w:hint="default"/>
      </w:rPr>
    </w:lvl>
    <w:lvl w:ilvl="1" w:tplc="70F27090" w:tentative="1">
      <w:start w:val="1"/>
      <w:numFmt w:val="bullet"/>
      <w:lvlText w:val="›"/>
      <w:lvlJc w:val="left"/>
      <w:pPr>
        <w:tabs>
          <w:tab w:val="num" w:pos="1440"/>
        </w:tabs>
        <w:ind w:left="1440" w:hanging="360"/>
      </w:pPr>
      <w:rPr>
        <w:rFonts w:ascii="Arial" w:hAnsi="Arial" w:hint="default"/>
      </w:rPr>
    </w:lvl>
    <w:lvl w:ilvl="2" w:tplc="D816482E" w:tentative="1">
      <w:start w:val="1"/>
      <w:numFmt w:val="bullet"/>
      <w:lvlText w:val="›"/>
      <w:lvlJc w:val="left"/>
      <w:pPr>
        <w:tabs>
          <w:tab w:val="num" w:pos="2160"/>
        </w:tabs>
        <w:ind w:left="2160" w:hanging="360"/>
      </w:pPr>
      <w:rPr>
        <w:rFonts w:ascii="Arial" w:hAnsi="Arial" w:hint="default"/>
      </w:rPr>
    </w:lvl>
    <w:lvl w:ilvl="3" w:tplc="93280D5E" w:tentative="1">
      <w:start w:val="1"/>
      <w:numFmt w:val="bullet"/>
      <w:lvlText w:val="›"/>
      <w:lvlJc w:val="left"/>
      <w:pPr>
        <w:tabs>
          <w:tab w:val="num" w:pos="2880"/>
        </w:tabs>
        <w:ind w:left="2880" w:hanging="360"/>
      </w:pPr>
      <w:rPr>
        <w:rFonts w:ascii="Arial" w:hAnsi="Arial" w:hint="default"/>
      </w:rPr>
    </w:lvl>
    <w:lvl w:ilvl="4" w:tplc="255A6EA8" w:tentative="1">
      <w:start w:val="1"/>
      <w:numFmt w:val="bullet"/>
      <w:lvlText w:val="›"/>
      <w:lvlJc w:val="left"/>
      <w:pPr>
        <w:tabs>
          <w:tab w:val="num" w:pos="3600"/>
        </w:tabs>
        <w:ind w:left="3600" w:hanging="360"/>
      </w:pPr>
      <w:rPr>
        <w:rFonts w:ascii="Arial" w:hAnsi="Arial" w:hint="default"/>
      </w:rPr>
    </w:lvl>
    <w:lvl w:ilvl="5" w:tplc="AAC263EA" w:tentative="1">
      <w:start w:val="1"/>
      <w:numFmt w:val="bullet"/>
      <w:lvlText w:val="›"/>
      <w:lvlJc w:val="left"/>
      <w:pPr>
        <w:tabs>
          <w:tab w:val="num" w:pos="4320"/>
        </w:tabs>
        <w:ind w:left="4320" w:hanging="360"/>
      </w:pPr>
      <w:rPr>
        <w:rFonts w:ascii="Arial" w:hAnsi="Arial" w:hint="default"/>
      </w:rPr>
    </w:lvl>
    <w:lvl w:ilvl="6" w:tplc="5D1C6D6A" w:tentative="1">
      <w:start w:val="1"/>
      <w:numFmt w:val="bullet"/>
      <w:lvlText w:val="›"/>
      <w:lvlJc w:val="left"/>
      <w:pPr>
        <w:tabs>
          <w:tab w:val="num" w:pos="5040"/>
        </w:tabs>
        <w:ind w:left="5040" w:hanging="360"/>
      </w:pPr>
      <w:rPr>
        <w:rFonts w:ascii="Arial" w:hAnsi="Arial" w:hint="default"/>
      </w:rPr>
    </w:lvl>
    <w:lvl w:ilvl="7" w:tplc="1250C4DE" w:tentative="1">
      <w:start w:val="1"/>
      <w:numFmt w:val="bullet"/>
      <w:lvlText w:val="›"/>
      <w:lvlJc w:val="left"/>
      <w:pPr>
        <w:tabs>
          <w:tab w:val="num" w:pos="5760"/>
        </w:tabs>
        <w:ind w:left="5760" w:hanging="360"/>
      </w:pPr>
      <w:rPr>
        <w:rFonts w:ascii="Arial" w:hAnsi="Arial" w:hint="default"/>
      </w:rPr>
    </w:lvl>
    <w:lvl w:ilvl="8" w:tplc="27286ED0" w:tentative="1">
      <w:start w:val="1"/>
      <w:numFmt w:val="bullet"/>
      <w:lvlText w:val="›"/>
      <w:lvlJc w:val="left"/>
      <w:pPr>
        <w:tabs>
          <w:tab w:val="num" w:pos="6480"/>
        </w:tabs>
        <w:ind w:left="6480" w:hanging="360"/>
      </w:pPr>
      <w:rPr>
        <w:rFonts w:ascii="Arial" w:hAnsi="Arial" w:hint="default"/>
      </w:rPr>
    </w:lvl>
  </w:abstractNum>
  <w:abstractNum w:abstractNumId="17">
    <w:nsid w:val="4A945895"/>
    <w:multiLevelType w:val="hybridMultilevel"/>
    <w:tmpl w:val="2DDEE356"/>
    <w:lvl w:ilvl="0" w:tplc="041D0001">
      <w:start w:val="1"/>
      <w:numFmt w:val="bullet"/>
      <w:lvlText w:val=""/>
      <w:lvlJc w:val="left"/>
      <w:pPr>
        <w:ind w:left="927" w:hanging="360"/>
      </w:pPr>
      <w:rPr>
        <w:rFonts w:ascii="Symbol" w:hAnsi="Symbo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CBD4196"/>
    <w:multiLevelType w:val="hybridMultilevel"/>
    <w:tmpl w:val="90BE41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2">
    <w:nsid w:val="531340C2"/>
    <w:multiLevelType w:val="hybridMultilevel"/>
    <w:tmpl w:val="2CBCA8A2"/>
    <w:lvl w:ilvl="0" w:tplc="F9A4A57A">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3">
    <w:nsid w:val="55821710"/>
    <w:multiLevelType w:val="hybridMultilevel"/>
    <w:tmpl w:val="754EAACE"/>
    <w:lvl w:ilvl="0" w:tplc="14F42BA0">
      <w:start w:val="1"/>
      <w:numFmt w:val="bullet"/>
      <w:lvlText w:val="›"/>
      <w:lvlJc w:val="left"/>
      <w:pPr>
        <w:tabs>
          <w:tab w:val="num" w:pos="720"/>
        </w:tabs>
        <w:ind w:left="720" w:hanging="360"/>
      </w:pPr>
      <w:rPr>
        <w:rFonts w:ascii="Arial" w:hAnsi="Arial" w:hint="default"/>
      </w:rPr>
    </w:lvl>
    <w:lvl w:ilvl="1" w:tplc="0AE65DF2">
      <w:start w:val="2371"/>
      <w:numFmt w:val="bullet"/>
      <w:lvlText w:val="–"/>
      <w:lvlJc w:val="left"/>
      <w:pPr>
        <w:tabs>
          <w:tab w:val="num" w:pos="1440"/>
        </w:tabs>
        <w:ind w:left="1440" w:hanging="360"/>
      </w:pPr>
      <w:rPr>
        <w:rFonts w:ascii="Ericsson Capital TT" w:hAnsi="Ericsson Capital TT" w:hint="default"/>
        <w:lang w:val="en-GB"/>
      </w:rPr>
    </w:lvl>
    <w:lvl w:ilvl="2" w:tplc="25F80BB8">
      <w:start w:val="1"/>
      <w:numFmt w:val="bullet"/>
      <w:lvlText w:val="›"/>
      <w:lvlJc w:val="left"/>
      <w:pPr>
        <w:tabs>
          <w:tab w:val="num" w:pos="2160"/>
        </w:tabs>
        <w:ind w:left="2160" w:hanging="360"/>
      </w:pPr>
      <w:rPr>
        <w:rFonts w:ascii="Arial" w:hAnsi="Arial" w:hint="default"/>
      </w:rPr>
    </w:lvl>
    <w:lvl w:ilvl="3" w:tplc="EF787176" w:tentative="1">
      <w:start w:val="1"/>
      <w:numFmt w:val="bullet"/>
      <w:lvlText w:val="›"/>
      <w:lvlJc w:val="left"/>
      <w:pPr>
        <w:tabs>
          <w:tab w:val="num" w:pos="2880"/>
        </w:tabs>
        <w:ind w:left="2880" w:hanging="360"/>
      </w:pPr>
      <w:rPr>
        <w:rFonts w:ascii="Arial" w:hAnsi="Arial" w:hint="default"/>
      </w:rPr>
    </w:lvl>
    <w:lvl w:ilvl="4" w:tplc="2072F5E8" w:tentative="1">
      <w:start w:val="1"/>
      <w:numFmt w:val="bullet"/>
      <w:lvlText w:val="›"/>
      <w:lvlJc w:val="left"/>
      <w:pPr>
        <w:tabs>
          <w:tab w:val="num" w:pos="3600"/>
        </w:tabs>
        <w:ind w:left="3600" w:hanging="360"/>
      </w:pPr>
      <w:rPr>
        <w:rFonts w:ascii="Arial" w:hAnsi="Arial" w:hint="default"/>
      </w:rPr>
    </w:lvl>
    <w:lvl w:ilvl="5" w:tplc="694E66D4" w:tentative="1">
      <w:start w:val="1"/>
      <w:numFmt w:val="bullet"/>
      <w:lvlText w:val="›"/>
      <w:lvlJc w:val="left"/>
      <w:pPr>
        <w:tabs>
          <w:tab w:val="num" w:pos="4320"/>
        </w:tabs>
        <w:ind w:left="4320" w:hanging="360"/>
      </w:pPr>
      <w:rPr>
        <w:rFonts w:ascii="Arial" w:hAnsi="Arial" w:hint="default"/>
      </w:rPr>
    </w:lvl>
    <w:lvl w:ilvl="6" w:tplc="338E152E" w:tentative="1">
      <w:start w:val="1"/>
      <w:numFmt w:val="bullet"/>
      <w:lvlText w:val="›"/>
      <w:lvlJc w:val="left"/>
      <w:pPr>
        <w:tabs>
          <w:tab w:val="num" w:pos="5040"/>
        </w:tabs>
        <w:ind w:left="5040" w:hanging="360"/>
      </w:pPr>
      <w:rPr>
        <w:rFonts w:ascii="Arial" w:hAnsi="Arial" w:hint="default"/>
      </w:rPr>
    </w:lvl>
    <w:lvl w:ilvl="7" w:tplc="E2F43970" w:tentative="1">
      <w:start w:val="1"/>
      <w:numFmt w:val="bullet"/>
      <w:lvlText w:val="›"/>
      <w:lvlJc w:val="left"/>
      <w:pPr>
        <w:tabs>
          <w:tab w:val="num" w:pos="5760"/>
        </w:tabs>
        <w:ind w:left="5760" w:hanging="360"/>
      </w:pPr>
      <w:rPr>
        <w:rFonts w:ascii="Arial" w:hAnsi="Arial" w:hint="default"/>
      </w:rPr>
    </w:lvl>
    <w:lvl w:ilvl="8" w:tplc="00F87F0A" w:tentative="1">
      <w:start w:val="1"/>
      <w:numFmt w:val="bullet"/>
      <w:lvlText w:val="›"/>
      <w:lvlJc w:val="left"/>
      <w:pPr>
        <w:tabs>
          <w:tab w:val="num" w:pos="6480"/>
        </w:tabs>
        <w:ind w:left="6480" w:hanging="360"/>
      </w:pPr>
      <w:rPr>
        <w:rFonts w:ascii="Arial" w:hAnsi="Arial" w:hint="default"/>
      </w:rPr>
    </w:lvl>
  </w:abstractNum>
  <w:abstractNum w:abstractNumId="24">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614A0FCF"/>
    <w:multiLevelType w:val="hybridMultilevel"/>
    <w:tmpl w:val="45D80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7F55E43"/>
    <w:multiLevelType w:val="hybridMultilevel"/>
    <w:tmpl w:val="0BB6B84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nsid w:val="69AF3E5A"/>
    <w:multiLevelType w:val="hybridMultilevel"/>
    <w:tmpl w:val="8FA2C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A0E6C2A"/>
    <w:multiLevelType w:val="hybridMultilevel"/>
    <w:tmpl w:val="C9AC5828"/>
    <w:lvl w:ilvl="0" w:tplc="040B0001">
      <w:start w:val="1"/>
      <w:numFmt w:val="bullet"/>
      <w:lvlText w:val=""/>
      <w:lvlJc w:val="left"/>
      <w:pPr>
        <w:ind w:left="840" w:hanging="360"/>
      </w:pPr>
      <w:rPr>
        <w:rFonts w:ascii="Symbol" w:hAnsi="Symbol" w:hint="default"/>
      </w:rPr>
    </w:lvl>
    <w:lvl w:ilvl="1" w:tplc="040B0003" w:tentative="1">
      <w:start w:val="1"/>
      <w:numFmt w:val="bullet"/>
      <w:lvlText w:val="o"/>
      <w:lvlJc w:val="left"/>
      <w:pPr>
        <w:ind w:left="1560" w:hanging="360"/>
      </w:pPr>
      <w:rPr>
        <w:rFonts w:ascii="Courier New" w:hAnsi="Courier New" w:cs="Courier New" w:hint="default"/>
      </w:rPr>
    </w:lvl>
    <w:lvl w:ilvl="2" w:tplc="040B0005" w:tentative="1">
      <w:start w:val="1"/>
      <w:numFmt w:val="bullet"/>
      <w:lvlText w:val=""/>
      <w:lvlJc w:val="left"/>
      <w:pPr>
        <w:ind w:left="2280" w:hanging="360"/>
      </w:pPr>
      <w:rPr>
        <w:rFonts w:ascii="Wingdings" w:hAnsi="Wingdings" w:hint="default"/>
      </w:rPr>
    </w:lvl>
    <w:lvl w:ilvl="3" w:tplc="040B0001" w:tentative="1">
      <w:start w:val="1"/>
      <w:numFmt w:val="bullet"/>
      <w:lvlText w:val=""/>
      <w:lvlJc w:val="left"/>
      <w:pPr>
        <w:ind w:left="3000" w:hanging="360"/>
      </w:pPr>
      <w:rPr>
        <w:rFonts w:ascii="Symbol" w:hAnsi="Symbol" w:hint="default"/>
      </w:rPr>
    </w:lvl>
    <w:lvl w:ilvl="4" w:tplc="040B0003" w:tentative="1">
      <w:start w:val="1"/>
      <w:numFmt w:val="bullet"/>
      <w:lvlText w:val="o"/>
      <w:lvlJc w:val="left"/>
      <w:pPr>
        <w:ind w:left="3720" w:hanging="360"/>
      </w:pPr>
      <w:rPr>
        <w:rFonts w:ascii="Courier New" w:hAnsi="Courier New" w:cs="Courier New" w:hint="default"/>
      </w:rPr>
    </w:lvl>
    <w:lvl w:ilvl="5" w:tplc="040B0005" w:tentative="1">
      <w:start w:val="1"/>
      <w:numFmt w:val="bullet"/>
      <w:lvlText w:val=""/>
      <w:lvlJc w:val="left"/>
      <w:pPr>
        <w:ind w:left="4440" w:hanging="360"/>
      </w:pPr>
      <w:rPr>
        <w:rFonts w:ascii="Wingdings" w:hAnsi="Wingdings" w:hint="default"/>
      </w:rPr>
    </w:lvl>
    <w:lvl w:ilvl="6" w:tplc="040B0001" w:tentative="1">
      <w:start w:val="1"/>
      <w:numFmt w:val="bullet"/>
      <w:lvlText w:val=""/>
      <w:lvlJc w:val="left"/>
      <w:pPr>
        <w:ind w:left="5160" w:hanging="360"/>
      </w:pPr>
      <w:rPr>
        <w:rFonts w:ascii="Symbol" w:hAnsi="Symbol" w:hint="default"/>
      </w:rPr>
    </w:lvl>
    <w:lvl w:ilvl="7" w:tplc="040B0003" w:tentative="1">
      <w:start w:val="1"/>
      <w:numFmt w:val="bullet"/>
      <w:lvlText w:val="o"/>
      <w:lvlJc w:val="left"/>
      <w:pPr>
        <w:ind w:left="5880" w:hanging="360"/>
      </w:pPr>
      <w:rPr>
        <w:rFonts w:ascii="Courier New" w:hAnsi="Courier New" w:cs="Courier New" w:hint="default"/>
      </w:rPr>
    </w:lvl>
    <w:lvl w:ilvl="8" w:tplc="040B0005" w:tentative="1">
      <w:start w:val="1"/>
      <w:numFmt w:val="bullet"/>
      <w:lvlText w:val=""/>
      <w:lvlJc w:val="left"/>
      <w:pPr>
        <w:ind w:left="6600" w:hanging="360"/>
      </w:pPr>
      <w:rPr>
        <w:rFonts w:ascii="Wingdings" w:hAnsi="Wingdings" w:hint="default"/>
      </w:rPr>
    </w:lvl>
  </w:abstractNum>
  <w:abstractNum w:abstractNumId="29">
    <w:nsid w:val="6D5C243F"/>
    <w:multiLevelType w:val="hybridMultilevel"/>
    <w:tmpl w:val="8A846C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nsid w:val="6E5F01BC"/>
    <w:multiLevelType w:val="hybridMultilevel"/>
    <w:tmpl w:val="740A2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3E4339F"/>
    <w:multiLevelType w:val="hybridMultilevel"/>
    <w:tmpl w:val="17883212"/>
    <w:lvl w:ilvl="0" w:tplc="530683D8">
      <w:start w:val="1"/>
      <w:numFmt w:val="bullet"/>
      <w:lvlText w:val="›"/>
      <w:lvlJc w:val="left"/>
      <w:pPr>
        <w:tabs>
          <w:tab w:val="num" w:pos="720"/>
        </w:tabs>
        <w:ind w:left="720" w:hanging="360"/>
      </w:pPr>
      <w:rPr>
        <w:rFonts w:ascii="Arial" w:hAnsi="Arial" w:hint="default"/>
      </w:rPr>
    </w:lvl>
    <w:lvl w:ilvl="1" w:tplc="63CE4CF4">
      <w:start w:val="2418"/>
      <w:numFmt w:val="bullet"/>
      <w:lvlText w:val="–"/>
      <w:lvlJc w:val="left"/>
      <w:pPr>
        <w:tabs>
          <w:tab w:val="num" w:pos="1440"/>
        </w:tabs>
        <w:ind w:left="1440" w:hanging="360"/>
      </w:pPr>
      <w:rPr>
        <w:rFonts w:ascii="Ericsson Capital TT" w:hAnsi="Ericsson Capital TT" w:hint="default"/>
      </w:rPr>
    </w:lvl>
    <w:lvl w:ilvl="2" w:tplc="975C530C">
      <w:start w:val="2418"/>
      <w:numFmt w:val="bullet"/>
      <w:lvlText w:val="›"/>
      <w:lvlJc w:val="left"/>
      <w:pPr>
        <w:tabs>
          <w:tab w:val="num" w:pos="2160"/>
        </w:tabs>
        <w:ind w:left="2160" w:hanging="360"/>
      </w:pPr>
      <w:rPr>
        <w:rFonts w:ascii="Ericsson Capital TT" w:hAnsi="Ericsson Capital TT" w:hint="default"/>
      </w:rPr>
    </w:lvl>
    <w:lvl w:ilvl="3" w:tplc="8EF6F814" w:tentative="1">
      <w:start w:val="1"/>
      <w:numFmt w:val="bullet"/>
      <w:lvlText w:val="›"/>
      <w:lvlJc w:val="left"/>
      <w:pPr>
        <w:tabs>
          <w:tab w:val="num" w:pos="2880"/>
        </w:tabs>
        <w:ind w:left="2880" w:hanging="360"/>
      </w:pPr>
      <w:rPr>
        <w:rFonts w:ascii="Arial" w:hAnsi="Arial" w:hint="default"/>
      </w:rPr>
    </w:lvl>
    <w:lvl w:ilvl="4" w:tplc="BD9EFF66" w:tentative="1">
      <w:start w:val="1"/>
      <w:numFmt w:val="bullet"/>
      <w:lvlText w:val="›"/>
      <w:lvlJc w:val="left"/>
      <w:pPr>
        <w:tabs>
          <w:tab w:val="num" w:pos="3600"/>
        </w:tabs>
        <w:ind w:left="3600" w:hanging="360"/>
      </w:pPr>
      <w:rPr>
        <w:rFonts w:ascii="Arial" w:hAnsi="Arial" w:hint="default"/>
      </w:rPr>
    </w:lvl>
    <w:lvl w:ilvl="5" w:tplc="8FAE841C" w:tentative="1">
      <w:start w:val="1"/>
      <w:numFmt w:val="bullet"/>
      <w:lvlText w:val="›"/>
      <w:lvlJc w:val="left"/>
      <w:pPr>
        <w:tabs>
          <w:tab w:val="num" w:pos="4320"/>
        </w:tabs>
        <w:ind w:left="4320" w:hanging="360"/>
      </w:pPr>
      <w:rPr>
        <w:rFonts w:ascii="Arial" w:hAnsi="Arial" w:hint="default"/>
      </w:rPr>
    </w:lvl>
    <w:lvl w:ilvl="6" w:tplc="A0E27AF8" w:tentative="1">
      <w:start w:val="1"/>
      <w:numFmt w:val="bullet"/>
      <w:lvlText w:val="›"/>
      <w:lvlJc w:val="left"/>
      <w:pPr>
        <w:tabs>
          <w:tab w:val="num" w:pos="5040"/>
        </w:tabs>
        <w:ind w:left="5040" w:hanging="360"/>
      </w:pPr>
      <w:rPr>
        <w:rFonts w:ascii="Arial" w:hAnsi="Arial" w:hint="default"/>
      </w:rPr>
    </w:lvl>
    <w:lvl w:ilvl="7" w:tplc="E84687F8" w:tentative="1">
      <w:start w:val="1"/>
      <w:numFmt w:val="bullet"/>
      <w:lvlText w:val="›"/>
      <w:lvlJc w:val="left"/>
      <w:pPr>
        <w:tabs>
          <w:tab w:val="num" w:pos="5760"/>
        </w:tabs>
        <w:ind w:left="5760" w:hanging="360"/>
      </w:pPr>
      <w:rPr>
        <w:rFonts w:ascii="Arial" w:hAnsi="Arial" w:hint="default"/>
      </w:rPr>
    </w:lvl>
    <w:lvl w:ilvl="8" w:tplc="CA3E413A" w:tentative="1">
      <w:start w:val="1"/>
      <w:numFmt w:val="bullet"/>
      <w:lvlText w:val="›"/>
      <w:lvlJc w:val="left"/>
      <w:pPr>
        <w:tabs>
          <w:tab w:val="num" w:pos="6480"/>
        </w:tabs>
        <w:ind w:left="6480" w:hanging="360"/>
      </w:pPr>
      <w:rPr>
        <w:rFonts w:ascii="Arial" w:hAnsi="Arial" w:hint="default"/>
      </w:rPr>
    </w:lvl>
  </w:abstractNum>
  <w:abstractNum w:abstractNumId="32">
    <w:nsid w:val="73FC6521"/>
    <w:multiLevelType w:val="hybridMultilevel"/>
    <w:tmpl w:val="C2F4C1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ADD4A72"/>
    <w:multiLevelType w:val="hybridMultilevel"/>
    <w:tmpl w:val="E960C1F4"/>
    <w:lvl w:ilvl="0" w:tplc="D5829140">
      <w:start w:val="1"/>
      <w:numFmt w:val="decimal"/>
      <w:lvlText w:val="%1."/>
      <w:lvlJc w:val="left"/>
      <w:pPr>
        <w:ind w:left="930" w:hanging="57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C727E19"/>
    <w:multiLevelType w:val="hybridMultilevel"/>
    <w:tmpl w:val="D4AA25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8"/>
  </w:num>
  <w:num w:numId="3">
    <w:abstractNumId w:val="12"/>
  </w:num>
  <w:num w:numId="4">
    <w:abstractNumId w:val="13"/>
  </w:num>
  <w:num w:numId="5">
    <w:abstractNumId w:val="10"/>
  </w:num>
  <w:num w:numId="6">
    <w:abstractNumId w:val="15"/>
  </w:num>
  <w:num w:numId="7">
    <w:abstractNumId w:val="24"/>
  </w:num>
  <w:num w:numId="8">
    <w:abstractNumId w:val="11"/>
  </w:num>
  <w:num w:numId="9">
    <w:abstractNumId w:val="9"/>
  </w:num>
  <w:num w:numId="10">
    <w:abstractNumId w:val="2"/>
  </w:num>
  <w:num w:numId="11">
    <w:abstractNumId w:val="1"/>
  </w:num>
  <w:num w:numId="12">
    <w:abstractNumId w:val="0"/>
  </w:num>
  <w:num w:numId="13">
    <w:abstractNumId w:val="20"/>
  </w:num>
  <w:num w:numId="14">
    <w:abstractNumId w:val="17"/>
  </w:num>
  <w:num w:numId="15">
    <w:abstractNumId w:val="5"/>
  </w:num>
  <w:num w:numId="16">
    <w:abstractNumId w:val="19"/>
  </w:num>
  <w:num w:numId="17">
    <w:abstractNumId w:val="14"/>
  </w:num>
  <w:num w:numId="18">
    <w:abstractNumId w:val="21"/>
  </w:num>
  <w:num w:numId="19">
    <w:abstractNumId w:val="22"/>
  </w:num>
  <w:num w:numId="20">
    <w:abstractNumId w:val="6"/>
  </w:num>
  <w:num w:numId="21">
    <w:abstractNumId w:val="28"/>
  </w:num>
  <w:num w:numId="22">
    <w:abstractNumId w:val="26"/>
  </w:num>
  <w:num w:numId="23">
    <w:abstractNumId w:val="7"/>
  </w:num>
  <w:num w:numId="24">
    <w:abstractNumId w:val="12"/>
  </w:num>
  <w:num w:numId="25">
    <w:abstractNumId w:val="12"/>
    <w:lvlOverride w:ilvl="0">
      <w:startOverride w:val="1"/>
    </w:lvlOverride>
  </w:num>
  <w:num w:numId="26">
    <w:abstractNumId w:val="12"/>
    <w:lvlOverride w:ilvl="0">
      <w:startOverride w:val="1"/>
    </w:lvlOverride>
  </w:num>
  <w:num w:numId="27">
    <w:abstractNumId w:val="12"/>
    <w:lvlOverride w:ilvl="0">
      <w:startOverride w:val="1"/>
    </w:lvlOverride>
  </w:num>
  <w:num w:numId="28">
    <w:abstractNumId w:val="27"/>
  </w:num>
  <w:num w:numId="29">
    <w:abstractNumId w:val="30"/>
  </w:num>
  <w:num w:numId="30">
    <w:abstractNumId w:val="29"/>
  </w:num>
  <w:num w:numId="31">
    <w:abstractNumId w:val="25"/>
  </w:num>
  <w:num w:numId="32">
    <w:abstractNumId w:val="23"/>
  </w:num>
  <w:num w:numId="33">
    <w:abstractNumId w:val="8"/>
  </w:num>
  <w:num w:numId="34">
    <w:abstractNumId w:val="16"/>
  </w:num>
  <w:num w:numId="35">
    <w:abstractNumId w:val="31"/>
  </w:num>
  <w:num w:numId="36">
    <w:abstractNumId w:val="34"/>
  </w:num>
  <w:num w:numId="37">
    <w:abstractNumId w:val="33"/>
  </w:num>
  <w:num w:numId="38">
    <w:abstractNumId w:val="32"/>
  </w:num>
  <w:num w:numId="39">
    <w:abstractNumId w:val="3"/>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stav Wikström">
    <w15:presenceInfo w15:providerId="AD" w15:userId="S-1-5-21-1538607324-3213881460-940295383-3482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6E1"/>
    <w:rsid w:val="00002A37"/>
    <w:rsid w:val="000032F4"/>
    <w:rsid w:val="00006446"/>
    <w:rsid w:val="00006896"/>
    <w:rsid w:val="00007CDC"/>
    <w:rsid w:val="00011B28"/>
    <w:rsid w:val="00012CA8"/>
    <w:rsid w:val="00015D15"/>
    <w:rsid w:val="00023678"/>
    <w:rsid w:val="00025630"/>
    <w:rsid w:val="0002564D"/>
    <w:rsid w:val="00025ECA"/>
    <w:rsid w:val="000325B8"/>
    <w:rsid w:val="00034C15"/>
    <w:rsid w:val="00036BA1"/>
    <w:rsid w:val="0004108C"/>
    <w:rsid w:val="000422E2"/>
    <w:rsid w:val="00042F22"/>
    <w:rsid w:val="0004395C"/>
    <w:rsid w:val="000444EF"/>
    <w:rsid w:val="00051F40"/>
    <w:rsid w:val="00052A07"/>
    <w:rsid w:val="000534E3"/>
    <w:rsid w:val="00055BC1"/>
    <w:rsid w:val="0005606A"/>
    <w:rsid w:val="00057117"/>
    <w:rsid w:val="000609B7"/>
    <w:rsid w:val="000616E7"/>
    <w:rsid w:val="0006487E"/>
    <w:rsid w:val="00065E1A"/>
    <w:rsid w:val="000668D7"/>
    <w:rsid w:val="00070FBD"/>
    <w:rsid w:val="00077E5F"/>
    <w:rsid w:val="0008036A"/>
    <w:rsid w:val="00081AE6"/>
    <w:rsid w:val="000855EB"/>
    <w:rsid w:val="00085B52"/>
    <w:rsid w:val="000866F2"/>
    <w:rsid w:val="0009009F"/>
    <w:rsid w:val="00090145"/>
    <w:rsid w:val="00090CCA"/>
    <w:rsid w:val="00091557"/>
    <w:rsid w:val="000924C1"/>
    <w:rsid w:val="000924F0"/>
    <w:rsid w:val="00093474"/>
    <w:rsid w:val="0009510F"/>
    <w:rsid w:val="000A0AFD"/>
    <w:rsid w:val="000A1B7B"/>
    <w:rsid w:val="000A36C3"/>
    <w:rsid w:val="000A56F2"/>
    <w:rsid w:val="000B2719"/>
    <w:rsid w:val="000B3A8F"/>
    <w:rsid w:val="000B4AB9"/>
    <w:rsid w:val="000B58C3"/>
    <w:rsid w:val="000B61E9"/>
    <w:rsid w:val="000C038F"/>
    <w:rsid w:val="000C165A"/>
    <w:rsid w:val="000C27C5"/>
    <w:rsid w:val="000C2E19"/>
    <w:rsid w:val="000C7397"/>
    <w:rsid w:val="000D0D07"/>
    <w:rsid w:val="000D2D69"/>
    <w:rsid w:val="000D4797"/>
    <w:rsid w:val="000D6017"/>
    <w:rsid w:val="000D6C88"/>
    <w:rsid w:val="000E0527"/>
    <w:rsid w:val="000E1E92"/>
    <w:rsid w:val="000E527D"/>
    <w:rsid w:val="000E6E0E"/>
    <w:rsid w:val="000F06D6"/>
    <w:rsid w:val="000F0EB1"/>
    <w:rsid w:val="000F1106"/>
    <w:rsid w:val="000F3BE9"/>
    <w:rsid w:val="000F3F6C"/>
    <w:rsid w:val="000F6DF3"/>
    <w:rsid w:val="000F7836"/>
    <w:rsid w:val="001005FF"/>
    <w:rsid w:val="00100F45"/>
    <w:rsid w:val="001062FB"/>
    <w:rsid w:val="001063E6"/>
    <w:rsid w:val="00110233"/>
    <w:rsid w:val="001112D9"/>
    <w:rsid w:val="00113CF4"/>
    <w:rsid w:val="001153EA"/>
    <w:rsid w:val="00115643"/>
    <w:rsid w:val="001163DE"/>
    <w:rsid w:val="001165DF"/>
    <w:rsid w:val="00116765"/>
    <w:rsid w:val="001219F5"/>
    <w:rsid w:val="00121A20"/>
    <w:rsid w:val="0012377F"/>
    <w:rsid w:val="00124314"/>
    <w:rsid w:val="00126B4A"/>
    <w:rsid w:val="00132FD0"/>
    <w:rsid w:val="001344C0"/>
    <w:rsid w:val="001346FA"/>
    <w:rsid w:val="00135252"/>
    <w:rsid w:val="00137728"/>
    <w:rsid w:val="00137AB5"/>
    <w:rsid w:val="00137F0B"/>
    <w:rsid w:val="00143008"/>
    <w:rsid w:val="00143981"/>
    <w:rsid w:val="0014787F"/>
    <w:rsid w:val="001501DF"/>
    <w:rsid w:val="00151E23"/>
    <w:rsid w:val="001526E0"/>
    <w:rsid w:val="001551B5"/>
    <w:rsid w:val="00161D58"/>
    <w:rsid w:val="00162B29"/>
    <w:rsid w:val="001659C1"/>
    <w:rsid w:val="0016637B"/>
    <w:rsid w:val="00171F5E"/>
    <w:rsid w:val="00173A8E"/>
    <w:rsid w:val="00177587"/>
    <w:rsid w:val="0018143F"/>
    <w:rsid w:val="00186503"/>
    <w:rsid w:val="00190AC1"/>
    <w:rsid w:val="0019341A"/>
    <w:rsid w:val="00194A9F"/>
    <w:rsid w:val="001955A4"/>
    <w:rsid w:val="00196102"/>
    <w:rsid w:val="00197DF9"/>
    <w:rsid w:val="001A1987"/>
    <w:rsid w:val="001A2564"/>
    <w:rsid w:val="001A2A82"/>
    <w:rsid w:val="001A2B06"/>
    <w:rsid w:val="001A6173"/>
    <w:rsid w:val="001A65E5"/>
    <w:rsid w:val="001A6CBA"/>
    <w:rsid w:val="001B0D97"/>
    <w:rsid w:val="001B4117"/>
    <w:rsid w:val="001B5A5D"/>
    <w:rsid w:val="001B613A"/>
    <w:rsid w:val="001B644E"/>
    <w:rsid w:val="001C1CE5"/>
    <w:rsid w:val="001C3D2A"/>
    <w:rsid w:val="001C4EEE"/>
    <w:rsid w:val="001D0E26"/>
    <w:rsid w:val="001D20C3"/>
    <w:rsid w:val="001D51BA"/>
    <w:rsid w:val="001D61A9"/>
    <w:rsid w:val="001D6342"/>
    <w:rsid w:val="001D6D53"/>
    <w:rsid w:val="001E0114"/>
    <w:rsid w:val="001E58E2"/>
    <w:rsid w:val="001E7AED"/>
    <w:rsid w:val="001F2689"/>
    <w:rsid w:val="001F3916"/>
    <w:rsid w:val="001F54C5"/>
    <w:rsid w:val="001F662C"/>
    <w:rsid w:val="001F7074"/>
    <w:rsid w:val="00200490"/>
    <w:rsid w:val="00201F3A"/>
    <w:rsid w:val="00203F96"/>
    <w:rsid w:val="002069B2"/>
    <w:rsid w:val="00207FA3"/>
    <w:rsid w:val="0021200B"/>
    <w:rsid w:val="00214DA8"/>
    <w:rsid w:val="00214EA9"/>
    <w:rsid w:val="00215423"/>
    <w:rsid w:val="002158FA"/>
    <w:rsid w:val="00220600"/>
    <w:rsid w:val="002224DB"/>
    <w:rsid w:val="00223FCB"/>
    <w:rsid w:val="002252C3"/>
    <w:rsid w:val="00225C54"/>
    <w:rsid w:val="00230765"/>
    <w:rsid w:val="00230D6D"/>
    <w:rsid w:val="002319E4"/>
    <w:rsid w:val="00235632"/>
    <w:rsid w:val="00235872"/>
    <w:rsid w:val="00236BF5"/>
    <w:rsid w:val="0024145F"/>
    <w:rsid w:val="00241559"/>
    <w:rsid w:val="002435B3"/>
    <w:rsid w:val="002458EB"/>
    <w:rsid w:val="002500C8"/>
    <w:rsid w:val="002518D0"/>
    <w:rsid w:val="00255D91"/>
    <w:rsid w:val="00257543"/>
    <w:rsid w:val="002617E7"/>
    <w:rsid w:val="00264228"/>
    <w:rsid w:val="00264334"/>
    <w:rsid w:val="0026473E"/>
    <w:rsid w:val="00266214"/>
    <w:rsid w:val="00267C83"/>
    <w:rsid w:val="0027144F"/>
    <w:rsid w:val="00271899"/>
    <w:rsid w:val="00271F3A"/>
    <w:rsid w:val="002724CD"/>
    <w:rsid w:val="00273278"/>
    <w:rsid w:val="002737F4"/>
    <w:rsid w:val="00276EF5"/>
    <w:rsid w:val="002805F5"/>
    <w:rsid w:val="00280751"/>
    <w:rsid w:val="0028280A"/>
    <w:rsid w:val="002828DA"/>
    <w:rsid w:val="00285ED6"/>
    <w:rsid w:val="00286ACD"/>
    <w:rsid w:val="00287838"/>
    <w:rsid w:val="002907B5"/>
    <w:rsid w:val="00292EB7"/>
    <w:rsid w:val="00295E23"/>
    <w:rsid w:val="00296227"/>
    <w:rsid w:val="00296F44"/>
    <w:rsid w:val="0029777D"/>
    <w:rsid w:val="002A055E"/>
    <w:rsid w:val="002A1D4E"/>
    <w:rsid w:val="002A2869"/>
    <w:rsid w:val="002B0D5D"/>
    <w:rsid w:val="002B24D6"/>
    <w:rsid w:val="002B32CA"/>
    <w:rsid w:val="002B366E"/>
    <w:rsid w:val="002C41E6"/>
    <w:rsid w:val="002C52C8"/>
    <w:rsid w:val="002D071A"/>
    <w:rsid w:val="002D34B2"/>
    <w:rsid w:val="002D3E97"/>
    <w:rsid w:val="002D5F0F"/>
    <w:rsid w:val="002D7637"/>
    <w:rsid w:val="002E17F2"/>
    <w:rsid w:val="002E6776"/>
    <w:rsid w:val="002E6860"/>
    <w:rsid w:val="002E7CAE"/>
    <w:rsid w:val="002F2771"/>
    <w:rsid w:val="002F37A9"/>
    <w:rsid w:val="002F505A"/>
    <w:rsid w:val="002F6E96"/>
    <w:rsid w:val="00301CE6"/>
    <w:rsid w:val="0030256B"/>
    <w:rsid w:val="0030501F"/>
    <w:rsid w:val="00307BA1"/>
    <w:rsid w:val="00311702"/>
    <w:rsid w:val="00311E82"/>
    <w:rsid w:val="00313B02"/>
    <w:rsid w:val="00313FD6"/>
    <w:rsid w:val="003140FC"/>
    <w:rsid w:val="003143BD"/>
    <w:rsid w:val="003203ED"/>
    <w:rsid w:val="0032131B"/>
    <w:rsid w:val="00322C9F"/>
    <w:rsid w:val="0032460C"/>
    <w:rsid w:val="00324D23"/>
    <w:rsid w:val="00327B62"/>
    <w:rsid w:val="00331751"/>
    <w:rsid w:val="00334579"/>
    <w:rsid w:val="00335858"/>
    <w:rsid w:val="00336BDA"/>
    <w:rsid w:val="00342681"/>
    <w:rsid w:val="00342BD7"/>
    <w:rsid w:val="00346DB5"/>
    <w:rsid w:val="003477B1"/>
    <w:rsid w:val="00356C79"/>
    <w:rsid w:val="00357380"/>
    <w:rsid w:val="003602D9"/>
    <w:rsid w:val="003604CE"/>
    <w:rsid w:val="00370E47"/>
    <w:rsid w:val="003735A4"/>
    <w:rsid w:val="003742AC"/>
    <w:rsid w:val="00375476"/>
    <w:rsid w:val="00377CE1"/>
    <w:rsid w:val="00381B3C"/>
    <w:rsid w:val="00385BF0"/>
    <w:rsid w:val="00390400"/>
    <w:rsid w:val="0039066C"/>
    <w:rsid w:val="003939FF"/>
    <w:rsid w:val="003977DD"/>
    <w:rsid w:val="003A2223"/>
    <w:rsid w:val="003A2A0F"/>
    <w:rsid w:val="003A45A1"/>
    <w:rsid w:val="003A5B0A"/>
    <w:rsid w:val="003A6BAC"/>
    <w:rsid w:val="003A6F87"/>
    <w:rsid w:val="003A7EF3"/>
    <w:rsid w:val="003B03C5"/>
    <w:rsid w:val="003B159C"/>
    <w:rsid w:val="003B369F"/>
    <w:rsid w:val="003B36A3"/>
    <w:rsid w:val="003B7FE5"/>
    <w:rsid w:val="003C11C8"/>
    <w:rsid w:val="003C1B54"/>
    <w:rsid w:val="003C2702"/>
    <w:rsid w:val="003C4CE3"/>
    <w:rsid w:val="003C672E"/>
    <w:rsid w:val="003C7806"/>
    <w:rsid w:val="003D109F"/>
    <w:rsid w:val="003D2478"/>
    <w:rsid w:val="003D3754"/>
    <w:rsid w:val="003D3C45"/>
    <w:rsid w:val="003D5B1F"/>
    <w:rsid w:val="003E15FA"/>
    <w:rsid w:val="003E55E4"/>
    <w:rsid w:val="003E74E3"/>
    <w:rsid w:val="003F05C7"/>
    <w:rsid w:val="003F2CD4"/>
    <w:rsid w:val="003F6BBE"/>
    <w:rsid w:val="004000E8"/>
    <w:rsid w:val="00400A95"/>
    <w:rsid w:val="00402E2B"/>
    <w:rsid w:val="0040512B"/>
    <w:rsid w:val="00405CA5"/>
    <w:rsid w:val="00407350"/>
    <w:rsid w:val="00407AB5"/>
    <w:rsid w:val="00407CD3"/>
    <w:rsid w:val="00410134"/>
    <w:rsid w:val="00410B72"/>
    <w:rsid w:val="00410F18"/>
    <w:rsid w:val="004117A3"/>
    <w:rsid w:val="004122ED"/>
    <w:rsid w:val="0041263E"/>
    <w:rsid w:val="00413AAC"/>
    <w:rsid w:val="00421105"/>
    <w:rsid w:val="004242F4"/>
    <w:rsid w:val="00426E7B"/>
    <w:rsid w:val="00427248"/>
    <w:rsid w:val="004358F0"/>
    <w:rsid w:val="00437447"/>
    <w:rsid w:val="00441A92"/>
    <w:rsid w:val="004428EF"/>
    <w:rsid w:val="00444F56"/>
    <w:rsid w:val="0044528E"/>
    <w:rsid w:val="00446488"/>
    <w:rsid w:val="004517AA"/>
    <w:rsid w:val="00452CAC"/>
    <w:rsid w:val="00452E9A"/>
    <w:rsid w:val="00454DAD"/>
    <w:rsid w:val="00456BC0"/>
    <w:rsid w:val="00457565"/>
    <w:rsid w:val="00457B71"/>
    <w:rsid w:val="0046372D"/>
    <w:rsid w:val="004669E2"/>
    <w:rsid w:val="00470C31"/>
    <w:rsid w:val="00471B16"/>
    <w:rsid w:val="004734D0"/>
    <w:rsid w:val="0047475A"/>
    <w:rsid w:val="0047556B"/>
    <w:rsid w:val="00477768"/>
    <w:rsid w:val="00483BB6"/>
    <w:rsid w:val="00486189"/>
    <w:rsid w:val="00486ACF"/>
    <w:rsid w:val="00492BC5"/>
    <w:rsid w:val="004964F1"/>
    <w:rsid w:val="0049652C"/>
    <w:rsid w:val="00497F83"/>
    <w:rsid w:val="004A0635"/>
    <w:rsid w:val="004A16BC"/>
    <w:rsid w:val="004A2B94"/>
    <w:rsid w:val="004A3021"/>
    <w:rsid w:val="004A7D56"/>
    <w:rsid w:val="004B72BA"/>
    <w:rsid w:val="004B7C0C"/>
    <w:rsid w:val="004C379F"/>
    <w:rsid w:val="004C3898"/>
    <w:rsid w:val="004C7E2C"/>
    <w:rsid w:val="004D1E06"/>
    <w:rsid w:val="004D36B1"/>
    <w:rsid w:val="004D7EBD"/>
    <w:rsid w:val="004E1AF8"/>
    <w:rsid w:val="004E2680"/>
    <w:rsid w:val="004E28F9"/>
    <w:rsid w:val="004E462E"/>
    <w:rsid w:val="004E56DC"/>
    <w:rsid w:val="004E76F4"/>
    <w:rsid w:val="004F0B4E"/>
    <w:rsid w:val="004F0B6C"/>
    <w:rsid w:val="004F14EE"/>
    <w:rsid w:val="004F2078"/>
    <w:rsid w:val="004F4DA3"/>
    <w:rsid w:val="004F6FE0"/>
    <w:rsid w:val="00506557"/>
    <w:rsid w:val="0050677A"/>
    <w:rsid w:val="00507033"/>
    <w:rsid w:val="005108D8"/>
    <w:rsid w:val="005116F9"/>
    <w:rsid w:val="005123B3"/>
    <w:rsid w:val="005153A7"/>
    <w:rsid w:val="00517AD0"/>
    <w:rsid w:val="00520159"/>
    <w:rsid w:val="00520D36"/>
    <w:rsid w:val="005219CF"/>
    <w:rsid w:val="00527027"/>
    <w:rsid w:val="00530FD1"/>
    <w:rsid w:val="00532CBD"/>
    <w:rsid w:val="0053491E"/>
    <w:rsid w:val="00534B59"/>
    <w:rsid w:val="00536759"/>
    <w:rsid w:val="00537C62"/>
    <w:rsid w:val="0054294A"/>
    <w:rsid w:val="00546970"/>
    <w:rsid w:val="005478D3"/>
    <w:rsid w:val="00547D9C"/>
    <w:rsid w:val="0055231F"/>
    <w:rsid w:val="00554E19"/>
    <w:rsid w:val="0056121F"/>
    <w:rsid w:val="00565488"/>
    <w:rsid w:val="00572505"/>
    <w:rsid w:val="005743A5"/>
    <w:rsid w:val="00582809"/>
    <w:rsid w:val="0058798C"/>
    <w:rsid w:val="00587FA9"/>
    <w:rsid w:val="005900FA"/>
    <w:rsid w:val="005935A4"/>
    <w:rsid w:val="0059413D"/>
    <w:rsid w:val="005948C2"/>
    <w:rsid w:val="00595DCA"/>
    <w:rsid w:val="005972D5"/>
    <w:rsid w:val="00597568"/>
    <w:rsid w:val="0059779B"/>
    <w:rsid w:val="005A209A"/>
    <w:rsid w:val="005A288A"/>
    <w:rsid w:val="005A662D"/>
    <w:rsid w:val="005A68BA"/>
    <w:rsid w:val="005B04A1"/>
    <w:rsid w:val="005B175B"/>
    <w:rsid w:val="005B1CDF"/>
    <w:rsid w:val="005B3063"/>
    <w:rsid w:val="005B35D7"/>
    <w:rsid w:val="005B392A"/>
    <w:rsid w:val="005B3AA3"/>
    <w:rsid w:val="005B6F83"/>
    <w:rsid w:val="005B7576"/>
    <w:rsid w:val="005C1729"/>
    <w:rsid w:val="005C74FB"/>
    <w:rsid w:val="005C7DAA"/>
    <w:rsid w:val="005D1602"/>
    <w:rsid w:val="005D6F32"/>
    <w:rsid w:val="005E1503"/>
    <w:rsid w:val="005E385F"/>
    <w:rsid w:val="005E3CCA"/>
    <w:rsid w:val="005E5834"/>
    <w:rsid w:val="005E5B81"/>
    <w:rsid w:val="005F2CB1"/>
    <w:rsid w:val="005F3025"/>
    <w:rsid w:val="005F599F"/>
    <w:rsid w:val="005F618C"/>
    <w:rsid w:val="005F70BD"/>
    <w:rsid w:val="005F7489"/>
    <w:rsid w:val="00600F6A"/>
    <w:rsid w:val="006010AD"/>
    <w:rsid w:val="0060283C"/>
    <w:rsid w:val="00604F14"/>
    <w:rsid w:val="00605BE1"/>
    <w:rsid w:val="00606229"/>
    <w:rsid w:val="00611B83"/>
    <w:rsid w:val="00613257"/>
    <w:rsid w:val="00615440"/>
    <w:rsid w:val="00615B9D"/>
    <w:rsid w:val="00620A71"/>
    <w:rsid w:val="00620D80"/>
    <w:rsid w:val="006234A6"/>
    <w:rsid w:val="00623923"/>
    <w:rsid w:val="00630001"/>
    <w:rsid w:val="006311B3"/>
    <w:rsid w:val="00631F81"/>
    <w:rsid w:val="0063284C"/>
    <w:rsid w:val="0063501E"/>
    <w:rsid w:val="00636398"/>
    <w:rsid w:val="006368D3"/>
    <w:rsid w:val="006377EC"/>
    <w:rsid w:val="0064151F"/>
    <w:rsid w:val="00641533"/>
    <w:rsid w:val="00641D36"/>
    <w:rsid w:val="0064208D"/>
    <w:rsid w:val="00643475"/>
    <w:rsid w:val="0064396A"/>
    <w:rsid w:val="00644194"/>
    <w:rsid w:val="00644F5F"/>
    <w:rsid w:val="00645491"/>
    <w:rsid w:val="0064624E"/>
    <w:rsid w:val="00650AB9"/>
    <w:rsid w:val="0065154C"/>
    <w:rsid w:val="00655733"/>
    <w:rsid w:val="00655ACD"/>
    <w:rsid w:val="00656A92"/>
    <w:rsid w:val="00656DDE"/>
    <w:rsid w:val="00656EB3"/>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DE7"/>
    <w:rsid w:val="00683ECE"/>
    <w:rsid w:val="00695FC2"/>
    <w:rsid w:val="006967F7"/>
    <w:rsid w:val="00696949"/>
    <w:rsid w:val="00697052"/>
    <w:rsid w:val="006A46FB"/>
    <w:rsid w:val="006A5E28"/>
    <w:rsid w:val="006A697B"/>
    <w:rsid w:val="006A7AFF"/>
    <w:rsid w:val="006B03C1"/>
    <w:rsid w:val="006B0BB5"/>
    <w:rsid w:val="006B1816"/>
    <w:rsid w:val="006B2099"/>
    <w:rsid w:val="006B50CF"/>
    <w:rsid w:val="006C03B8"/>
    <w:rsid w:val="006C14EE"/>
    <w:rsid w:val="006C5EC9"/>
    <w:rsid w:val="006C6059"/>
    <w:rsid w:val="006C7522"/>
    <w:rsid w:val="006D42E6"/>
    <w:rsid w:val="006D43DA"/>
    <w:rsid w:val="006D5B70"/>
    <w:rsid w:val="006D5D33"/>
    <w:rsid w:val="006D5F1C"/>
    <w:rsid w:val="006D6F08"/>
    <w:rsid w:val="006E062C"/>
    <w:rsid w:val="006E28B7"/>
    <w:rsid w:val="006E3310"/>
    <w:rsid w:val="006E4AAA"/>
    <w:rsid w:val="006E4E39"/>
    <w:rsid w:val="006E565E"/>
    <w:rsid w:val="006E673D"/>
    <w:rsid w:val="006E7D3B"/>
    <w:rsid w:val="006F0F8A"/>
    <w:rsid w:val="006F1B70"/>
    <w:rsid w:val="006F341D"/>
    <w:rsid w:val="006F3CDE"/>
    <w:rsid w:val="006F58D4"/>
    <w:rsid w:val="007006BE"/>
    <w:rsid w:val="0070346E"/>
    <w:rsid w:val="00704016"/>
    <w:rsid w:val="00704EDB"/>
    <w:rsid w:val="00706101"/>
    <w:rsid w:val="00707072"/>
    <w:rsid w:val="00707D61"/>
    <w:rsid w:val="00711666"/>
    <w:rsid w:val="00712287"/>
    <w:rsid w:val="00712772"/>
    <w:rsid w:val="007148D3"/>
    <w:rsid w:val="00715B9A"/>
    <w:rsid w:val="00722560"/>
    <w:rsid w:val="00726EA6"/>
    <w:rsid w:val="00727208"/>
    <w:rsid w:val="00727680"/>
    <w:rsid w:val="007348B1"/>
    <w:rsid w:val="00735268"/>
    <w:rsid w:val="007362A6"/>
    <w:rsid w:val="00736D7D"/>
    <w:rsid w:val="007377D0"/>
    <w:rsid w:val="00740E58"/>
    <w:rsid w:val="0074428B"/>
    <w:rsid w:val="007445A0"/>
    <w:rsid w:val="0074524B"/>
    <w:rsid w:val="00747D8B"/>
    <w:rsid w:val="007508A2"/>
    <w:rsid w:val="00751228"/>
    <w:rsid w:val="0075660C"/>
    <w:rsid w:val="007571E1"/>
    <w:rsid w:val="007604B2"/>
    <w:rsid w:val="00765281"/>
    <w:rsid w:val="00766BAD"/>
    <w:rsid w:val="0076708C"/>
    <w:rsid w:val="007755F2"/>
    <w:rsid w:val="00776971"/>
    <w:rsid w:val="0078177E"/>
    <w:rsid w:val="0078304C"/>
    <w:rsid w:val="00783673"/>
    <w:rsid w:val="00785490"/>
    <w:rsid w:val="007925EA"/>
    <w:rsid w:val="0079296C"/>
    <w:rsid w:val="00793CD8"/>
    <w:rsid w:val="00793DF1"/>
    <w:rsid w:val="00795C92"/>
    <w:rsid w:val="00796231"/>
    <w:rsid w:val="007966F9"/>
    <w:rsid w:val="007A1CB3"/>
    <w:rsid w:val="007A306F"/>
    <w:rsid w:val="007A43A6"/>
    <w:rsid w:val="007A58A6"/>
    <w:rsid w:val="007B3D2D"/>
    <w:rsid w:val="007B50AE"/>
    <w:rsid w:val="007B51DF"/>
    <w:rsid w:val="007B77C0"/>
    <w:rsid w:val="007C05DD"/>
    <w:rsid w:val="007C3D18"/>
    <w:rsid w:val="007C60BF"/>
    <w:rsid w:val="007C6A07"/>
    <w:rsid w:val="007C75A1"/>
    <w:rsid w:val="007C77A5"/>
    <w:rsid w:val="007D04E5"/>
    <w:rsid w:val="007D0BA6"/>
    <w:rsid w:val="007D5901"/>
    <w:rsid w:val="007D7526"/>
    <w:rsid w:val="007E1DEB"/>
    <w:rsid w:val="007E4610"/>
    <w:rsid w:val="007E4715"/>
    <w:rsid w:val="007E505B"/>
    <w:rsid w:val="007E6DA9"/>
    <w:rsid w:val="007E7091"/>
    <w:rsid w:val="007E784D"/>
    <w:rsid w:val="007F60D8"/>
    <w:rsid w:val="00803FAE"/>
    <w:rsid w:val="0080605F"/>
    <w:rsid w:val="00807786"/>
    <w:rsid w:val="0081144B"/>
    <w:rsid w:val="00811FCB"/>
    <w:rsid w:val="008158D6"/>
    <w:rsid w:val="00816203"/>
    <w:rsid w:val="00817196"/>
    <w:rsid w:val="008235DB"/>
    <w:rsid w:val="00824AB4"/>
    <w:rsid w:val="00825C42"/>
    <w:rsid w:val="00825D25"/>
    <w:rsid w:val="00826C8B"/>
    <w:rsid w:val="00827D6F"/>
    <w:rsid w:val="0083700D"/>
    <w:rsid w:val="008376AC"/>
    <w:rsid w:val="008444E8"/>
    <w:rsid w:val="00844E80"/>
    <w:rsid w:val="00846FE7"/>
    <w:rsid w:val="00856911"/>
    <w:rsid w:val="008677FD"/>
    <w:rsid w:val="008706D4"/>
    <w:rsid w:val="00870F8A"/>
    <w:rsid w:val="008719A4"/>
    <w:rsid w:val="00871D23"/>
    <w:rsid w:val="00873177"/>
    <w:rsid w:val="00874312"/>
    <w:rsid w:val="0087437C"/>
    <w:rsid w:val="00875CD7"/>
    <w:rsid w:val="00876B4D"/>
    <w:rsid w:val="00877F18"/>
    <w:rsid w:val="008804A8"/>
    <w:rsid w:val="00884BB3"/>
    <w:rsid w:val="00884BD8"/>
    <w:rsid w:val="00894A88"/>
    <w:rsid w:val="00895386"/>
    <w:rsid w:val="00896419"/>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3368"/>
    <w:rsid w:val="008C4958"/>
    <w:rsid w:val="008C4BAA"/>
    <w:rsid w:val="008C6AE8"/>
    <w:rsid w:val="008C7573"/>
    <w:rsid w:val="008D34F1"/>
    <w:rsid w:val="008D39D8"/>
    <w:rsid w:val="008D6D1A"/>
    <w:rsid w:val="008D74B4"/>
    <w:rsid w:val="008E065E"/>
    <w:rsid w:val="008E0927"/>
    <w:rsid w:val="008E153D"/>
    <w:rsid w:val="008E1909"/>
    <w:rsid w:val="008F1EAB"/>
    <w:rsid w:val="008F33DC"/>
    <w:rsid w:val="008F477F"/>
    <w:rsid w:val="008F523A"/>
    <w:rsid w:val="008F58A4"/>
    <w:rsid w:val="00902350"/>
    <w:rsid w:val="0090336B"/>
    <w:rsid w:val="009053AA"/>
    <w:rsid w:val="009053B0"/>
    <w:rsid w:val="0090544E"/>
    <w:rsid w:val="00906939"/>
    <w:rsid w:val="00910B7D"/>
    <w:rsid w:val="00911DFB"/>
    <w:rsid w:val="009139D9"/>
    <w:rsid w:val="00913E71"/>
    <w:rsid w:val="00914AD8"/>
    <w:rsid w:val="00914AE6"/>
    <w:rsid w:val="009158A3"/>
    <w:rsid w:val="00916046"/>
    <w:rsid w:val="00916079"/>
    <w:rsid w:val="00917CE9"/>
    <w:rsid w:val="00920BF2"/>
    <w:rsid w:val="00922010"/>
    <w:rsid w:val="0092474B"/>
    <w:rsid w:val="00927915"/>
    <w:rsid w:val="00931363"/>
    <w:rsid w:val="00931BD9"/>
    <w:rsid w:val="0093523B"/>
    <w:rsid w:val="009368F3"/>
    <w:rsid w:val="00941636"/>
    <w:rsid w:val="00943742"/>
    <w:rsid w:val="00945C05"/>
    <w:rsid w:val="00946945"/>
    <w:rsid w:val="00947713"/>
    <w:rsid w:val="00950DE7"/>
    <w:rsid w:val="00951AF2"/>
    <w:rsid w:val="00953920"/>
    <w:rsid w:val="00953D47"/>
    <w:rsid w:val="0095681E"/>
    <w:rsid w:val="009572D4"/>
    <w:rsid w:val="00961921"/>
    <w:rsid w:val="0096430A"/>
    <w:rsid w:val="00964957"/>
    <w:rsid w:val="0096554B"/>
    <w:rsid w:val="0096584A"/>
    <w:rsid w:val="009675AA"/>
    <w:rsid w:val="00971F08"/>
    <w:rsid w:val="0097603D"/>
    <w:rsid w:val="00976949"/>
    <w:rsid w:val="00980477"/>
    <w:rsid w:val="00985253"/>
    <w:rsid w:val="009853B3"/>
    <w:rsid w:val="00986253"/>
    <w:rsid w:val="00990630"/>
    <w:rsid w:val="00991761"/>
    <w:rsid w:val="009940CF"/>
    <w:rsid w:val="00994DCA"/>
    <w:rsid w:val="009960EC"/>
    <w:rsid w:val="009970DD"/>
    <w:rsid w:val="009976D3"/>
    <w:rsid w:val="009A04FA"/>
    <w:rsid w:val="009A0FBA"/>
    <w:rsid w:val="009A1601"/>
    <w:rsid w:val="009A2BD6"/>
    <w:rsid w:val="009A462D"/>
    <w:rsid w:val="009A5CBA"/>
    <w:rsid w:val="009A7879"/>
    <w:rsid w:val="009B1F30"/>
    <w:rsid w:val="009B3AC2"/>
    <w:rsid w:val="009B4DF4"/>
    <w:rsid w:val="009B564E"/>
    <w:rsid w:val="009B7E87"/>
    <w:rsid w:val="009C403E"/>
    <w:rsid w:val="009C5085"/>
    <w:rsid w:val="009C5408"/>
    <w:rsid w:val="009D28AD"/>
    <w:rsid w:val="009D38B6"/>
    <w:rsid w:val="009D4FF0"/>
    <w:rsid w:val="009D703C"/>
    <w:rsid w:val="009D718F"/>
    <w:rsid w:val="009E068F"/>
    <w:rsid w:val="009E14E0"/>
    <w:rsid w:val="009E35DB"/>
    <w:rsid w:val="009E47A3"/>
    <w:rsid w:val="009F08F3"/>
    <w:rsid w:val="009F344F"/>
    <w:rsid w:val="009F7EC6"/>
    <w:rsid w:val="00A048A8"/>
    <w:rsid w:val="00A04F49"/>
    <w:rsid w:val="00A07A3D"/>
    <w:rsid w:val="00A12509"/>
    <w:rsid w:val="00A13E54"/>
    <w:rsid w:val="00A14603"/>
    <w:rsid w:val="00A17F63"/>
    <w:rsid w:val="00A20B9F"/>
    <w:rsid w:val="00A2193B"/>
    <w:rsid w:val="00A2351A"/>
    <w:rsid w:val="00A23A3B"/>
    <w:rsid w:val="00A264A9"/>
    <w:rsid w:val="00A27785"/>
    <w:rsid w:val="00A30187"/>
    <w:rsid w:val="00A31C10"/>
    <w:rsid w:val="00A3448A"/>
    <w:rsid w:val="00A36297"/>
    <w:rsid w:val="00A3793A"/>
    <w:rsid w:val="00A41E2B"/>
    <w:rsid w:val="00A45B74"/>
    <w:rsid w:val="00A52E1D"/>
    <w:rsid w:val="00A57A1E"/>
    <w:rsid w:val="00A61499"/>
    <w:rsid w:val="00A61F00"/>
    <w:rsid w:val="00A62A77"/>
    <w:rsid w:val="00A63483"/>
    <w:rsid w:val="00A657D7"/>
    <w:rsid w:val="00A660AC"/>
    <w:rsid w:val="00A67E6C"/>
    <w:rsid w:val="00A7147C"/>
    <w:rsid w:val="00A71B99"/>
    <w:rsid w:val="00A739D0"/>
    <w:rsid w:val="00A761D4"/>
    <w:rsid w:val="00A77EC4"/>
    <w:rsid w:val="00A80760"/>
    <w:rsid w:val="00A91CA7"/>
    <w:rsid w:val="00A92879"/>
    <w:rsid w:val="00A937F3"/>
    <w:rsid w:val="00A9442A"/>
    <w:rsid w:val="00AA016F"/>
    <w:rsid w:val="00AA1521"/>
    <w:rsid w:val="00AA1ED6"/>
    <w:rsid w:val="00AA4F83"/>
    <w:rsid w:val="00AA51D6"/>
    <w:rsid w:val="00AA7770"/>
    <w:rsid w:val="00AB0BC8"/>
    <w:rsid w:val="00AB11CA"/>
    <w:rsid w:val="00AB14D9"/>
    <w:rsid w:val="00AB2AED"/>
    <w:rsid w:val="00AB2E29"/>
    <w:rsid w:val="00AB4AB8"/>
    <w:rsid w:val="00AB655E"/>
    <w:rsid w:val="00AB7B6B"/>
    <w:rsid w:val="00AC007F"/>
    <w:rsid w:val="00AC263C"/>
    <w:rsid w:val="00AC2ECD"/>
    <w:rsid w:val="00AC3119"/>
    <w:rsid w:val="00AC434C"/>
    <w:rsid w:val="00AC49FB"/>
    <w:rsid w:val="00AC5A10"/>
    <w:rsid w:val="00AD0AA3"/>
    <w:rsid w:val="00AD1D0F"/>
    <w:rsid w:val="00AD3F67"/>
    <w:rsid w:val="00AD3F94"/>
    <w:rsid w:val="00AD4A5A"/>
    <w:rsid w:val="00AD692B"/>
    <w:rsid w:val="00AD69D8"/>
    <w:rsid w:val="00AE27AC"/>
    <w:rsid w:val="00AE40E0"/>
    <w:rsid w:val="00AE4DBA"/>
    <w:rsid w:val="00AE4F07"/>
    <w:rsid w:val="00AE7C50"/>
    <w:rsid w:val="00AF1C5D"/>
    <w:rsid w:val="00AF42D7"/>
    <w:rsid w:val="00AF70B2"/>
    <w:rsid w:val="00B006FE"/>
    <w:rsid w:val="00B007CB"/>
    <w:rsid w:val="00B02AA9"/>
    <w:rsid w:val="00B02FA3"/>
    <w:rsid w:val="00B05084"/>
    <w:rsid w:val="00B157F9"/>
    <w:rsid w:val="00B16AFE"/>
    <w:rsid w:val="00B17CEC"/>
    <w:rsid w:val="00B20256"/>
    <w:rsid w:val="00B20D09"/>
    <w:rsid w:val="00B222B8"/>
    <w:rsid w:val="00B24BAE"/>
    <w:rsid w:val="00B2763F"/>
    <w:rsid w:val="00B27AAC"/>
    <w:rsid w:val="00B30929"/>
    <w:rsid w:val="00B372AA"/>
    <w:rsid w:val="00B40445"/>
    <w:rsid w:val="00B41888"/>
    <w:rsid w:val="00B42F9D"/>
    <w:rsid w:val="00B436F4"/>
    <w:rsid w:val="00B45A52"/>
    <w:rsid w:val="00B46175"/>
    <w:rsid w:val="00B563F3"/>
    <w:rsid w:val="00B664C7"/>
    <w:rsid w:val="00B739F6"/>
    <w:rsid w:val="00B7527D"/>
    <w:rsid w:val="00B76D9B"/>
    <w:rsid w:val="00B8088E"/>
    <w:rsid w:val="00B8103C"/>
    <w:rsid w:val="00B816EA"/>
    <w:rsid w:val="00B81A6C"/>
    <w:rsid w:val="00B81B0D"/>
    <w:rsid w:val="00B8383E"/>
    <w:rsid w:val="00B85DE5"/>
    <w:rsid w:val="00B86502"/>
    <w:rsid w:val="00B90F73"/>
    <w:rsid w:val="00B92EA3"/>
    <w:rsid w:val="00B93B59"/>
    <w:rsid w:val="00B9406A"/>
    <w:rsid w:val="00B9650A"/>
    <w:rsid w:val="00BA2280"/>
    <w:rsid w:val="00BA2864"/>
    <w:rsid w:val="00BA2A08"/>
    <w:rsid w:val="00BA2CBB"/>
    <w:rsid w:val="00BA56D2"/>
    <w:rsid w:val="00BA76E0"/>
    <w:rsid w:val="00BB2A25"/>
    <w:rsid w:val="00BB51E9"/>
    <w:rsid w:val="00BB6077"/>
    <w:rsid w:val="00BC0FDC"/>
    <w:rsid w:val="00BC3053"/>
    <w:rsid w:val="00BC4D2E"/>
    <w:rsid w:val="00BC6E2C"/>
    <w:rsid w:val="00BC6FD2"/>
    <w:rsid w:val="00BD09F7"/>
    <w:rsid w:val="00BD48AC"/>
    <w:rsid w:val="00BD5F1A"/>
    <w:rsid w:val="00BD7A42"/>
    <w:rsid w:val="00BE1234"/>
    <w:rsid w:val="00BE2FA6"/>
    <w:rsid w:val="00BE333F"/>
    <w:rsid w:val="00BE49D7"/>
    <w:rsid w:val="00BE7406"/>
    <w:rsid w:val="00BE7603"/>
    <w:rsid w:val="00BF3279"/>
    <w:rsid w:val="00BF74C7"/>
    <w:rsid w:val="00C015F1"/>
    <w:rsid w:val="00C01EE0"/>
    <w:rsid w:val="00C01F33"/>
    <w:rsid w:val="00C02CC6"/>
    <w:rsid w:val="00C040F7"/>
    <w:rsid w:val="00C044AB"/>
    <w:rsid w:val="00C04DD2"/>
    <w:rsid w:val="00C05706"/>
    <w:rsid w:val="00C07377"/>
    <w:rsid w:val="00C10478"/>
    <w:rsid w:val="00C10F3D"/>
    <w:rsid w:val="00C1131A"/>
    <w:rsid w:val="00C12107"/>
    <w:rsid w:val="00C139E1"/>
    <w:rsid w:val="00C14D4B"/>
    <w:rsid w:val="00C154BB"/>
    <w:rsid w:val="00C22738"/>
    <w:rsid w:val="00C26796"/>
    <w:rsid w:val="00C279B5"/>
    <w:rsid w:val="00C27C45"/>
    <w:rsid w:val="00C35701"/>
    <w:rsid w:val="00C36C34"/>
    <w:rsid w:val="00C3719D"/>
    <w:rsid w:val="00C4040A"/>
    <w:rsid w:val="00C45B86"/>
    <w:rsid w:val="00C46F0A"/>
    <w:rsid w:val="00C4713E"/>
    <w:rsid w:val="00C54995"/>
    <w:rsid w:val="00C54D41"/>
    <w:rsid w:val="00C60783"/>
    <w:rsid w:val="00C632A4"/>
    <w:rsid w:val="00C64672"/>
    <w:rsid w:val="00C65BC9"/>
    <w:rsid w:val="00C6628F"/>
    <w:rsid w:val="00C701C1"/>
    <w:rsid w:val="00C70697"/>
    <w:rsid w:val="00C7110B"/>
    <w:rsid w:val="00C72EF4"/>
    <w:rsid w:val="00C72FFB"/>
    <w:rsid w:val="00C75D2F"/>
    <w:rsid w:val="00C767BE"/>
    <w:rsid w:val="00C76E3C"/>
    <w:rsid w:val="00C77776"/>
    <w:rsid w:val="00C77795"/>
    <w:rsid w:val="00C81568"/>
    <w:rsid w:val="00C9027A"/>
    <w:rsid w:val="00C9068E"/>
    <w:rsid w:val="00C93C4B"/>
    <w:rsid w:val="00C944AB"/>
    <w:rsid w:val="00C95B40"/>
    <w:rsid w:val="00CA1ED8"/>
    <w:rsid w:val="00CA25B1"/>
    <w:rsid w:val="00CA4CDB"/>
    <w:rsid w:val="00CB1F63"/>
    <w:rsid w:val="00CB7170"/>
    <w:rsid w:val="00CC040E"/>
    <w:rsid w:val="00CC111F"/>
    <w:rsid w:val="00CC2011"/>
    <w:rsid w:val="00CC3EA0"/>
    <w:rsid w:val="00CC7B45"/>
    <w:rsid w:val="00CD1188"/>
    <w:rsid w:val="00CD127A"/>
    <w:rsid w:val="00CD2ED1"/>
    <w:rsid w:val="00CD337B"/>
    <w:rsid w:val="00CD3A98"/>
    <w:rsid w:val="00CD6EB6"/>
    <w:rsid w:val="00CE0424"/>
    <w:rsid w:val="00CE3D86"/>
    <w:rsid w:val="00CE7561"/>
    <w:rsid w:val="00CF1354"/>
    <w:rsid w:val="00CF3B1F"/>
    <w:rsid w:val="00CF3BF6"/>
    <w:rsid w:val="00CF625B"/>
    <w:rsid w:val="00CF687E"/>
    <w:rsid w:val="00D00AE7"/>
    <w:rsid w:val="00D0349B"/>
    <w:rsid w:val="00D10249"/>
    <w:rsid w:val="00D115C3"/>
    <w:rsid w:val="00D11897"/>
    <w:rsid w:val="00D13135"/>
    <w:rsid w:val="00D13E4E"/>
    <w:rsid w:val="00D20493"/>
    <w:rsid w:val="00D22D5E"/>
    <w:rsid w:val="00D239A7"/>
    <w:rsid w:val="00D23F47"/>
    <w:rsid w:val="00D32A9B"/>
    <w:rsid w:val="00D32D4F"/>
    <w:rsid w:val="00D36E71"/>
    <w:rsid w:val="00D3710F"/>
    <w:rsid w:val="00D37D87"/>
    <w:rsid w:val="00D40B33"/>
    <w:rsid w:val="00D4318F"/>
    <w:rsid w:val="00D438BF"/>
    <w:rsid w:val="00D440F8"/>
    <w:rsid w:val="00D46CAD"/>
    <w:rsid w:val="00D546FF"/>
    <w:rsid w:val="00D547DD"/>
    <w:rsid w:val="00D55AD5"/>
    <w:rsid w:val="00D576CA"/>
    <w:rsid w:val="00D61AF5"/>
    <w:rsid w:val="00D652B5"/>
    <w:rsid w:val="00D66155"/>
    <w:rsid w:val="00D66CAA"/>
    <w:rsid w:val="00D708B0"/>
    <w:rsid w:val="00D77B1D"/>
    <w:rsid w:val="00D8021F"/>
    <w:rsid w:val="00D80383"/>
    <w:rsid w:val="00D80AC8"/>
    <w:rsid w:val="00D823C6"/>
    <w:rsid w:val="00D84043"/>
    <w:rsid w:val="00D86CA3"/>
    <w:rsid w:val="00D871CE"/>
    <w:rsid w:val="00D9196D"/>
    <w:rsid w:val="00D92982"/>
    <w:rsid w:val="00D95DF5"/>
    <w:rsid w:val="00DA1092"/>
    <w:rsid w:val="00DA305E"/>
    <w:rsid w:val="00DA5417"/>
    <w:rsid w:val="00DA56E8"/>
    <w:rsid w:val="00DA7DB7"/>
    <w:rsid w:val="00DB0A9F"/>
    <w:rsid w:val="00DB377D"/>
    <w:rsid w:val="00DB6176"/>
    <w:rsid w:val="00DC1C50"/>
    <w:rsid w:val="00DC2D36"/>
    <w:rsid w:val="00DC53EF"/>
    <w:rsid w:val="00DD6051"/>
    <w:rsid w:val="00DD6BE3"/>
    <w:rsid w:val="00DD6CA7"/>
    <w:rsid w:val="00DE3BDB"/>
    <w:rsid w:val="00DE5608"/>
    <w:rsid w:val="00DE58D0"/>
    <w:rsid w:val="00DE654F"/>
    <w:rsid w:val="00DF0B6E"/>
    <w:rsid w:val="00DF15E0"/>
    <w:rsid w:val="00DF37A0"/>
    <w:rsid w:val="00DF5B71"/>
    <w:rsid w:val="00DF7229"/>
    <w:rsid w:val="00E00660"/>
    <w:rsid w:val="00E00BE1"/>
    <w:rsid w:val="00E046ED"/>
    <w:rsid w:val="00E07842"/>
    <w:rsid w:val="00E110E7"/>
    <w:rsid w:val="00E11B20"/>
    <w:rsid w:val="00E14C07"/>
    <w:rsid w:val="00E15FF9"/>
    <w:rsid w:val="00E17FA2"/>
    <w:rsid w:val="00E22330"/>
    <w:rsid w:val="00E24655"/>
    <w:rsid w:val="00E30B5A"/>
    <w:rsid w:val="00E30E5A"/>
    <w:rsid w:val="00E3123D"/>
    <w:rsid w:val="00E31461"/>
    <w:rsid w:val="00E31D43"/>
    <w:rsid w:val="00E32608"/>
    <w:rsid w:val="00E34188"/>
    <w:rsid w:val="00E34B6E"/>
    <w:rsid w:val="00E35559"/>
    <w:rsid w:val="00E35D73"/>
    <w:rsid w:val="00E3723A"/>
    <w:rsid w:val="00E37860"/>
    <w:rsid w:val="00E446F1"/>
    <w:rsid w:val="00E447D4"/>
    <w:rsid w:val="00E46886"/>
    <w:rsid w:val="00E47AEF"/>
    <w:rsid w:val="00E50DDC"/>
    <w:rsid w:val="00E52A05"/>
    <w:rsid w:val="00E53B75"/>
    <w:rsid w:val="00E54E3B"/>
    <w:rsid w:val="00E57565"/>
    <w:rsid w:val="00E63838"/>
    <w:rsid w:val="00E64434"/>
    <w:rsid w:val="00E67C51"/>
    <w:rsid w:val="00E72EFC"/>
    <w:rsid w:val="00E758EC"/>
    <w:rsid w:val="00E77CCC"/>
    <w:rsid w:val="00E8234C"/>
    <w:rsid w:val="00E83AA9"/>
    <w:rsid w:val="00E84956"/>
    <w:rsid w:val="00E85928"/>
    <w:rsid w:val="00E87822"/>
    <w:rsid w:val="00E90395"/>
    <w:rsid w:val="00E90E49"/>
    <w:rsid w:val="00E917F9"/>
    <w:rsid w:val="00E9291C"/>
    <w:rsid w:val="00E93FFE"/>
    <w:rsid w:val="00E94F8A"/>
    <w:rsid w:val="00E951EC"/>
    <w:rsid w:val="00E9752B"/>
    <w:rsid w:val="00EA7A41"/>
    <w:rsid w:val="00EB031C"/>
    <w:rsid w:val="00EB077B"/>
    <w:rsid w:val="00EB4EA2"/>
    <w:rsid w:val="00EC27C6"/>
    <w:rsid w:val="00EC4207"/>
    <w:rsid w:val="00EC5653"/>
    <w:rsid w:val="00EC71CE"/>
    <w:rsid w:val="00ED1006"/>
    <w:rsid w:val="00ED1628"/>
    <w:rsid w:val="00ED2AAD"/>
    <w:rsid w:val="00ED44FC"/>
    <w:rsid w:val="00ED7D94"/>
    <w:rsid w:val="00EF18FE"/>
    <w:rsid w:val="00EF3C81"/>
    <w:rsid w:val="00EF4221"/>
    <w:rsid w:val="00EF4C30"/>
    <w:rsid w:val="00EF5787"/>
    <w:rsid w:val="00EF60D0"/>
    <w:rsid w:val="00F0524C"/>
    <w:rsid w:val="00F0528D"/>
    <w:rsid w:val="00F06C67"/>
    <w:rsid w:val="00F06DFD"/>
    <w:rsid w:val="00F071D1"/>
    <w:rsid w:val="00F07533"/>
    <w:rsid w:val="00F10595"/>
    <w:rsid w:val="00F10629"/>
    <w:rsid w:val="00F15FA5"/>
    <w:rsid w:val="00F209B7"/>
    <w:rsid w:val="00F2376F"/>
    <w:rsid w:val="00F243D8"/>
    <w:rsid w:val="00F2556B"/>
    <w:rsid w:val="00F262AD"/>
    <w:rsid w:val="00F27B04"/>
    <w:rsid w:val="00F30828"/>
    <w:rsid w:val="00F313D6"/>
    <w:rsid w:val="00F40F0C"/>
    <w:rsid w:val="00F42239"/>
    <w:rsid w:val="00F4766C"/>
    <w:rsid w:val="00F50548"/>
    <w:rsid w:val="00F507D1"/>
    <w:rsid w:val="00F514BD"/>
    <w:rsid w:val="00F519CE"/>
    <w:rsid w:val="00F51ADA"/>
    <w:rsid w:val="00F56091"/>
    <w:rsid w:val="00F56C6D"/>
    <w:rsid w:val="00F572C8"/>
    <w:rsid w:val="00F607C5"/>
    <w:rsid w:val="00F60DEA"/>
    <w:rsid w:val="00F6302A"/>
    <w:rsid w:val="00F64C2B"/>
    <w:rsid w:val="00F651BE"/>
    <w:rsid w:val="00F67F53"/>
    <w:rsid w:val="00F703BE"/>
    <w:rsid w:val="00F71F69"/>
    <w:rsid w:val="00F727E7"/>
    <w:rsid w:val="00F72B72"/>
    <w:rsid w:val="00F74BB9"/>
    <w:rsid w:val="00F75582"/>
    <w:rsid w:val="00F76EFA"/>
    <w:rsid w:val="00F8033E"/>
    <w:rsid w:val="00F804BE"/>
    <w:rsid w:val="00F817CE"/>
    <w:rsid w:val="00F81AF6"/>
    <w:rsid w:val="00F8456C"/>
    <w:rsid w:val="00F848DD"/>
    <w:rsid w:val="00F84C22"/>
    <w:rsid w:val="00F859D8"/>
    <w:rsid w:val="00F8626D"/>
    <w:rsid w:val="00F86334"/>
    <w:rsid w:val="00F868F5"/>
    <w:rsid w:val="00F9056A"/>
    <w:rsid w:val="00F90A97"/>
    <w:rsid w:val="00F90B7C"/>
    <w:rsid w:val="00F90F8D"/>
    <w:rsid w:val="00F92782"/>
    <w:rsid w:val="00F93A82"/>
    <w:rsid w:val="00F93AA9"/>
    <w:rsid w:val="00F96985"/>
    <w:rsid w:val="00F974D0"/>
    <w:rsid w:val="00F97838"/>
    <w:rsid w:val="00FA2BB3"/>
    <w:rsid w:val="00FA68D0"/>
    <w:rsid w:val="00FB216B"/>
    <w:rsid w:val="00FB3B05"/>
    <w:rsid w:val="00FB4C80"/>
    <w:rsid w:val="00FB6A6A"/>
    <w:rsid w:val="00FB7D57"/>
    <w:rsid w:val="00FC4E33"/>
    <w:rsid w:val="00FC721F"/>
    <w:rsid w:val="00FC7429"/>
    <w:rsid w:val="00FC74B1"/>
    <w:rsid w:val="00FD07F6"/>
    <w:rsid w:val="00FD0EE5"/>
    <w:rsid w:val="00FD1EC8"/>
    <w:rsid w:val="00FD2354"/>
    <w:rsid w:val="00FD292F"/>
    <w:rsid w:val="00FD47ED"/>
    <w:rsid w:val="00FD50C6"/>
    <w:rsid w:val="00FD74DB"/>
    <w:rsid w:val="00FD7660"/>
    <w:rsid w:val="00FE0655"/>
    <w:rsid w:val="00FE2365"/>
    <w:rsid w:val="00FE2ABC"/>
    <w:rsid w:val="00FE4C7B"/>
    <w:rsid w:val="00FE7336"/>
    <w:rsid w:val="00FE787C"/>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891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rsid w:val="009E35DB"/>
    <w:rPr>
      <w:b/>
      <w:bCs/>
      <w:position w:val="6"/>
      <w:sz w:val="16"/>
      <w:szCs w:val="16"/>
    </w:rPr>
  </w:style>
  <w:style w:type="paragraph" w:styleId="FootnoteText">
    <w:name w:val="footnote text"/>
    <w:basedOn w:val="Normal"/>
    <w:link w:val="FootnoteTextChar"/>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C46F0A"/>
    <w:rPr>
      <w:color w:val="808080"/>
    </w:rPr>
  </w:style>
  <w:style w:type="paragraph" w:customStyle="1" w:styleId="CaptionFigureWide">
    <w:name w:val="CaptionFigureWide"/>
    <w:next w:val="BodyText"/>
    <w:rsid w:val="00F56C6D"/>
    <w:pPr>
      <w:tabs>
        <w:tab w:val="left" w:pos="2268"/>
      </w:tabs>
      <w:spacing w:before="120" w:after="60"/>
      <w:ind w:left="2268" w:hanging="964"/>
    </w:pPr>
    <w:rPr>
      <w:rFonts w:ascii="Arial" w:hAnsi="Arial"/>
    </w:rPr>
  </w:style>
  <w:style w:type="character" w:customStyle="1" w:styleId="FootnoteTextChar">
    <w:name w:val="Footnote Text Char"/>
    <w:link w:val="FootnoteText"/>
    <w:rsid w:val="000F7836"/>
    <w:rPr>
      <w:rFonts w:ascii="Arial" w:hAnsi="Arial"/>
      <w:sz w:val="16"/>
      <w:szCs w:val="16"/>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rsid w:val="009E35DB"/>
    <w:rPr>
      <w:b/>
      <w:bCs/>
      <w:position w:val="6"/>
      <w:sz w:val="16"/>
      <w:szCs w:val="16"/>
    </w:rPr>
  </w:style>
  <w:style w:type="paragraph" w:styleId="FootnoteText">
    <w:name w:val="footnote text"/>
    <w:basedOn w:val="Normal"/>
    <w:link w:val="FootnoteTextChar"/>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C46F0A"/>
    <w:rPr>
      <w:color w:val="808080"/>
    </w:rPr>
  </w:style>
  <w:style w:type="paragraph" w:customStyle="1" w:styleId="CaptionFigureWide">
    <w:name w:val="CaptionFigureWide"/>
    <w:next w:val="BodyText"/>
    <w:rsid w:val="00F56C6D"/>
    <w:pPr>
      <w:tabs>
        <w:tab w:val="left" w:pos="2268"/>
      </w:tabs>
      <w:spacing w:before="120" w:after="60"/>
      <w:ind w:left="2268" w:hanging="964"/>
    </w:pPr>
    <w:rPr>
      <w:rFonts w:ascii="Arial" w:hAnsi="Arial"/>
    </w:rPr>
  </w:style>
  <w:style w:type="character" w:customStyle="1" w:styleId="FootnoteTextChar">
    <w:name w:val="Footnote Text Char"/>
    <w:link w:val="FootnoteText"/>
    <w:rsid w:val="000F7836"/>
    <w:rPr>
      <w:rFonts w:ascii="Arial" w:hAnsi="Arial"/>
      <w:sz w:val="16"/>
      <w:szCs w:val="16"/>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399669164">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5.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8.emf"/><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image" Target="media/image4.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7.emf"/><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header" Target="header1.xml"/><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image" Target="media/image6.emf"/><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png"/><Relationship Id="rId22" Type="http://schemas.openxmlformats.org/officeDocument/2006/relationships/image" Target="media/image9.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SAQRZK7RPU5V-1-488</_dlc_DocId>
    <_dlc_DocIdUrl xmlns="08b2df90-05d3-4030-90d4-c9feeb4a1cd9">
      <Url>https://ericoll.internal.ericsson.com/sites/NSA/_layouts/DocIdRedir.aspx?ID=SAQRZK7RPU5V-1-488</Url>
      <Description>SAQRZK7RPU5V-1-488</Description>
    </_dlc_DocIdUrl>
  </documentManagement>
</p: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42295B-94A0-40A6-B799-31483A28F8CD}">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D23EDC9F-4776-4D98-9331-AD8870A54FF9}">
  <ds:schemaRefs>
    <ds:schemaRef ds:uri="Microsoft.SharePoint.Taxonomy.ContentTypeSync"/>
  </ds:schemaRefs>
</ds:datastoreItem>
</file>

<file path=customXml/itemProps3.xml><?xml version="1.0" encoding="utf-8"?>
<ds:datastoreItem xmlns:ds="http://schemas.openxmlformats.org/officeDocument/2006/customXml" ds:itemID="{FC6B6925-F499-4C7D-964C-9FA464B56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5.xml><?xml version="1.0" encoding="utf-8"?>
<ds:datastoreItem xmlns:ds="http://schemas.openxmlformats.org/officeDocument/2006/customXml" ds:itemID="{EB97098B-97A8-47C7-9689-47799A1FBB94}">
  <ds:schemaRefs>
    <ds:schemaRef ds:uri="http://schemas.microsoft.com/sharepoint/events"/>
  </ds:schemaRefs>
</ds:datastoreItem>
</file>

<file path=customXml/itemProps6.xml><?xml version="1.0" encoding="utf-8"?>
<ds:datastoreItem xmlns:ds="http://schemas.openxmlformats.org/officeDocument/2006/customXml" ds:itemID="{147E5D22-DDC0-4D99-8A20-0AF25A068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138</TotalTime>
  <Pages>7</Pages>
  <Words>1588</Words>
  <Characters>9053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10620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Robert Baldemair</cp:lastModifiedBy>
  <cp:revision>14</cp:revision>
  <cp:lastPrinted>2016-01-26T08:44:00Z</cp:lastPrinted>
  <dcterms:created xsi:type="dcterms:W3CDTF">2016-05-11T08:26:00Z</dcterms:created>
  <dcterms:modified xsi:type="dcterms:W3CDTF">2016-05-13T14:37:00Z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_dlc_DocIdItemGuid">
    <vt:lpwstr>2bef4af5-cf50-4e76-98a0-b567dddc9e35</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WAN RN Deployment ＆ Spectrum Man|644d70e3-351b-4c06-8b80-4aa32d170e18</vt:lpwstr>
  </property>
  <property fmtid="{D5CDD505-2E9C-101B-9397-08002B2CF9AE}" pid="12" name="EriCOLLCustomer">
    <vt:lpwstr/>
  </property>
  <property fmtid="{D5CDD505-2E9C-101B-9397-08002B2CF9AE}" pid="13" name="EriCOLLProducts">
    <vt:lpwstr/>
  </property>
</Properties>
</file>