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w:t>
      </w:r>
      <w:proofErr w:type="spellStart"/>
      <w:r>
        <w:rPr>
          <w:rFonts w:eastAsia="Times New Roman"/>
        </w:rPr>
        <w:t>gNB</w:t>
      </w:r>
      <w:proofErr w:type="spellEnd"/>
      <w:r>
        <w:rPr>
          <w:rFonts w:eastAsia="Times New Roman"/>
        </w:rPr>
        <w:t>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w:t>
            </w:r>
            <w:proofErr w:type="gramStart"/>
            <w:r w:rsidR="00DC0B20">
              <w:rPr>
                <w:rFonts w:eastAsiaTheme="minorEastAsia"/>
                <w:lang w:eastAsia="zh-CN"/>
              </w:rPr>
              <w:t>a</w:t>
            </w:r>
            <w:proofErr w:type="gramEnd"/>
            <w:r w:rsidR="00DC0B20">
              <w:rPr>
                <w:rFonts w:eastAsiaTheme="minorEastAsia"/>
                <w:lang w:eastAsia="zh-CN"/>
              </w:rPr>
              <w:t xml:space="preserve">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af5"/>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405C95">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405C95">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405C95">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405C95">
            <w:pPr>
              <w:spacing w:after="0"/>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405C95">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231410">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405C95">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405C95">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e.g.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27B8CDF9" w:rsidR="00750C6D" w:rsidRDefault="00750C6D" w:rsidP="00750C6D">
            <w:pPr>
              <w:spacing w:after="0"/>
              <w:rPr>
                <w:rFonts w:eastAsia="MS Mincho"/>
                <w:bCs/>
                <w:lang w:eastAsia="ja-JP"/>
              </w:rPr>
            </w:pPr>
          </w:p>
        </w:tc>
        <w:tc>
          <w:tcPr>
            <w:tcW w:w="3870" w:type="dxa"/>
            <w:shd w:val="clear" w:color="auto" w:fill="auto"/>
          </w:tcPr>
          <w:p w14:paraId="6448508A" w14:textId="049A1F8B" w:rsidR="00750C6D" w:rsidRDefault="00750C6D" w:rsidP="00750C6D">
            <w:pPr>
              <w:spacing w:after="0"/>
              <w:rPr>
                <w:rFonts w:eastAsia="MS Mincho"/>
                <w:lang w:eastAsia="ja-JP"/>
              </w:rPr>
            </w:pPr>
          </w:p>
        </w:tc>
        <w:tc>
          <w:tcPr>
            <w:tcW w:w="4584" w:type="dxa"/>
          </w:tcPr>
          <w:p w14:paraId="4546ADC7" w14:textId="77777777" w:rsidR="00750C6D" w:rsidRDefault="00750C6D" w:rsidP="00750C6D">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405C95">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405C95">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405C95">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405C95">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405C95">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405C95">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405C95">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231410">
            <w:pPr>
              <w:pStyle w:val="afb"/>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b"/>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w:t>
            </w:r>
            <w:proofErr w:type="gramStart"/>
            <w:r w:rsidRPr="007365DD">
              <w:rPr>
                <w:rFonts w:ascii="Times New Roman" w:eastAsiaTheme="minorEastAsia" w:hAnsi="Times New Roman"/>
                <w:sz w:val="20"/>
                <w:lang w:eastAsia="zh-CN"/>
              </w:rPr>
              <w:t>need</w:t>
            </w:r>
            <w:proofErr w:type="gramEnd"/>
            <w:r w:rsidRPr="007365DD">
              <w:rPr>
                <w:rFonts w:ascii="Times New Roman" w:eastAsiaTheme="minorEastAsia" w:hAnsi="Times New Roman"/>
                <w:sz w:val="20"/>
                <w:lang w:eastAsia="zh-CN"/>
              </w:rPr>
              <w:t xml:space="preserve">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454" w:type="dxa"/>
          </w:tcPr>
          <w:p w14:paraId="66409402" w14:textId="7085FE20" w:rsidR="008B19FA" w:rsidRDefault="008B19FA" w:rsidP="00405C95">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8B19FA" w14:paraId="562FA4F2" w14:textId="77777777" w:rsidTr="009273D2">
        <w:tc>
          <w:tcPr>
            <w:tcW w:w="1435" w:type="dxa"/>
            <w:shd w:val="clear" w:color="auto" w:fill="auto"/>
          </w:tcPr>
          <w:p w14:paraId="471AB09A" w14:textId="77777777" w:rsidR="008B19FA" w:rsidRDefault="008B19FA" w:rsidP="00405C95">
            <w:pPr>
              <w:spacing w:before="0" w:after="0"/>
              <w:rPr>
                <w:rFonts w:eastAsia="MS Mincho"/>
                <w:bCs/>
                <w:lang w:eastAsia="ja-JP"/>
              </w:rPr>
            </w:pPr>
          </w:p>
        </w:tc>
        <w:tc>
          <w:tcPr>
            <w:tcW w:w="8454" w:type="dxa"/>
            <w:shd w:val="clear" w:color="auto" w:fill="auto"/>
          </w:tcPr>
          <w:p w14:paraId="25E82712" w14:textId="77777777" w:rsidR="008B19FA" w:rsidRDefault="008B19FA" w:rsidP="00405C95">
            <w:pPr>
              <w:spacing w:after="0"/>
              <w:rPr>
                <w:rFonts w:eastAsia="MS Mincho"/>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af5"/>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405C95">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405C95">
            <w:pPr>
              <w:spacing w:after="0"/>
              <w:rPr>
                <w:rFonts w:eastAsia="MS Mincho"/>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405C95">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405C95">
            <w:pPr>
              <w:spacing w:after="0"/>
              <w:rPr>
                <w:rFonts w:eastAsia="MS Mincho"/>
                <w:lang w:eastAsia="ja-JP"/>
              </w:rPr>
            </w:pPr>
          </w:p>
        </w:tc>
      </w:tr>
      <w:tr w:rsidR="007475EE" w14:paraId="6B9A5C82" w14:textId="77777777" w:rsidTr="00405C95">
        <w:tc>
          <w:tcPr>
            <w:tcW w:w="1435" w:type="dxa"/>
            <w:shd w:val="clear" w:color="auto" w:fill="auto"/>
          </w:tcPr>
          <w:p w14:paraId="44474E5C" w14:textId="276781E5" w:rsidR="007475EE" w:rsidRDefault="007475EE" w:rsidP="00405C9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405C95">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405C95">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405C95">
        <w:tc>
          <w:tcPr>
            <w:tcW w:w="1435" w:type="dxa"/>
            <w:shd w:val="clear" w:color="auto" w:fill="auto"/>
          </w:tcPr>
          <w:p w14:paraId="07404071" w14:textId="3E78CDF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405C95">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231410">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405C95">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405C95">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405C95">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405C95">
        <w:tc>
          <w:tcPr>
            <w:tcW w:w="1435" w:type="dxa"/>
            <w:shd w:val="clear" w:color="auto" w:fill="auto"/>
          </w:tcPr>
          <w:p w14:paraId="416192C3" w14:textId="7BE32737" w:rsidR="00372BCA" w:rsidRDefault="00372BCA" w:rsidP="00372BCA">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hint="eastAsia"/>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w:t>
            </w:r>
            <w:bookmarkStart w:id="18" w:name="_GoBack"/>
            <w:bookmarkEnd w:id="18"/>
            <w:r w:rsidRPr="00F136CD">
              <w:rPr>
                <w:rFonts w:ascii="Times New Roman" w:eastAsiaTheme="minorEastAsia" w:hAnsi="Times New Roman"/>
                <w:sz w:val="20"/>
                <w:szCs w:val="20"/>
                <w:lang w:eastAsia="zh-CN"/>
              </w:rPr>
              <w:t xml:space="preserve"> interval is the configured window length, and the hopping pattern is determined using opt-2.</w:t>
            </w:r>
          </w:p>
        </w:tc>
      </w:tr>
    </w:tbl>
    <w:p w14:paraId="67731BCD" w14:textId="77777777" w:rsidR="008B19FA" w:rsidRDefault="008B19FA">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1" w:name="_Ref83825062"/>
      <w:bookmarkStart w:id="22" w:name="_Ref86918459"/>
      <w:r>
        <w:rPr>
          <w:lang w:val="en-GB"/>
        </w:rPr>
        <w:t>R1-2111030</w:t>
      </w:r>
      <w:r>
        <w:t xml:space="preserve"> Proposal </w:t>
      </w:r>
      <w:r w:rsidR="00965017">
        <w:fldChar w:fldCharType="begin"/>
      </w:r>
      <w:r w:rsidR="00965017">
        <w:instrText xml:space="preserve"> SEQ Proposal \* ARABIC </w:instrText>
      </w:r>
      <w:r w:rsidR="00965017">
        <w:fldChar w:fldCharType="separate"/>
      </w:r>
      <w:r>
        <w:t>3</w:t>
      </w:r>
      <w:r w:rsidR="00965017">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965017">
            <w:pPr>
              <w:spacing w:before="0" w:after="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965017">
            <w:pPr>
              <w:spacing w:before="0" w:after="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965017">
            <w:pPr>
              <w:spacing w:before="0" w:after="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965017">
            <w:pPr>
              <w:spacing w:before="0" w:after="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965017">
            <w:pPr>
              <w:spacing w:before="0" w:after="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965017">
            <w:pPr>
              <w:spacing w:before="0" w:after="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965017">
            <w:pPr>
              <w:spacing w:before="0" w:after="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965017">
            <w:pPr>
              <w:spacing w:before="0" w:after="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965017">
            <w:pPr>
              <w:spacing w:before="0" w:after="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965017">
            <w:pPr>
              <w:spacing w:before="0" w:after="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965017">
            <w:pPr>
              <w:spacing w:before="0" w:after="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965017">
            <w:pPr>
              <w:spacing w:before="0" w:after="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965017">
            <w:pPr>
              <w:spacing w:before="0" w:after="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965017">
            <w:pPr>
              <w:spacing w:before="0" w:after="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965017">
            <w:pPr>
              <w:spacing w:before="0" w:after="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965017">
            <w:pPr>
              <w:spacing w:before="0" w:after="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965017">
            <w:pPr>
              <w:spacing w:before="0" w:after="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965017">
            <w:pPr>
              <w:spacing w:before="0" w:after="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965017">
            <w:pPr>
              <w:spacing w:before="0" w:after="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965017">
            <w:pPr>
              <w:spacing w:before="0" w:after="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965017">
            <w:pPr>
              <w:spacing w:before="0" w:after="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965017">
            <w:pPr>
              <w:spacing w:before="0" w:after="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965017">
            <w:pPr>
              <w:spacing w:before="0" w:after="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965017">
            <w:pPr>
              <w:spacing w:before="0" w:after="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27F1F" w14:textId="77777777" w:rsidR="00965017" w:rsidRDefault="00965017">
      <w:pPr>
        <w:spacing w:line="240" w:lineRule="auto"/>
      </w:pPr>
      <w:r>
        <w:separator/>
      </w:r>
    </w:p>
  </w:endnote>
  <w:endnote w:type="continuationSeparator" w:id="0">
    <w:p w14:paraId="555D2AA2" w14:textId="77777777" w:rsidR="00965017" w:rsidRDefault="00965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3318" w14:textId="77777777" w:rsidR="007B310E" w:rsidRDefault="007B310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7B310E" w:rsidRDefault="007B310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BD9A" w14:textId="7902941E" w:rsidR="007B310E" w:rsidRDefault="007B310E">
    <w:pPr>
      <w:pStyle w:val="ad"/>
      <w:ind w:right="360"/>
    </w:pPr>
    <w:r>
      <w:rPr>
        <w:rStyle w:val="af6"/>
      </w:rPr>
      <w:fldChar w:fldCharType="begin"/>
    </w:r>
    <w:r>
      <w:rPr>
        <w:rStyle w:val="af6"/>
      </w:rPr>
      <w:instrText xml:space="preserve"> PAGE </w:instrText>
    </w:r>
    <w:r>
      <w:rPr>
        <w:rStyle w:val="af6"/>
      </w:rPr>
      <w:fldChar w:fldCharType="separate"/>
    </w:r>
    <w:r w:rsidR="00067930">
      <w:rPr>
        <w:rStyle w:val="af6"/>
        <w:noProof/>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67930">
      <w:rPr>
        <w:rStyle w:val="af6"/>
        <w:noProof/>
      </w:rPr>
      <w:t>28</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10A8C" w14:textId="77777777" w:rsidR="00965017" w:rsidRDefault="00965017">
      <w:pPr>
        <w:spacing w:after="0" w:line="240" w:lineRule="auto"/>
      </w:pPr>
      <w:r>
        <w:separator/>
      </w:r>
    </w:p>
  </w:footnote>
  <w:footnote w:type="continuationSeparator" w:id="0">
    <w:p w14:paraId="72BC7225" w14:textId="77777777" w:rsidR="00965017" w:rsidRDefault="00965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3"/>
  </w:num>
  <w:num w:numId="7">
    <w:abstractNumId w:val="21"/>
  </w:num>
  <w:num w:numId="8">
    <w:abstractNumId w:val="15"/>
  </w:num>
  <w:num w:numId="9">
    <w:abstractNumId w:val="19"/>
  </w:num>
  <w:num w:numId="10">
    <w:abstractNumId w:val="1"/>
  </w:num>
  <w:num w:numId="11">
    <w:abstractNumId w:val="10"/>
  </w:num>
  <w:num w:numId="12">
    <w:abstractNumId w:val="20"/>
  </w:num>
  <w:num w:numId="13">
    <w:abstractNumId w:val="29"/>
  </w:num>
  <w:num w:numId="14">
    <w:abstractNumId w:val="22"/>
  </w:num>
  <w:num w:numId="15">
    <w:abstractNumId w:val="12"/>
  </w:num>
  <w:num w:numId="16">
    <w:abstractNumId w:val="24"/>
  </w:num>
  <w:num w:numId="17">
    <w:abstractNumId w:val="3"/>
  </w:num>
  <w:num w:numId="18">
    <w:abstractNumId w:val="16"/>
  </w:num>
  <w:num w:numId="19">
    <w:abstractNumId w:val="0"/>
  </w:num>
  <w:num w:numId="20">
    <w:abstractNumId w:val="26"/>
  </w:num>
  <w:num w:numId="21">
    <w:abstractNumId w:val="18"/>
  </w:num>
  <w:num w:numId="22">
    <w:abstractNumId w:val="6"/>
  </w:num>
  <w:num w:numId="23">
    <w:abstractNumId w:val="13"/>
  </w:num>
  <w:num w:numId="24">
    <w:abstractNumId w:val="8"/>
  </w:num>
  <w:num w:numId="25">
    <w:abstractNumId w:val="28"/>
  </w:num>
  <w:num w:numId="26">
    <w:abstractNumId w:val="25"/>
  </w:num>
  <w:num w:numId="27">
    <w:abstractNumId w:val="30"/>
  </w:num>
  <w:num w:numId="28">
    <w:abstractNumId w:val="5"/>
  </w:num>
  <w:num w:numId="29">
    <w:abstractNumId w:val="11"/>
  </w:num>
  <w:num w:numId="30">
    <w:abstractNumId w:val="2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F998A60C-E7E3-49EB-AAF8-5A0C4FF4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0233858-E0B6-40C1-890E-F9F8F289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10709</Words>
  <Characters>61045</Characters>
  <Application>Microsoft Office Word</Application>
  <DocSecurity>0</DocSecurity>
  <Lines>508</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11</cp:revision>
  <cp:lastPrinted>2014-11-07T05:38:00Z</cp:lastPrinted>
  <dcterms:created xsi:type="dcterms:W3CDTF">2021-11-16T07:28:00Z</dcterms:created>
  <dcterms:modified xsi:type="dcterms:W3CDTF">2021-11-16T07:31:00Z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