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Additionally, other options w.r.t.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r>
              <w:rPr>
                <w:rFonts w:hint="eastAsia"/>
                <w:lang w:eastAsia="zh-CN"/>
              </w:rPr>
              <w:t>Transsion</w:t>
            </w:r>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OptionA or Option B-rev1 and discuss which one can be acceptable and completed with minimized spec impact. </w:t>
            </w:r>
          </w:p>
          <w:p w14:paraId="22E379B3" w14:textId="77777777" w:rsidR="00D85314" w:rsidRDefault="0005540E">
            <w:pPr>
              <w:rPr>
                <w:lang w:eastAsia="zh-CN"/>
              </w:rPr>
            </w:pPr>
            <w:r w:rsidRPr="00BB4E12">
              <w:rPr>
                <w:lang w:eastAsia="zh-CN"/>
              </w:rPr>
              <w:t>In our view, the only difference of OptionA and Option B-rev is the handling of SS#0 adaptation due to UE mobility. To move forward, we suggest to adopt OptionA as a baseline and introdu</w:t>
            </w:r>
            <w:r>
              <w:rPr>
                <w:lang w:eastAsia="zh-CN"/>
              </w:rPr>
              <w:t xml:space="preserve">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ZTE, Sanechips</w:t>
            </w:r>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r w:rsidRPr="00E44C04">
              <w:rPr>
                <w:b/>
                <w:i/>
                <w:lang w:eastAsia="zh-CN"/>
              </w:rPr>
              <w:t>k+a</w:t>
            </w:r>
            <w:r w:rsidRPr="00D7549F">
              <w:rPr>
                <w:lang w:eastAsia="zh-CN"/>
              </w:rPr>
              <w:t xml:space="preserve"> within the slot-group, the (</w:t>
            </w:r>
            <w:r w:rsidRPr="00E44C04">
              <w:rPr>
                <w:b/>
                <w:i/>
                <w:lang w:eastAsia="zh-CN"/>
              </w:rPr>
              <w:t>m+1</w:t>
            </w:r>
            <w:r w:rsidRPr="00D7549F">
              <w:rPr>
                <w:lang w:eastAsia="zh-CN"/>
              </w:rPr>
              <w:t xml:space="preserve">)-th slot index (starting from slot n0) within Y slots can be defined as </w:t>
            </w:r>
            <w:r w:rsidRPr="00E44C04">
              <w:rPr>
                <w:b/>
                <w:i/>
                <w:lang w:eastAsia="zh-CN"/>
              </w:rPr>
              <w:t>k+mod(a+m,X)</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16"/>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uawei, HiSilicon</w:t>
            </w:r>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r w:rsidRPr="00D47AEB">
              <w:rPr>
                <w:i/>
                <w:iCs/>
                <w:lang w:eastAsia="zh-CN"/>
              </w:rPr>
              <w:t>searchSpaceId</w:t>
            </w:r>
            <w:r w:rsidRPr="00D47AEB">
              <w:rPr>
                <w:lang w:eastAsia="zh-CN"/>
              </w:rPr>
              <w:t xml:space="preserve"> (which is a more useful configuration compared to configuring with </w:t>
            </w:r>
            <w:r w:rsidRPr="00D47AEB">
              <w:rPr>
                <w:i/>
                <w:iCs/>
                <w:lang w:eastAsia="zh-CN"/>
              </w:rPr>
              <w:t>searchSpaceId</w:t>
            </w:r>
            <w:r w:rsidRPr="00D47AEB">
              <w:rPr>
                <w:lang w:eastAsia="zh-CN"/>
              </w:rPr>
              <w:t xml:space="preserve"> = 0). According to the current spec, the monitoring occasions are defined differently for these two cases. For the case of </w:t>
            </w:r>
            <w:r w:rsidRPr="00D47AEB">
              <w:rPr>
                <w:i/>
                <w:iCs/>
                <w:lang w:eastAsia="zh-CN"/>
              </w:rPr>
              <w:t>searchSpaceId</w:t>
            </w:r>
            <w:r w:rsidRPr="00D47AEB">
              <w:rPr>
                <w:lang w:eastAsia="zh-CN"/>
              </w:rPr>
              <w:t xml:space="preserve"> = 0, the MOs occur in slots {n0,n0+1}. However, for case of nonzero </w:t>
            </w:r>
            <w:r w:rsidRPr="00D47AEB">
              <w:rPr>
                <w:i/>
                <w:iCs/>
                <w:lang w:eastAsia="zh-CN"/>
              </w:rPr>
              <w:t>searchSpaceId</w:t>
            </w:r>
            <w:r w:rsidRPr="00D47AEB">
              <w:rPr>
                <w:lang w:eastAsia="zh-CN"/>
              </w:rPr>
              <w:t xml:space="preserve">, the MOs are defined by a periodicity, offset, and duration as is configured in the </w:t>
            </w:r>
            <w:r w:rsidRPr="00D47AEB">
              <w:rPr>
                <w:i/>
                <w:iCs/>
                <w:lang w:eastAsia="zh-CN"/>
              </w:rPr>
              <w:t>SearchSpace</w:t>
            </w:r>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r w:rsidRPr="00D47AEB">
              <w:rPr>
                <w:i/>
                <w:iCs/>
                <w:lang w:eastAsia="zh-CN"/>
              </w:rPr>
              <w:t>searchSpaceId</w:t>
            </w:r>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sidRPr="00D47AEB">
              <w:rPr>
                <w:rFonts w:ascii="Times New Roman" w:hAnsi="Times New Roman"/>
                <w:i/>
                <w:iCs/>
                <w:lang w:eastAsia="zh-CN"/>
              </w:rPr>
              <w:t>searchSpaceId</w:t>
            </w:r>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r w:rsidRPr="00D47AEB">
              <w:rPr>
                <w:i/>
                <w:iCs/>
                <w:lang w:eastAsia="zh-CN"/>
              </w:rPr>
              <w:t>searchSpaceId</w:t>
            </w:r>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r w:rsidRPr="00D47AEB">
              <w:rPr>
                <w:rFonts w:ascii="Times New Roman" w:hAnsi="Times New Roman"/>
                <w:i/>
                <w:iCs/>
                <w:color w:val="FF0000"/>
                <w:lang w:val="en-GB"/>
              </w:rPr>
              <w:t>searchSpacedId</w:t>
            </w:r>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r w:rsidRPr="00D47AEB">
              <w:rPr>
                <w:rFonts w:ascii="Times New Roman" w:hAnsi="Times New Roman"/>
                <w:strike/>
                <w:color w:val="FF0000"/>
              </w:rPr>
              <w:t xml:space="preserve">hich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r w:rsidRPr="00D47AEB">
              <w:rPr>
                <w:rFonts w:ascii="Times New Roman" w:hAnsi="Times New Roman"/>
                <w:i/>
                <w:iCs/>
                <w:strike/>
                <w:color w:val="FF0000"/>
              </w:rPr>
              <w:t>monitoringSymbolsWithinSlot</w:t>
            </w:r>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capability(ies)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r w:rsidRPr="00B33542">
              <w:rPr>
                <w:i/>
                <w:iCs/>
                <w:color w:val="000000" w:themeColor="text1"/>
                <w:lang w:val="en-GB"/>
              </w:rPr>
              <w:t>searchSpacedId</w:t>
            </w:r>
            <w:r w:rsidRPr="00B33542">
              <w:rPr>
                <w:color w:val="000000" w:themeColor="text1"/>
                <w:lang w:val="en-GB"/>
              </w:rPr>
              <w:t xml:space="preserve"> = 0) and YGroup2 (Type0A/2-CSS if </w:t>
            </w:r>
            <w:r w:rsidRPr="00B33542">
              <w:rPr>
                <w:i/>
                <w:iCs/>
                <w:color w:val="000000" w:themeColor="text1"/>
                <w:lang w:val="en-GB"/>
              </w:rPr>
              <w:t>searchSpacedId</w:t>
            </w:r>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r w:rsidRPr="00B33542">
              <w:rPr>
                <w:i/>
                <w:iCs/>
                <w:color w:val="000000" w:themeColor="text1"/>
                <w:lang w:val="en-GB"/>
              </w:rPr>
              <w:t>searchSpacedId</w:t>
            </w:r>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ZTE, Sanechips</w:t>
            </w:r>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uawei, HiSilicon</w:t>
            </w:r>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uawei, HiSilicon</w:t>
            </w:r>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ZTE, Sanechips</w:t>
            </w:r>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uawei, HiSilicon</w:t>
            </w:r>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ZTE, Sanechips</w:t>
            </w:r>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Huawei, HiSilicon</w:t>
            </w:r>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r>
              <w:rPr>
                <w:lang w:eastAsia="zh-CN"/>
              </w:rPr>
              <w:t>We d not support this proposal as YGroup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w:t>
      </w:r>
      <w:r w:rsidR="004E43C5">
        <w:rPr>
          <w:rFonts w:eastAsia="Calibri" w:cs="Arial"/>
          <w:lang w:val="en-GB" w:eastAsia="ja-JP"/>
        </w:rPr>
        <w:t>c</w:t>
      </w:r>
      <w:r>
        <w:rPr>
          <w:rFonts w:eastAsia="Calibri" w:cs="Arial"/>
          <w:lang w:val="en-GB" w:eastAsia="ja-JP"/>
        </w:rPr>
        <w:t>ell/PSCell if the P</w:t>
      </w:r>
      <w:r w:rsidR="00FC12A8">
        <w:rPr>
          <w:rFonts w:eastAsia="Calibri" w:cs="Arial"/>
          <w:lang w:val="en-GB" w:eastAsia="ja-JP"/>
        </w:rPr>
        <w:t>c</w:t>
      </w:r>
      <w:r>
        <w:rPr>
          <w:rFonts w:eastAsia="Calibri" w:cs="Arial"/>
          <w:lang w:val="en-GB" w:eastAsia="ja-JP"/>
        </w:rPr>
        <w:t xml:space="preserve">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ell/PSCell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ZTE, Sanechips</w:t>
            </w:r>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uawei, HiSilicon</w:t>
            </w:r>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SearchSpaceID non-zero cannot be configured in Ygroup2 slots in X-slot </w:t>
            </w:r>
            <w:r w:rsidR="004E43C5">
              <w:rPr>
                <w:lang w:eastAsia="zh-CN"/>
              </w:rPr>
              <w:pgNum/>
            </w:r>
            <w:r w:rsidR="004E43C5">
              <w:rPr>
                <w:lang w:eastAsia="zh-CN"/>
              </w:rPr>
              <w:t>roup</w:t>
            </w:r>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r w:rsidRPr="00AA3051">
              <w:rPr>
                <w:i/>
              </w:rPr>
              <w:t>ssb-PositionsInBurst</w:t>
            </w:r>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uawei, HiSilicon</w:t>
            </w:r>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We support the YGroup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32B88FD"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The maximum number of monitored slots for PDCCH in a slot group is restricted to Y</w:t>
            </w:r>
            <w:r w:rsidRPr="00014CAE">
              <w:rPr>
                <w:color w:val="000000" w:themeColor="text1"/>
                <w:vertAlign w:val="subscript"/>
              </w:rPr>
              <w:t>Total</w:t>
            </w:r>
          </w:p>
          <w:p w14:paraId="1017BDC7" w14:textId="77777777" w:rsidR="00BD01C1" w:rsidRPr="00014CAE" w:rsidRDefault="00BD01C1" w:rsidP="00BD01C1">
            <w:pPr>
              <w:pStyle w:val="ListParagraph"/>
              <w:numPr>
                <w:ilvl w:val="2"/>
                <w:numId w:val="16"/>
              </w:numPr>
              <w:spacing w:line="240" w:lineRule="auto"/>
              <w:rPr>
                <w:color w:val="000000" w:themeColor="text1"/>
              </w:rPr>
            </w:pPr>
            <w:r w:rsidRPr="00014CAE">
              <w:rPr>
                <w:color w:val="000000" w:themeColor="text1"/>
              </w:rPr>
              <w:t>Y</w:t>
            </w:r>
            <w:r w:rsidRPr="00014CAE">
              <w:rPr>
                <w:color w:val="000000" w:themeColor="text1"/>
                <w:vertAlign w:val="subscript"/>
              </w:rPr>
              <w:t>Total</w:t>
            </w:r>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Y</w:t>
            </w:r>
            <w:r w:rsidRPr="00014CAE">
              <w:rPr>
                <w:color w:val="FF0000"/>
                <w:vertAlign w:val="subscript"/>
              </w:rPr>
              <w:t>Total</w:t>
            </w:r>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Y</w:t>
            </w:r>
            <w:r w:rsidRPr="00BD01C1">
              <w:rPr>
                <w:color w:val="000000" w:themeColor="text1"/>
                <w:vertAlign w:val="subscript"/>
              </w:rPr>
              <w:t>Total</w:t>
            </w:r>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r w:rsidRPr="000E3724">
              <w:t>ype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Type0 and Type0A/2-CSS with searchSpaceId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searchSpacedId</w:t>
            </w:r>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ListParagraph"/>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ListParagraph"/>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ListParagraph"/>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ListParagraph"/>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ListParagraph"/>
              <w:ind w:left="0"/>
              <w:rPr>
                <w:lang w:eastAsia="zh-CN"/>
              </w:rPr>
            </w:pPr>
          </w:p>
          <w:p w14:paraId="5F84E9FD" w14:textId="5364DB7F" w:rsidR="00BD0946" w:rsidRDefault="00A57E49" w:rsidP="00B04F8C">
            <w:pPr>
              <w:pStyle w:val="ListParagraph"/>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ListParagraph"/>
              <w:ind w:left="0"/>
              <w:rPr>
                <w:lang w:eastAsia="zh-CN"/>
              </w:rPr>
            </w:pPr>
          </w:p>
          <w:p w14:paraId="2A8795A0" w14:textId="28444376" w:rsidR="003F0819" w:rsidRDefault="00AD1617" w:rsidP="00B04F8C">
            <w:pPr>
              <w:pStyle w:val="ListParagraph"/>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ListParagraph"/>
              <w:numPr>
                <w:ilvl w:val="3"/>
                <w:numId w:val="16"/>
              </w:numPr>
              <w:rPr>
                <w:lang w:val="en-GB"/>
              </w:rPr>
            </w:pPr>
            <w:r>
              <w:rPr>
                <w:lang w:val="en-GB"/>
              </w:rPr>
              <w:t>A UE capable of multi-slot monitoring optionally supports</w:t>
            </w:r>
          </w:p>
          <w:p w14:paraId="26EA0F85" w14:textId="56785EAF" w:rsidR="00846D76" w:rsidRDefault="00846D76" w:rsidP="00846D76">
            <w:pPr>
              <w:pStyle w:val="ListParagraph"/>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ListParagraph"/>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ListParagraph"/>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27020DD4" w14:textId="77777777" w:rsidR="00986282" w:rsidRDefault="00986282" w:rsidP="0098628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sidRPr="000F5606">
              <w:rPr>
                <w:rFonts w:eastAsia="MS Mincho"/>
                <w:i/>
                <w:iCs/>
                <w:lang w:eastAsia="ja-JP"/>
              </w:rPr>
              <w:t>searchSpaceId</w:t>
            </w:r>
            <w:r>
              <w:rPr>
                <w:rFonts w:eastAsia="MS Mincho"/>
                <w:lang w:eastAsia="ja-JP"/>
              </w:rPr>
              <w:t xml:space="preserve"> =0.</w:t>
            </w:r>
          </w:p>
          <w:p w14:paraId="14D93790" w14:textId="77777777" w:rsidR="00986282" w:rsidRDefault="00986282" w:rsidP="0098628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ListParagraph"/>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ListParagraph"/>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ListParagraph"/>
              <w:numPr>
                <w:ilvl w:val="3"/>
                <w:numId w:val="16"/>
              </w:numPr>
              <w:rPr>
                <w:lang w:val="en-GB"/>
              </w:rPr>
            </w:pPr>
            <w:r w:rsidRPr="00986282">
              <w:rPr>
                <w:strike/>
                <w:color w:val="FF0000"/>
                <w:lang w:val="en-GB"/>
              </w:rPr>
              <w:t>For Y&gt;1: FG3-1 (monitoring Group(1) SSs in the first 3 OFDM symbols of each of the Y slots)</w:t>
            </w:r>
          </w:p>
        </w:tc>
      </w:tr>
      <w:tr w:rsidR="004E56E4" w:rsidRPr="006B4E81" w14:paraId="72B197F5" w14:textId="77777777" w:rsidTr="006B4E81">
        <w:tc>
          <w:tcPr>
            <w:tcW w:w="2405" w:type="dxa"/>
          </w:tcPr>
          <w:p w14:paraId="0C605D3D" w14:textId="40AC5E16" w:rsidR="004E56E4" w:rsidRDefault="004E56E4" w:rsidP="00986282">
            <w:pPr>
              <w:rPr>
                <w:rFonts w:eastAsia="MS Mincho" w:hint="eastAsia"/>
                <w:lang w:eastAsia="ja-JP"/>
              </w:rPr>
            </w:pPr>
            <w:r>
              <w:rPr>
                <w:rFonts w:eastAsia="MS Mincho"/>
                <w:lang w:eastAsia="ja-JP"/>
              </w:rPr>
              <w:t>Lenovo, Motorola Mobility</w:t>
            </w:r>
          </w:p>
        </w:tc>
        <w:tc>
          <w:tcPr>
            <w:tcW w:w="12176" w:type="dxa"/>
          </w:tcPr>
          <w:p w14:paraId="67E5B730" w14:textId="68A7FC63" w:rsidR="004E56E4" w:rsidRDefault="008758F0" w:rsidP="0098628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For NR Rel-17 U</w:t>
      </w:r>
      <w:r w:rsidR="004E43C5">
        <w:t>e</w:t>
      </w:r>
      <w:r>
        <w:t>s,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lastRenderedPageBreak/>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r>
              <w:rPr>
                <w:rFonts w:hint="eastAsia"/>
                <w:sz w:val="20"/>
                <w:lang w:eastAsia="zh-CN"/>
              </w:rPr>
              <w:t>Transsion</w:t>
            </w:r>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ZTE, Sanechips</w:t>
            </w:r>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uawei, HiSilicon</w:t>
            </w:r>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lastRenderedPageBreak/>
              <w:t xml:space="preserve">If a UE is provided </w:t>
            </w:r>
            <w:r w:rsidRPr="00B16408">
              <w:rPr>
                <w:i/>
                <w:sz w:val="18"/>
              </w:rPr>
              <w:t>monitoringCapabilityConfig</w:t>
            </w:r>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r w:rsidRPr="00B16408">
              <w:rPr>
                <w:i/>
                <w:sz w:val="15"/>
              </w:rPr>
              <w:t>monitoringcapability</w:t>
            </w:r>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r w:rsidRPr="00B16408">
              <w:rPr>
                <w:i/>
                <w:sz w:val="18"/>
              </w:rPr>
              <w:t>monitoringCapabilityConfig</w:t>
            </w:r>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r w:rsidR="00B16408" w:rsidRPr="00B16408">
              <w:rPr>
                <w:i/>
                <w:sz w:val="20"/>
                <w:lang w:eastAsia="zh-CN"/>
              </w:rPr>
              <w:t>monitoringCapabilityConfig</w:t>
            </w:r>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fldSimple w:instr=" SEQ Proposal \* ARABIC ">
              <w:r>
                <w:t>3</w:t>
              </w:r>
            </w:fldSimple>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fldSimple w:instr=" SEQ Proposal \* ARABIC ">
              <w:r>
                <w:t>4</w:t>
              </w:r>
            </w:fldSimple>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It is therefore suggested to continue discussion based on vivo's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Companies are requested to continue the discussion based on vivo's updated suggestion:</w:t>
      </w:r>
    </w:p>
    <w:p w14:paraId="61CBE6F1" w14:textId="02689A06" w:rsidR="006B4E81" w:rsidRDefault="006B4E81" w:rsidP="006B4E81">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lastRenderedPageBreak/>
              <w:t>Qualcomm</w:t>
            </w:r>
          </w:p>
        </w:tc>
        <w:tc>
          <w:tcPr>
            <w:tcW w:w="12176" w:type="dxa"/>
          </w:tcPr>
          <w:p w14:paraId="1AAA31B5" w14:textId="1949B6EE" w:rsidR="00DE3F08" w:rsidRDefault="00DE3F08" w:rsidP="00DE3F08">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6EDEDCFC" w14:textId="11F0A587" w:rsidR="00986282" w:rsidRDefault="00986282" w:rsidP="0098628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r>
              <w:rPr>
                <w:rFonts w:hint="eastAsia"/>
                <w:sz w:val="20"/>
                <w:lang w:eastAsia="zh-CN"/>
              </w:rPr>
              <w:t>Transsion</w:t>
            </w:r>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RRC_Idle.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ZTE, Sanechips</w:t>
            </w:r>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lastRenderedPageBreak/>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lastRenderedPageBreak/>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 xml:space="preserve">Our understanding is “offset” is used to define which slot a periodicity start. There is no need to change the unit of “offset”  to X slots, </w:t>
            </w:r>
            <w:r>
              <w:rPr>
                <w:lang w:eastAsia="zh-CN"/>
              </w:rPr>
              <w:lastRenderedPageBreak/>
              <w:t>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D85314" w14:paraId="0210280A" w14:textId="77777777">
        <w:tc>
          <w:tcPr>
            <w:tcW w:w="2405" w:type="dxa"/>
          </w:tcPr>
          <w:p w14:paraId="41A66929" w14:textId="77777777" w:rsidR="00D85314" w:rsidRDefault="0005540E">
            <w:pPr>
              <w:rPr>
                <w:lang w:eastAsia="zh-CN"/>
              </w:rPr>
            </w:pPr>
            <w:r>
              <w:rPr>
                <w:rFonts w:hint="eastAsia"/>
                <w:lang w:eastAsia="zh-CN"/>
              </w:rPr>
              <w:t>Transsion</w:t>
            </w:r>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ZTE, Sanechips</w:t>
            </w:r>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Please refer to our tdoc,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SearchSpaceID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lastRenderedPageBreak/>
              <w:t>H</w:t>
            </w:r>
            <w:r>
              <w:rPr>
                <w:lang w:eastAsia="zh-CN"/>
              </w:rPr>
              <w:t>uawei, HiSilicon</w:t>
            </w:r>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r w:rsidRPr="009D0644">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genenarl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4" o:title=""/>
          </v:shape>
          <o:OLEObject Type="Embed" ProgID="Visio.Drawing.11" ShapeID="_x0000_i1025" DrawAspect="Content" ObjectID="_1698558348" r:id="rId15"/>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lastRenderedPageBreak/>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lastRenderedPageBreak/>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18E0F0A" w14:textId="59F42B3D" w:rsidR="00986282" w:rsidRDefault="00986282" w:rsidP="00986282">
            <w:pPr>
              <w:rPr>
                <w:lang w:eastAsia="zh-CN"/>
              </w:rPr>
            </w:pPr>
            <w:r>
              <w:rPr>
                <w:rFonts w:eastAsia="MS Mincho"/>
                <w:lang w:eastAsia="ja-JP"/>
              </w:rPr>
              <w:t>We are willing to accept smaller values than that we proposed, i.e., 25 symbols for 120 kHz SCS is fine for us.</w:t>
            </w: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lastRenderedPageBreak/>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lastRenderedPageBreak/>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lastRenderedPageBreak/>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ListParagraph"/>
        <w:spacing w:after="160"/>
        <w:ind w:left="0"/>
        <w:jc w:val="center"/>
      </w:pPr>
      <w:r>
        <w:rPr>
          <w:noProof/>
        </w:rPr>
        <w:object w:dxaOrig="10396" w:dyaOrig="3927" w14:anchorId="0C98362C">
          <v:shape id="_x0000_i1026" type="#_x0000_t75" alt="" style="width:518.5pt;height:197.2pt;mso-width-percent:0;mso-height-percent:0;mso-width-percent:0;mso-height-percent:0" o:ole="">
            <v:imagedata r:id="rId16" o:title=""/>
          </v:shape>
          <o:OLEObject Type="Embed" ProgID="Visio.Drawing.15" ShapeID="_x0000_i1026" DrawAspect="Content" ObjectID="_1698558349" r:id="rId17"/>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lastRenderedPageBreak/>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lastRenderedPageBreak/>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F49AC44" w14:textId="5B3027DD" w:rsidR="00986282" w:rsidRDefault="00986282" w:rsidP="00986282">
            <w:pPr>
              <w:rPr>
                <w:lang w:eastAsia="zh-CN"/>
              </w:rPr>
            </w:pPr>
            <w:r>
              <w:rPr>
                <w:rFonts w:eastAsia="MS Mincho"/>
                <w:lang w:eastAsia="ja-JP"/>
              </w:rPr>
              <w:t xml:space="preserve">In general, we support cross-carrier scheduling </w:t>
            </w:r>
            <w:r w:rsidRPr="00A11EA4">
              <w:rPr>
                <w:rFonts w:eastAsia="MS Mincho"/>
                <w:lang w:eastAsia="ja-JP"/>
              </w:rPr>
              <w:t>of a cell within 52.6-71 GHz from/to a cell outside 52.6-71 GHz</w:t>
            </w:r>
            <w:r>
              <w:rPr>
                <w:rFonts w:eastAsia="MS Mincho"/>
                <w:lang w:eastAsia="ja-JP"/>
              </w:rPr>
              <w:t xml:space="preserve">.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bl>
    <w:p w14:paraId="1AF98390" w14:textId="77777777" w:rsidR="005157C5" w:rsidRDefault="005157C5" w:rsidP="005408E0"/>
    <w:p w14:paraId="2E5E6AF0" w14:textId="77777777" w:rsidR="00D85314" w:rsidRDefault="0005540E">
      <w:pPr>
        <w:pStyle w:val="Heading1"/>
      </w:pPr>
      <w:r>
        <w:lastRenderedPageBreak/>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lastRenderedPageBreak/>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lastRenderedPageBreak/>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1" w:name="_Ref86676032"/>
            <w:bookmarkStart w:id="12" w:name="_Ref86678118"/>
            <w:bookmarkStart w:id="13" w:name="_Hlk62233360"/>
            <w:r>
              <w:t xml:space="preserve">Proposal </w:t>
            </w:r>
            <w:fldSimple w:instr=" SEQ Proposal \* ARABIC ">
              <w:r>
                <w:t>1</w:t>
              </w:r>
            </w:fldSimple>
            <w:bookmarkEnd w:id="11"/>
            <w:r>
              <w:t>: Consider the following options for further design of multi-slot PDCCH monitoring capability:</w:t>
            </w:r>
            <w:bookmarkEnd w:id="1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lastRenderedPageBreak/>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w:t>
            </w:r>
            <w:r>
              <w:rPr>
                <w:lang w:val="en-GB" w:eastAsia="zh-CN"/>
              </w:rPr>
              <w:lastRenderedPageBreak/>
              <w:t>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4" w:name="_Toc87014485"/>
            <w:bookmarkStart w:id="1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8"/>
          </w:p>
          <w:bookmarkStart w:id="19" w:name="_Toc87014492"/>
          <w:p w14:paraId="57A66CC8"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7014210"/>
            <w:bookmarkStart w:id="22" w:name="_Toc87014494"/>
            <w:bookmarkEnd w:id="2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2"/>
          </w:p>
          <w:bookmarkStart w:id="23" w:name="_Toc87014495"/>
          <w:p w14:paraId="52817752"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6"/>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8" w:name="_Hlk86949635"/>
            <w:r>
              <w:t xml:space="preserve">it can be easily configured in the Y consecutive slots for USS sets </w:t>
            </w:r>
            <w:bookmarkEnd w:id="2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7pt;height:109.6pt;mso-width-percent:0;mso-height-percent:0;mso-width-percent:0;mso-height-percent:0" o:ole="">
                  <v:imagedata r:id="rId21" o:title=""/>
                </v:shape>
                <o:OLEObject Type="Embed" ProgID="Visio.Drawing.15" ShapeID="_x0000_i1027" DrawAspect="Content" ObjectID="_1698558350"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1.05pt;height:170.35pt;mso-width-percent:0;mso-height-percent:0;mso-width-percent:0;mso-height-percent:0" o:ole="">
                  <v:imagedata r:id="rId23" o:title=""/>
                </v:shape>
                <o:OLEObject Type="Embed" ProgID="Visio.Drawing.15" ShapeID="_x0000_i1028" DrawAspect="Content" ObjectID="_1698558351"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2374A4">
            <w:pPr>
              <w:pStyle w:val="ListParagraph"/>
              <w:spacing w:after="160"/>
              <w:ind w:left="0"/>
              <w:jc w:val="center"/>
              <w:rPr>
                <w:lang w:eastAsia="zh-CN"/>
              </w:rPr>
            </w:pPr>
            <w:r>
              <w:rPr>
                <w:noProof/>
              </w:rPr>
              <w:object w:dxaOrig="9395" w:dyaOrig="5005" w14:anchorId="72247AFA">
                <v:shape id="_x0000_i1029" type="#_x0000_t75" alt="" style="width:470.15pt;height:252pt;mso-width-percent:0;mso-height-percent:0;mso-width-percent:0;mso-height-percent:0" o:ole="">
                  <v:imagedata r:id="rId25" o:title=""/>
                </v:shape>
                <o:OLEObject Type="Embed" ProgID="Visio.Drawing.15" ShapeID="_x0000_i1029" DrawAspect="Content" ObjectID="_1698558352" r:id="rId26"/>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9" w:name="OLE_LINK7"/>
            <w:r>
              <w:rPr>
                <w:rFonts w:hint="eastAsia"/>
                <w:bCs/>
                <w:iCs/>
                <w:szCs w:val="20"/>
                <w:lang w:eastAsia="zh-CN"/>
              </w:rPr>
              <w:t>the PDCCH monitoring occasion of Group 1</w:t>
            </w:r>
            <w:bookmarkEnd w:id="29"/>
            <w:r>
              <w:rPr>
                <w:rFonts w:hint="eastAsia"/>
                <w:bCs/>
                <w:iCs/>
                <w:szCs w:val="20"/>
                <w:lang w:eastAsia="zh-CN"/>
              </w:rPr>
              <w:t xml:space="preserve"> overlaps with the PDCCH monitoring occasion of Group 2, then only one slot is used to locate the PDCCH within a slot group. In such case, the minimum of </w:t>
            </w:r>
            <w:bookmarkStart w:id="30" w:name="OLE_LINK9"/>
            <w:r>
              <w:rPr>
                <w:rFonts w:hint="eastAsia"/>
                <w:bCs/>
                <w:iCs/>
                <w:szCs w:val="20"/>
                <w:lang w:eastAsia="zh-CN"/>
              </w:rPr>
              <w:t>Y</w:t>
            </w:r>
            <w:bookmarkEnd w:id="3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2374A4">
            <w:pPr>
              <w:pStyle w:val="BodyText"/>
              <w:rPr>
                <w:rFonts w:ascii="Times" w:hAnsi="Times"/>
                <w:szCs w:val="24"/>
              </w:rPr>
            </w:pPr>
            <w:r>
              <w:rPr>
                <w:noProof/>
              </w:rPr>
              <w:object w:dxaOrig="9633" w:dyaOrig="2249" w14:anchorId="66BE2FCB">
                <v:shape id="_x0000_i1030" type="#_x0000_t75" alt="" style="width:481.45pt;height:112.3pt;mso-width-percent:0;mso-height-percent:0;mso-width-percent:0;mso-height-percent:0" o:ole="">
                  <v:imagedata r:id="rId28" o:title=""/>
                </v:shape>
                <o:OLEObject Type="Embed" ProgID="Visio.Drawing.15" ShapeID="_x0000_i1030" DrawAspect="Content" ObjectID="_1698558353" r:id="rId29"/>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#4: Consider to configure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2" w:name="_Ref86702034"/>
            <w:r>
              <w:t xml:space="preserve">Observation </w:t>
            </w:r>
            <w:fldSimple w:instr=" SEQ Observation \* ARABIC ">
              <w:r>
                <w:t>1</w:t>
              </w:r>
            </w:fldSimple>
            <w:bookmarkEnd w:id="32"/>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3"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4" w:name="_Ref86699493"/>
            <w:bookmarkStart w:id="35" w:name="P_3"/>
            <w:bookmarkEnd w:id="33"/>
            <w:r>
              <w:t xml:space="preserve">Proposal </w:t>
            </w:r>
            <w:fldSimple w:instr=" SEQ Proposal \* ARABIC ">
              <w:r>
                <w:t>3</w:t>
              </w:r>
            </w:fldSimple>
            <w:bookmarkEnd w:id="34"/>
            <w:r>
              <w:t>: Monitoring of all Group (2) SS sets are restricted within Y</w:t>
            </w:r>
            <w:r>
              <w:rPr>
                <w:vertAlign w:val="subscript"/>
              </w:rPr>
              <w:t>Group2</w:t>
            </w:r>
            <w:r>
              <w:t xml:space="preserve"> = 1 slot within a slot group of X slots.</w:t>
            </w:r>
          </w:p>
          <w:bookmarkEnd w:id="3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6"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ListParagraph"/>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2374A4">
              <w:rPr>
                <w:noProof/>
              </w:rPr>
              <w:object w:dxaOrig="6753" w:dyaOrig="3103" w14:anchorId="6C59643D">
                <v:shape id="_x0000_i1031" type="#_x0000_t75" alt="" style="width:337.45pt;height:155.3pt;mso-width-percent:0;mso-height-percent:0;mso-width-percent:0;mso-height-percent:0" o:ole="">
                  <v:imagedata r:id="rId14" o:title=""/>
                </v:shape>
                <o:OLEObject Type="Embed" ProgID="Visio.Drawing.11" ShapeID="_x0000_i1031" DrawAspect="Content" ObjectID="_1698558354" r:id="rId33"/>
              </w:object>
            </w:r>
          </w:p>
          <w:p w14:paraId="1EA27984" w14:textId="77777777" w:rsidR="00D85314" w:rsidRDefault="0005540E">
            <w:pPr>
              <w:pStyle w:val="Caption"/>
              <w:rPr>
                <w:b w:val="0"/>
                <w:lang w:eastAsia="zh-CN"/>
              </w:rPr>
            </w:pPr>
            <w:bookmarkStart w:id="3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3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BodyText"/>
              <w:keepNext/>
              <w:jc w:val="center"/>
            </w:pPr>
            <w:r>
              <w:rPr>
                <w:noProof/>
              </w:rPr>
              <w:object w:dxaOrig="6361" w:dyaOrig="1979" w14:anchorId="057FA397">
                <v:shape id="_x0000_i1032" type="#_x0000_t75" alt="" style="width:318.1pt;height:99.4pt;mso-width-percent:0;mso-height-percent:0;mso-width-percent:0;mso-height-percent:0" o:ole="">
                  <v:imagedata r:id="rId34" o:title=""/>
                </v:shape>
                <o:OLEObject Type="Embed" ProgID="Visio.Drawing.11" ShapeID="_x0000_i1032" DrawAspect="Content" ObjectID="_1698558355" r:id="rId35"/>
              </w:object>
            </w:r>
          </w:p>
          <w:p w14:paraId="14A155CF" w14:textId="77777777" w:rsidR="00D85314" w:rsidRDefault="0005540E">
            <w:pPr>
              <w:pStyle w:val="Caption"/>
              <w:rPr>
                <w:b w:val="0"/>
                <w:lang w:eastAsia="zh-CN"/>
              </w:rPr>
            </w:pPr>
            <w:bookmarkStart w:id="4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8C3FAB">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1" w:name="_Toc87014497"/>
            <w:r>
              <w:rPr>
                <w:rFonts w:cs="Arial"/>
                <w:szCs w:val="20"/>
                <w:lang w:eastAsia="zh-CN"/>
              </w:rPr>
              <w:t>For multi-slot PDCCH monitoring with 480/960 kHz SCS, the network configures a search space with at least</w:t>
            </w:r>
            <w:r>
              <w:rPr>
                <w:rFonts w:eastAsiaTheme="minorEastAsia"/>
              </w:rPr>
              <w:t>:</w:t>
            </w:r>
            <w:bookmarkEnd w:id="4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2" w:name="_Toc87014498"/>
            <w:r>
              <w:rPr>
                <w:rFonts w:eastAsia="Calibri" w:cs="Arial"/>
                <w:szCs w:val="20"/>
                <w:lang w:val="en-GB" w:eastAsia="ja-JP"/>
              </w:rPr>
              <w:t>periodicity in terms of X-slot groups,</w:t>
            </w:r>
            <w:bookmarkEnd w:id="4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9"/>
            <w:r>
              <w:rPr>
                <w:rFonts w:eastAsia="Calibri" w:cs="Arial"/>
                <w:szCs w:val="20"/>
                <w:lang w:val="en-GB" w:eastAsia="ja-JP"/>
              </w:rPr>
              <w:t>offset in terms of X-slot groups within the period,</w:t>
            </w:r>
            <w:bookmarkEnd w:id="4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500"/>
            <w:r>
              <w:rPr>
                <w:rFonts w:eastAsia="Calibri" w:cs="Arial"/>
                <w:szCs w:val="20"/>
                <w:lang w:val="en-GB" w:eastAsia="ja-JP"/>
              </w:rPr>
              <w:t>duration in terms of X-slot groups within the period, and</w:t>
            </w:r>
            <w:bookmarkEnd w:id="4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5" w:name="_Toc87014501"/>
            <w:r>
              <w:rPr>
                <w:rFonts w:eastAsia="Calibri" w:cs="Arial"/>
                <w:i/>
                <w:iCs/>
                <w:szCs w:val="20"/>
                <w:lang w:val="en-GB" w:eastAsia="ja-JP"/>
              </w:rPr>
              <w:t>monitoringSymbolsWithinSlot</w:t>
            </w:r>
            <w:r>
              <w:rPr>
                <w:lang w:val="en-GB" w:eastAsia="ja-JP"/>
              </w:rPr>
              <w:t>.</w:t>
            </w:r>
            <w:bookmarkEnd w:id="4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9"/>
          </w:p>
          <w:bookmarkStart w:id="50" w:name="_Toc87014506"/>
          <w:p w14:paraId="6D46516F"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8C3FAB">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2"/>
          </w:p>
          <w:bookmarkStart w:id="53" w:name="_Toc87014509"/>
          <w:p w14:paraId="63D6927C" w14:textId="77777777" w:rsidR="00D85314" w:rsidRDefault="008C3FA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5" w:name="_Toc87014511"/>
            <w:r>
              <w:t>In defining a solution for Rel-17 multi-slot PDCCH monitoring, both intra- and inter-slot monitoring aspects shall be addressed jointly</w:t>
            </w:r>
            <w:r>
              <w:rPr>
                <w:rFonts w:eastAsiaTheme="minorEastAsia"/>
              </w:rPr>
              <w:t>:</w:t>
            </w:r>
            <w:bookmarkEnd w:id="5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6" w:name="_Toc87014512"/>
            <w:r>
              <w:t>In which and in how many slot(s) of a multi-slot span shall PDCCH be monitored?</w:t>
            </w:r>
            <w:bookmarkEnd w:id="5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7" w:name="_Toc87014513"/>
            <w:r>
              <w:t>In which OFDM symbols of a monitored slot shall PDCCH be monitored?</w:t>
            </w:r>
            <w:bookmarkEnd w:id="5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5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23"/>
            <w:r>
              <w:rPr>
                <w:rFonts w:cs="Arial"/>
                <w:szCs w:val="20"/>
                <w:lang w:eastAsia="zh-CN"/>
              </w:rPr>
              <w:t>For multi-slot PDCCH monitoring with 480/960 kHz SCS, configuration of Group (2) search spaces follows Rel-16 specs</w:t>
            </w:r>
            <w:r>
              <w:rPr>
                <w:lang w:eastAsia="ja-JP"/>
              </w:rPr>
              <w:t>.</w:t>
            </w:r>
            <w:bookmarkEnd w:id="6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pt;height:99.75pt;mso-width-percent:0;mso-height-percent:0;mso-width-percent:0;mso-height-percent:0" o:ole="">
                  <v:imagedata r:id="rId36" o:title=""/>
                </v:shape>
                <o:OLEObject Type="Embed" ProgID="Visio.Drawing.15" ShapeID="_x0000_i1033" DrawAspect="Content" ObjectID="_1698558356"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3" w:name="_Hlk86953216"/>
            <w:r>
              <w:t>Type0/0A/1/2 CSS sets can be configured in different positions, e.g., symbol 0 and/or symbol 7 in a slot, which is similar to FG 3-1</w:t>
            </w:r>
            <w:bookmarkEnd w:id="6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4" w:name="OLE_LINK2"/>
            <w:r>
              <w:rPr>
                <w:rFonts w:hint="eastAsia"/>
                <w:b/>
                <w:i/>
                <w:szCs w:val="20"/>
                <w:lang w:eastAsia="zh-CN"/>
              </w:rPr>
              <w:t>Search space set group</w:t>
            </w:r>
            <w:bookmarkEnd w:id="6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pt;height:143.25pt;mso-width-percent:0;mso-height-percent:0;mso-width-percent:0;mso-height-percent:0" o:ole="">
                  <v:imagedata r:id="rId38" o:title=""/>
                </v:shape>
                <o:OLEObject Type="Embed" ProgID="Visio.Drawing.15" ShapeID="_x0000_i1034" DrawAspect="Content" ObjectID="_1698558357"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5" w:name="_Ref68624864"/>
            <w:r>
              <w:t xml:space="preserve">Figure </w:t>
            </w:r>
            <w:fldSimple w:instr=" SEQ Figure \* ARABIC ">
              <w:r>
                <w:t>1</w:t>
              </w:r>
            </w:fldSimple>
            <w:bookmarkEnd w:id="6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6"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7" w:name="O_2"/>
            <w:bookmarkEnd w:id="66"/>
            <w:r>
              <w:t xml:space="preserve">Observation </w:t>
            </w:r>
            <w:fldSimple w:instr=" SEQ Observation \* ARABIC ">
              <w:r>
                <w:t>2</w:t>
              </w:r>
            </w:fldSimple>
            <w:r>
              <w:t>: Monitoring two consecutive slots for Group (2) SS sets within a slot group introduces lots of challenges in the UE implementation.</w:t>
            </w:r>
          </w:p>
          <w:bookmarkEnd w:id="67"/>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8" w:name="_Ref86684986"/>
            <w:bookmarkStart w:id="69" w:name="P_5"/>
            <w:r>
              <w:t xml:space="preserve">Proposal </w:t>
            </w:r>
            <w:fldSimple w:instr=" SEQ Proposal \* ARABIC ">
              <w:r>
                <w:t>5</w:t>
              </w:r>
            </w:fldSimple>
            <w:bookmarkEnd w:id="6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6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0"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35pt;height:60.7pt;mso-width-percent:0;mso-height-percent:0;mso-width-percent:0;mso-height-percent:0" o:ole="">
                  <v:imagedata r:id="rId43" o:title=""/>
                </v:shape>
                <o:OLEObject Type="Embed" ProgID="Visio.Drawing.15" ShapeID="_x0000_i1035" DrawAspect="Content" ObjectID="_1698558358" r:id="rId44"/>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35pt;height:60.7pt;mso-width-percent:0;mso-height-percent:0;mso-width-percent:0;mso-height-percent:0" o:ole="">
                  <v:imagedata r:id="rId45" o:title=""/>
                </v:shape>
                <o:OLEObject Type="Embed" ProgID="Visio.Drawing.15" ShapeID="_x0000_i1036" DrawAspect="Content" ObjectID="_1698558359" r:id="rId46"/>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35pt;height:60.7pt;mso-width-percent:0;mso-height-percent:0;mso-width-percent:0;mso-height-percent:0" o:ole="">
                  <v:imagedata r:id="rId47" o:title=""/>
                </v:shape>
                <o:OLEObject Type="Embed" ProgID="Visio.Drawing.15" ShapeID="_x0000_i1037" DrawAspect="Content" ObjectID="_1698558360" r:id="rId48"/>
              </w:object>
            </w:r>
          </w:p>
          <w:p w14:paraId="75145163" w14:textId="77777777" w:rsidR="00D85314" w:rsidRDefault="0005540E">
            <w:pPr>
              <w:jc w:val="center"/>
            </w:pPr>
            <w:r>
              <w:t>(c)</w:t>
            </w:r>
          </w:p>
          <w:p w14:paraId="27833AB4" w14:textId="77777777" w:rsidR="00D85314" w:rsidRDefault="0005540E">
            <w:pPr>
              <w:pStyle w:val="Caption"/>
              <w:jc w:val="center"/>
            </w:pPr>
            <w:bookmarkStart w:id="71" w:name="_Ref86706230"/>
            <w:r>
              <w:t xml:space="preserve">Figure </w:t>
            </w:r>
            <w:fldSimple w:instr=" SEQ Figure \* ARABIC ">
              <w:r>
                <w:t>1</w:t>
              </w:r>
            </w:fldSimple>
            <w:bookmarkEnd w:id="7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2pt;mso-width-percent:0;mso-height-percent:0;mso-width-percent:0;mso-height-percent:0" o:ole="">
                  <v:imagedata r:id="rId50" o:title=""/>
                </v:shape>
                <o:OLEObject Type="Embed" ProgID="Equation.3" ShapeID="_x0000_i1038" DrawAspect="Content" ObjectID="_1698558361"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4" w:name="_Toc87014516"/>
            <w:r>
              <w:rPr>
                <w:rFonts w:cs="Arial"/>
                <w:szCs w:val="20"/>
                <w:lang w:eastAsia="zh-CN"/>
              </w:rPr>
              <w:t>For multi-slot PDCCH monitoring with 480/960 kHz SCS, the network ensures</w:t>
            </w:r>
            <w:r>
              <w:rPr>
                <w:rFonts w:eastAsiaTheme="minorEastAsia"/>
              </w:rPr>
              <w:t>:</w:t>
            </w:r>
            <w:bookmarkEnd w:id="7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6" w:name="_Toc87014518"/>
            <w:r>
              <w:rPr>
                <w:lang w:val="en-GB" w:eastAsia="ja-JP"/>
              </w:rPr>
              <w:t>PDCCH monitoring overbooking is not supported for an SCell.</w:t>
            </w:r>
            <w:bookmarkEnd w:id="7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7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1" w:name="_Toc87014528"/>
            <w:bookmarkStart w:id="82" w:name="_Ref79163691"/>
            <w:r>
              <w:rPr>
                <w:rFonts w:eastAsiaTheme="minorEastAsia"/>
              </w:rPr>
              <w:t>RAN1 agrees to the following m</w:t>
            </w:r>
            <w:r>
              <w:t>ulti-slot PDCCH processing capability values for 480/960 kHz SCS to progress the Rel-17 specification effort:</w:t>
            </w:r>
            <w:bookmarkEnd w:id="8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2374A4">
            <w:pPr>
              <w:pStyle w:val="ListParagraph"/>
              <w:spacing w:after="160"/>
              <w:ind w:left="0"/>
              <w:jc w:val="center"/>
            </w:pPr>
            <w:r>
              <w:rPr>
                <w:noProof/>
              </w:rPr>
              <w:object w:dxaOrig="10396" w:dyaOrig="3927" w14:anchorId="56715BE1">
                <v:shape id="_x0000_i1039" type="#_x0000_t75" alt="" style="width:518.5pt;height:197.2pt;mso-width-percent:0;mso-height-percent:0;mso-width-percent:0;mso-height-percent:0" o:ole="">
                  <v:imagedata r:id="rId16" o:title=""/>
                </v:shape>
                <o:OLEObject Type="Embed" ProgID="Visio.Drawing.15" ShapeID="_x0000_i1039" DrawAspect="Content" ObjectID="_1698558362" r:id="rId55"/>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5" w:name="_Ref78227753"/>
            <w:r>
              <w:rPr>
                <w:b/>
                <w:bCs/>
              </w:rPr>
              <w:t xml:space="preserve">Table </w:t>
            </w:r>
            <w:bookmarkEnd w:id="8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4.6pt;height:17.2pt;mso-width-percent:0;mso-height-percent:0;mso-width-percent:0;mso-height-percent:0" o:ole="">
                  <v:imagedata r:id="rId56" o:title=""/>
                </v:shape>
                <o:OLEObject Type="Embed" ProgID="Equation.3" ShapeID="_x0000_i1040" DrawAspect="Content" ObjectID="_1698558363" r:id="rId5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6" w:name="_Ref78227760"/>
            <w:r>
              <w:rPr>
                <w:b/>
                <w:bCs/>
              </w:rPr>
              <w:t xml:space="preserve">Table </w:t>
            </w:r>
            <w:bookmarkEnd w:id="8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4.6pt;height:17.2pt;mso-width-percent:0;mso-height-percent:0;mso-width-percent:0;mso-height-percent:0" o:ole="">
                  <v:imagedata r:id="rId56" o:title=""/>
                </v:shape>
                <o:OLEObject Type="Embed" ProgID="Equation.3" ShapeID="_x0000_i1041" DrawAspect="Content" ObjectID="_1698558364" r:id="rId5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65pt;height:112.3pt;mso-width-percent:0;mso-height-percent:0;mso-width-percent:0;mso-height-percent:0" o:ole="">
                  <v:imagedata r:id="rId59" o:title=""/>
                </v:shape>
                <o:OLEObject Type="Embed" ProgID="Visio.Drawing.15" ShapeID="_x0000_i1042" DrawAspect="Content" ObjectID="_1698558365"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7" w:name="_Hlk79057913"/>
            <w:r>
              <w:rPr>
                <w:szCs w:val="18"/>
              </w:rPr>
              <w:t>USS in PCell and PSCell</w:t>
            </w:r>
            <w:bookmarkEnd w:id="8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8" w:name="_Toc83573326"/>
            <w:bookmarkStart w:id="89" w:name="_Toc83587356"/>
            <w:bookmarkStart w:id="90"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8"/>
            <w:bookmarkEnd w:id="89"/>
            <w:bookmarkEnd w:id="9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35pt;height:60.7pt;mso-width-percent:0;mso-height-percent:0;mso-width-percent:0;mso-height-percent:0" o:ole="">
                  <v:imagedata r:id="rId43" o:title=""/>
                </v:shape>
                <o:OLEObject Type="Embed" ProgID="Visio.Drawing.15" ShapeID="_x0000_i1043" DrawAspect="Content" ObjectID="_1698558366" r:id="rId61"/>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35pt;height:60.7pt;mso-width-percent:0;mso-height-percent:0;mso-width-percent:0;mso-height-percent:0" o:ole="">
                  <v:imagedata r:id="rId45" o:title=""/>
                </v:shape>
                <o:OLEObject Type="Embed" ProgID="Visio.Drawing.15" ShapeID="_x0000_i1044" DrawAspect="Content" ObjectID="_1698558367" r:id="rId62"/>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35pt;height:60.7pt;mso-width-percent:0;mso-height-percent:0;mso-width-percent:0;mso-height-percent:0" o:ole="">
                  <v:imagedata r:id="rId47" o:title=""/>
                </v:shape>
                <o:OLEObject Type="Embed" ProgID="Visio.Drawing.15" ShapeID="_x0000_i1045" DrawAspect="Content" ObjectID="_1698558368" r:id="rId63"/>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1" w:name="_Ref61441327"/>
            <w:bookmarkStart w:id="9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1"/>
            <w:r>
              <w:rPr>
                <w:b/>
              </w:rPr>
              <w:t>following alternatives could be considered:</w:t>
            </w:r>
            <w:bookmarkEnd w:id="9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5.75pt;height:13.95pt;mso-width-percent:0;mso-height-percent:0;mso-width-percent:0;mso-height-percent:0" o:ole="">
                  <v:imagedata r:id="rId64" o:title=""/>
                </v:shape>
                <o:OLEObject Type="Embed" ProgID="Equation.DSMT4" ShapeID="_x0000_i1046" DrawAspect="Content" ObjectID="_1698558369" r:id="rId65"/>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5.75pt;height:13.95pt;mso-width-percent:0;mso-height-percent:0;mso-width-percent:0;mso-height-percent:0" o:ole="">
                  <v:imagedata r:id="rId64" o:title=""/>
                </v:shape>
                <o:OLEObject Type="Embed" ProgID="Equation.DSMT4" ShapeID="_x0000_i1047" DrawAspect="Content" ObjectID="_1698558370" r:id="rId66"/>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16"/>
              <w:rPr>
                <w:rFonts w:eastAsia="Batang"/>
                <w:b/>
                <w:lang w:eastAsia="ko-KR"/>
              </w:rPr>
            </w:pPr>
          </w:p>
          <w:p w14:paraId="1B322718" w14:textId="77777777" w:rsidR="00D85314" w:rsidRDefault="0005540E">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4" w:name="_Ref78902377"/>
            <w:bookmarkStart w:id="95"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4"/>
          </w:p>
          <w:bookmarkEnd w:id="95"/>
          <w:p w14:paraId="58042365" w14:textId="77777777" w:rsidR="00D85314" w:rsidRDefault="00D85314">
            <w:pPr>
              <w:pStyle w:val="Caption"/>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6" w:name="_Ref68527611"/>
            <w:r>
              <w:t xml:space="preserve">Figure </w:t>
            </w:r>
            <w:fldSimple w:instr=" SEQ Figure \* ARABIC ">
              <w:r>
                <w:t>1</w:t>
              </w:r>
            </w:fldSimple>
            <w:bookmarkEnd w:id="96"/>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97"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7"/>
            <w:r>
              <w:t xml:space="preserve"> </w:t>
            </w:r>
          </w:p>
          <w:p w14:paraId="08CCF181" w14:textId="77777777" w:rsidR="00D85314" w:rsidRDefault="00D85314">
            <w:pPr>
              <w:pStyle w:val="ListParagraph"/>
              <w:numPr>
                <w:ilvl w:val="0"/>
                <w:numId w:val="84"/>
              </w:numPr>
              <w:snapToGrid/>
              <w:spacing w:line="240" w:lineRule="auto"/>
              <w:rPr>
                <w:lang w:val="en-GB"/>
              </w:rPr>
            </w:pPr>
            <w:bookmarkStart w:id="98" w:name="P_9"/>
          </w:p>
          <w:bookmarkEnd w:id="9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B3F63" w14:textId="77777777" w:rsidR="008C3FAB" w:rsidRDefault="008C3FAB" w:rsidP="00596CEF">
      <w:pPr>
        <w:spacing w:after="0" w:line="240" w:lineRule="auto"/>
      </w:pPr>
      <w:r>
        <w:separator/>
      </w:r>
    </w:p>
  </w:endnote>
  <w:endnote w:type="continuationSeparator" w:id="0">
    <w:p w14:paraId="4D79BCB1" w14:textId="77777777" w:rsidR="008C3FAB" w:rsidRDefault="008C3FAB" w:rsidP="00596CEF">
      <w:pPr>
        <w:spacing w:after="0" w:line="240" w:lineRule="auto"/>
      </w:pPr>
      <w:r>
        <w:continuationSeparator/>
      </w:r>
    </w:p>
  </w:endnote>
  <w:endnote w:type="continuationNotice" w:id="1">
    <w:p w14:paraId="46EFCA8C" w14:textId="77777777" w:rsidR="008C3FAB" w:rsidRDefault="008C3F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9B6D0" w14:textId="77777777" w:rsidR="008C3FAB" w:rsidRDefault="008C3FAB" w:rsidP="00596CEF">
      <w:pPr>
        <w:spacing w:after="0" w:line="240" w:lineRule="auto"/>
      </w:pPr>
      <w:r>
        <w:separator/>
      </w:r>
    </w:p>
  </w:footnote>
  <w:footnote w:type="continuationSeparator" w:id="0">
    <w:p w14:paraId="3D547266" w14:textId="77777777" w:rsidR="008C3FAB" w:rsidRDefault="008C3FAB" w:rsidP="00596CEF">
      <w:pPr>
        <w:spacing w:after="0" w:line="240" w:lineRule="auto"/>
      </w:pPr>
      <w:r>
        <w:continuationSeparator/>
      </w:r>
    </w:p>
  </w:footnote>
  <w:footnote w:type="continuationNotice" w:id="1">
    <w:p w14:paraId="3071ED47" w14:textId="77777777" w:rsidR="008C3FAB" w:rsidRDefault="008C3F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7"/>
  </w:num>
  <w:num w:numId="4">
    <w:abstractNumId w:val="80"/>
  </w:num>
  <w:num w:numId="5">
    <w:abstractNumId w:val="64"/>
  </w:num>
  <w:num w:numId="6">
    <w:abstractNumId w:val="52"/>
  </w:num>
  <w:num w:numId="7">
    <w:abstractNumId w:val="53"/>
  </w:num>
  <w:num w:numId="8">
    <w:abstractNumId w:val="94"/>
  </w:num>
  <w:num w:numId="9">
    <w:abstractNumId w:val="54"/>
  </w:num>
  <w:num w:numId="10">
    <w:abstractNumId w:val="83"/>
  </w:num>
  <w:num w:numId="11">
    <w:abstractNumId w:val="46"/>
  </w:num>
  <w:num w:numId="12">
    <w:abstractNumId w:val="31"/>
  </w:num>
  <w:num w:numId="13">
    <w:abstractNumId w:val="44"/>
  </w:num>
  <w:num w:numId="14">
    <w:abstractNumId w:val="62"/>
  </w:num>
  <w:num w:numId="15">
    <w:abstractNumId w:val="38"/>
  </w:num>
  <w:num w:numId="16">
    <w:abstractNumId w:val="88"/>
  </w:num>
  <w:num w:numId="17">
    <w:abstractNumId w:val="11"/>
  </w:num>
  <w:num w:numId="18">
    <w:abstractNumId w:val="91"/>
  </w:num>
  <w:num w:numId="19">
    <w:abstractNumId w:val="51"/>
  </w:num>
  <w:num w:numId="20">
    <w:abstractNumId w:val="16"/>
  </w:num>
  <w:num w:numId="21">
    <w:abstractNumId w:val="58"/>
  </w:num>
  <w:num w:numId="22">
    <w:abstractNumId w:val="84"/>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5"/>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2"/>
  </w:num>
  <w:num w:numId="58">
    <w:abstractNumId w:val="0"/>
  </w:num>
  <w:num w:numId="59">
    <w:abstractNumId w:val="57"/>
  </w:num>
  <w:num w:numId="60">
    <w:abstractNumId w:val="25"/>
  </w:num>
  <w:num w:numId="61">
    <w:abstractNumId w:val="55"/>
  </w:num>
  <w:num w:numId="62">
    <w:abstractNumId w:val="4"/>
  </w:num>
  <w:num w:numId="63">
    <w:abstractNumId w:val="90"/>
  </w:num>
  <w:num w:numId="64">
    <w:abstractNumId w:val="93"/>
  </w:num>
  <w:num w:numId="65">
    <w:abstractNumId w:val="36"/>
  </w:num>
  <w:num w:numId="66">
    <w:abstractNumId w:val="59"/>
  </w:num>
  <w:num w:numId="67">
    <w:abstractNumId w:val="86"/>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2"/>
  </w:num>
  <w:num w:numId="78">
    <w:abstractNumId w:val="33"/>
  </w:num>
  <w:num w:numId="79">
    <w:abstractNumId w:val="65"/>
  </w:num>
  <w:num w:numId="80">
    <w:abstractNumId w:val="81"/>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9"/>
  </w:num>
  <w:num w:numId="88">
    <w:abstractNumId w:val="8"/>
  </w:num>
  <w:num w:numId="89">
    <w:abstractNumId w:val="89"/>
  </w:num>
  <w:num w:numId="90">
    <w:abstractNumId w:val="34"/>
  </w:num>
  <w:num w:numId="91">
    <w:abstractNumId w:val="3"/>
  </w:num>
  <w:num w:numId="92">
    <w:abstractNumId w:val="61"/>
  </w:num>
  <w:num w:numId="93">
    <w:abstractNumId w:val="68"/>
  </w:num>
  <w:num w:numId="94">
    <w:abstractNumId w:val="13"/>
  </w:num>
  <w:num w:numId="95">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5.png"/><Relationship Id="rId37" Type="http://schemas.openxmlformats.org/officeDocument/2006/relationships/package" Target="embeddings/Microsoft_Visio_Drawing5.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package" Target="embeddings/Microsoft_Visio_Drawing12.vsdx"/><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vsd"/><Relationship Id="rId43" Type="http://schemas.openxmlformats.org/officeDocument/2006/relationships/image" Target="media/image22.emf"/><Relationship Id="rId48" Type="http://schemas.openxmlformats.org/officeDocument/2006/relationships/package" Target="embeddings/Microsoft_Visio_Drawing9.vsdx"/><Relationship Id="rId56" Type="http://schemas.openxmlformats.org/officeDocument/2006/relationships/image" Target="media/image30.wmf"/><Relationship Id="rId64" Type="http://schemas.openxmlformats.org/officeDocument/2006/relationships/image" Target="media/image32.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vsdx"/><Relationship Id="rId25" Type="http://schemas.openxmlformats.org/officeDocument/2006/relationships/image" Target="media/image10.emf"/><Relationship Id="rId33" Type="http://schemas.openxmlformats.org/officeDocument/2006/relationships/oleObject" Target="embeddings/Microsoft_Visio_2003-2010_Drawing1.vsd"/><Relationship Id="rId38" Type="http://schemas.openxmlformats.org/officeDocument/2006/relationships/image" Target="media/image18.emf"/><Relationship Id="rId46" Type="http://schemas.openxmlformats.org/officeDocument/2006/relationships/package" Target="embeddings/Microsoft_Visio_Drawing8.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package" Target="embeddings/Microsoft_Visio_Drawing7.vsdx"/><Relationship Id="rId52" Type="http://schemas.openxmlformats.org/officeDocument/2006/relationships/image" Target="media/image27.wmf"/><Relationship Id="rId60" Type="http://schemas.openxmlformats.org/officeDocument/2006/relationships/package" Target="embeddings/Microsoft_Visio_Drawing11.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package" Target="embeddings/Microsoft_Visio_Drawing6.vsdx"/><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package" Target="embeddings/Microsoft_Visio_Drawing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55069C8-68F3-4404-9D59-641CF0B12CC9}">
  <ds:schemaRefs>
    <ds:schemaRef ds:uri="http://schemas.openxmlformats.org/officeDocument/2006/bibliography"/>
  </ds:schemaRefs>
</ds:datastoreItem>
</file>

<file path=customXml/itemProps5.xml><?xml version="1.0" encoding="utf-8"?>
<ds:datastoreItem xmlns:ds="http://schemas.openxmlformats.org/officeDocument/2006/customXml" ds:itemID="{A6ADC3F4-58F8-42F9-AC71-F408A13FB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146</Pages>
  <Words>48974</Words>
  <Characters>279155</Characters>
  <Application>Microsoft Office Word</Application>
  <DocSecurity>0</DocSecurity>
  <Lines>2326</Lines>
  <Paragraphs>654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ANKIT BHAMRI</cp:lastModifiedBy>
  <cp:revision>4</cp:revision>
  <cp:lastPrinted>2016-08-13T07:06:00Z</cp:lastPrinted>
  <dcterms:created xsi:type="dcterms:W3CDTF">2021-11-16T07:46:00Z</dcterms:created>
  <dcterms:modified xsi:type="dcterms:W3CDTF">2021-11-16T07:58:00Z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