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70AC1FF7"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E85AE2">
        <w:rPr>
          <w:rFonts w:eastAsia="Batang"/>
          <w:b/>
          <w:bCs/>
          <w:sz w:val="28"/>
          <w:lang w:val="en-GB"/>
        </w:rPr>
        <w:t>7</w:t>
      </w:r>
      <w:r w:rsidR="00756201">
        <w:rPr>
          <w:rFonts w:eastAsia="Batang"/>
          <w:b/>
          <w:bCs/>
          <w:sz w:val="28"/>
          <w:lang w:val="en-GB"/>
        </w:rPr>
        <w:t>-</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896826" w:rsidRPr="00896826">
        <w:rPr>
          <w:rFonts w:eastAsia="MS Mincho"/>
          <w:b/>
          <w:bCs/>
          <w:sz w:val="28"/>
          <w:lang w:val="en-GB" w:eastAsia="ja-JP"/>
        </w:rPr>
        <w:t>R1-</w:t>
      </w:r>
      <w:r w:rsidR="00657B4C" w:rsidRPr="00657B4C">
        <w:rPr>
          <w:rFonts w:eastAsia="MS Mincho"/>
          <w:b/>
          <w:bCs/>
          <w:sz w:val="28"/>
          <w:lang w:val="en-GB" w:eastAsia="ja-JP"/>
        </w:rPr>
        <w:t>2111691</w:t>
      </w:r>
    </w:p>
    <w:p w14:paraId="65716369" w14:textId="41E45B36" w:rsidR="003C279D" w:rsidRPr="00756201" w:rsidRDefault="003C279D" w:rsidP="003C279D">
      <w:pPr>
        <w:tabs>
          <w:tab w:val="center" w:pos="4536"/>
          <w:tab w:val="right" w:pos="9072"/>
        </w:tabs>
        <w:rPr>
          <w:rFonts w:eastAsia="Batang"/>
          <w:b/>
          <w:bCs/>
          <w:sz w:val="28"/>
          <w:lang w:val="en-GB"/>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E85AE2">
        <w:rPr>
          <w:rFonts w:eastAsia="Batang"/>
          <w:b/>
          <w:bCs/>
          <w:sz w:val="28"/>
          <w:lang w:val="en-GB"/>
        </w:rPr>
        <w:t>November</w:t>
      </w:r>
      <w:r w:rsidR="00FE2C41">
        <w:rPr>
          <w:rFonts w:asciiTheme="minorEastAsia" w:eastAsiaTheme="minorEastAsia" w:hAnsiTheme="minorEastAsia"/>
          <w:b/>
          <w:bCs/>
          <w:sz w:val="28"/>
          <w:lang w:val="en-GB" w:eastAsia="zh-CN"/>
        </w:rPr>
        <w:t xml:space="preserve"> </w:t>
      </w:r>
      <w:r w:rsidR="001E6885" w:rsidRPr="00812A0D">
        <w:rPr>
          <w:rFonts w:eastAsia="MS Mincho"/>
          <w:b/>
          <w:bCs/>
          <w:sz w:val="28"/>
          <w:lang w:val="en-GB" w:eastAsia="ja-JP"/>
        </w:rPr>
        <w:t>1</w:t>
      </w:r>
      <w:r w:rsidR="00756201">
        <w:rPr>
          <w:rFonts w:eastAsia="MS Mincho"/>
          <w:b/>
          <w:bCs/>
          <w:sz w:val="28"/>
          <w:lang w:val="en-GB" w:eastAsia="ja-JP"/>
        </w:rPr>
        <w:t>1</w:t>
      </w:r>
      <w:r w:rsidR="00412734" w:rsidRPr="00812A0D">
        <w:rPr>
          <w:rFonts w:eastAsia="MS Mincho"/>
          <w:b/>
          <w:bCs/>
          <w:sz w:val="28"/>
          <w:vertAlign w:val="superscript"/>
          <w:lang w:val="en-GB" w:eastAsia="ja-JP"/>
        </w:rPr>
        <w:t>th</w:t>
      </w:r>
      <w:r w:rsidR="00412734" w:rsidRPr="00812A0D">
        <w:rPr>
          <w:rFonts w:eastAsia="MS Mincho"/>
          <w:b/>
          <w:bCs/>
          <w:sz w:val="28"/>
          <w:lang w:val="en-GB" w:eastAsia="ja-JP"/>
        </w:rPr>
        <w:t xml:space="preserve"> –</w:t>
      </w:r>
      <w:r w:rsidR="00E26F73">
        <w:rPr>
          <w:rFonts w:eastAsia="Batang"/>
          <w:b/>
          <w:bCs/>
          <w:sz w:val="28"/>
          <w:lang w:val="en-GB"/>
        </w:rPr>
        <w:t xml:space="preserve"> </w:t>
      </w:r>
      <w:r w:rsidR="00756201">
        <w:rPr>
          <w:rFonts w:eastAsia="MS Mincho"/>
          <w:b/>
          <w:bCs/>
          <w:sz w:val="28"/>
          <w:lang w:val="en-GB" w:eastAsia="ja-JP"/>
        </w:rPr>
        <w:t>19</w:t>
      </w:r>
      <w:r w:rsidR="00412734" w:rsidRPr="00812A0D">
        <w:rPr>
          <w:rFonts w:eastAsia="MS Mincho"/>
          <w:b/>
          <w:bCs/>
          <w:sz w:val="28"/>
          <w:vertAlign w:val="superscript"/>
          <w:lang w:val="en-GB" w:eastAsia="ja-JP"/>
        </w:rPr>
        <w:t>th</w:t>
      </w:r>
      <w:r w:rsidR="00BD7390" w:rsidRPr="00812A0D">
        <w:rPr>
          <w:rFonts w:eastAsia="MS Mincho"/>
          <w:b/>
          <w:bCs/>
          <w:sz w:val="28"/>
          <w:lang w:val="en-GB" w:eastAsia="ja-JP"/>
        </w:rPr>
        <w:t>, 202</w:t>
      </w:r>
      <w:r w:rsidR="007B0EBB" w:rsidRPr="00812A0D">
        <w:rPr>
          <w:rFonts w:eastAsia="MS Mincho"/>
          <w:b/>
          <w:bCs/>
          <w:sz w:val="28"/>
          <w:lang w:val="en-GB" w:eastAsia="ja-JP"/>
        </w:rPr>
        <w:t>1</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381597B3"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2D3C39" w:rsidRPr="00812A0D">
        <w:rPr>
          <w:rFonts w:ascii="Times New Roman" w:hAnsi="Times New Roman"/>
          <w:sz w:val="22"/>
          <w:szCs w:val="22"/>
        </w:rPr>
        <w:t xml:space="preserve">Discussion on </w:t>
      </w:r>
      <w:r w:rsidR="00AD2C96" w:rsidRPr="00812A0D">
        <w:rPr>
          <w:rFonts w:ascii="Times New Roman" w:hAnsi="Times New Roman"/>
          <w:sz w:val="22"/>
          <w:szCs w:val="22"/>
        </w:rPr>
        <w:t>PD</w:t>
      </w:r>
      <w:r w:rsidR="00C74422" w:rsidRPr="00812A0D">
        <w:rPr>
          <w:rFonts w:ascii="Times New Roman" w:hAnsi="Times New Roman"/>
          <w:sz w:val="22"/>
          <w:szCs w:val="22"/>
        </w:rPr>
        <w:t>C</w:t>
      </w:r>
      <w:r w:rsidR="00AD2C96" w:rsidRPr="00812A0D">
        <w:rPr>
          <w:rFonts w:ascii="Times New Roman" w:hAnsi="Times New Roman"/>
          <w:sz w:val="22"/>
          <w:szCs w:val="22"/>
        </w:rPr>
        <w:t xml:space="preserve">CH </w:t>
      </w:r>
      <w:r w:rsidR="00C74422" w:rsidRPr="00812A0D">
        <w:rPr>
          <w:rFonts w:ascii="Times New Roman" w:hAnsi="Times New Roman"/>
          <w:sz w:val="22"/>
          <w:szCs w:val="22"/>
        </w:rPr>
        <w:t xml:space="preserve">monitoring </w:t>
      </w:r>
      <w:r w:rsidR="00AD2C96" w:rsidRPr="00812A0D">
        <w:rPr>
          <w:rFonts w:ascii="Times New Roman" w:hAnsi="Times New Roman"/>
          <w:sz w:val="22"/>
          <w:szCs w:val="22"/>
        </w:rPr>
        <w:t>enhancements</w:t>
      </w:r>
      <w:r w:rsidR="00267FDF" w:rsidRPr="00812A0D">
        <w:rPr>
          <w:rFonts w:ascii="Times New Roman" w:eastAsia="宋体" w:hAnsi="Times New Roman"/>
          <w:sz w:val="22"/>
          <w:szCs w:val="22"/>
          <w:lang w:eastAsia="zh-CN"/>
        </w:rPr>
        <w:t xml:space="preserve"> supporting NR from 52.6GHz to 71 GHz</w:t>
      </w:r>
    </w:p>
    <w:p w14:paraId="4B1C058C" w14:textId="443163A1"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3C279D" w:rsidRPr="00812A0D">
        <w:rPr>
          <w:rFonts w:ascii="Times New Roman" w:eastAsia="宋体" w:hAnsi="Times New Roman"/>
          <w:sz w:val="22"/>
          <w:szCs w:val="22"/>
          <w:lang w:eastAsia="zh-CN"/>
        </w:rPr>
        <w:t>8.</w:t>
      </w:r>
      <w:r w:rsidR="00BD7390" w:rsidRPr="00812A0D">
        <w:rPr>
          <w:rFonts w:ascii="Times New Roman" w:eastAsia="宋体" w:hAnsi="Times New Roman"/>
          <w:sz w:val="22"/>
          <w:szCs w:val="22"/>
          <w:lang w:eastAsia="zh-CN"/>
        </w:rPr>
        <w:t>2</w:t>
      </w:r>
      <w:r w:rsidR="00AD2C96" w:rsidRPr="00812A0D">
        <w:rPr>
          <w:rFonts w:ascii="Times New Roman" w:eastAsia="宋体" w:hAnsi="Times New Roman"/>
          <w:sz w:val="22"/>
          <w:szCs w:val="22"/>
          <w:lang w:eastAsia="zh-CN"/>
        </w:rPr>
        <w:t>.</w:t>
      </w:r>
      <w:r w:rsidR="00C74422" w:rsidRPr="00812A0D">
        <w:rPr>
          <w:rFonts w:ascii="Times New Roman" w:eastAsia="宋体" w:hAnsi="Times New Roman"/>
          <w:sz w:val="22"/>
          <w:szCs w:val="22"/>
          <w:lang w:eastAsia="zh-CN"/>
        </w:rPr>
        <w:t>2</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812A0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07770CA4" w14:textId="6A7152B0" w:rsidR="00412734" w:rsidRPr="00812A0D" w:rsidRDefault="0046697E" w:rsidP="00EF0D37">
      <w:pPr>
        <w:rPr>
          <w:sz w:val="22"/>
          <w:szCs w:val="22"/>
        </w:rPr>
      </w:pPr>
      <w:r w:rsidRPr="00812A0D">
        <w:rPr>
          <w:sz w:val="22"/>
          <w:szCs w:val="22"/>
        </w:rPr>
        <w:t>At the previous RAN1#10</w:t>
      </w:r>
      <w:r w:rsidR="003C769E">
        <w:rPr>
          <w:sz w:val="22"/>
          <w:szCs w:val="22"/>
        </w:rPr>
        <w:t>6</w:t>
      </w:r>
      <w:r w:rsidRPr="00812A0D">
        <w:rPr>
          <w:sz w:val="22"/>
          <w:szCs w:val="22"/>
        </w:rPr>
        <w:t>-</w:t>
      </w:r>
      <w:r w:rsidR="00E85AE2">
        <w:rPr>
          <w:sz w:val="22"/>
          <w:szCs w:val="22"/>
        </w:rPr>
        <w:t>bis-</w:t>
      </w:r>
      <w:r w:rsidRPr="00812A0D">
        <w:rPr>
          <w:sz w:val="22"/>
          <w:szCs w:val="22"/>
        </w:rPr>
        <w:t>e meeting</w:t>
      </w:r>
      <w:r w:rsidR="00412734" w:rsidRPr="00812A0D">
        <w:rPr>
          <w:sz w:val="22"/>
          <w:szCs w:val="22"/>
        </w:rPr>
        <w:t>, the following agreement has been made</w:t>
      </w:r>
      <w:r w:rsidR="004C2B5D" w:rsidRPr="00812A0D">
        <w:rPr>
          <w:sz w:val="22"/>
          <w:szCs w:val="22"/>
        </w:rPr>
        <w:t xml:space="preserve"> [</w:t>
      </w:r>
      <w:r w:rsidR="002D4091" w:rsidRPr="00812A0D">
        <w:rPr>
          <w:sz w:val="22"/>
          <w:szCs w:val="22"/>
        </w:rPr>
        <w:t>1</w:t>
      </w:r>
      <w:r w:rsidR="004C2B5D" w:rsidRPr="00812A0D">
        <w:rPr>
          <w:sz w:val="22"/>
          <w:szCs w:val="22"/>
        </w:rPr>
        <w:t>]</w:t>
      </w:r>
      <w:r w:rsidR="00412734" w:rsidRPr="00812A0D">
        <w:rPr>
          <w:sz w:val="22"/>
          <w:szCs w:val="22"/>
        </w:rPr>
        <w:t>,</w:t>
      </w:r>
    </w:p>
    <w:p w14:paraId="094EB186" w14:textId="7D1F059B" w:rsidR="005C513E" w:rsidRPr="00812A0D" w:rsidRDefault="005C513E" w:rsidP="00FD5A00">
      <w:pPr>
        <w:spacing w:line="360" w:lineRule="auto"/>
        <w:rPr>
          <w:lang w:eastAsia="x-none"/>
        </w:rPr>
      </w:pPr>
    </w:p>
    <w:p w14:paraId="0BCCED09" w14:textId="06A8B182" w:rsidR="00B64F86" w:rsidRPr="001B6C54" w:rsidRDefault="00E93415" w:rsidP="00B64F86">
      <w:pPr>
        <w:ind w:left="1440" w:hanging="1440"/>
        <w:rPr>
          <w:sz w:val="22"/>
          <w:szCs w:val="22"/>
          <w:lang w:eastAsia="x-none"/>
        </w:rPr>
      </w:pPr>
      <w:r w:rsidRPr="001B6C54">
        <w:rPr>
          <w:sz w:val="22"/>
          <w:szCs w:val="22"/>
          <w:highlight w:val="green"/>
          <w:lang w:eastAsia="x-none"/>
        </w:rPr>
        <w:t>Agreement:</w:t>
      </w:r>
    </w:p>
    <w:p w14:paraId="69D1EFEF" w14:textId="77777777" w:rsidR="00E85AE2" w:rsidRPr="00E85AE2" w:rsidRDefault="00E85AE2" w:rsidP="00E85AE2">
      <w:pPr>
        <w:numPr>
          <w:ilvl w:val="0"/>
          <w:numId w:val="38"/>
        </w:numPr>
        <w:rPr>
          <w:b/>
          <w:bCs/>
          <w:sz w:val="22"/>
          <w:lang w:eastAsia="x-none"/>
        </w:rPr>
      </w:pPr>
      <w:r w:rsidRPr="00E85AE2">
        <w:rPr>
          <w:sz w:val="22"/>
          <w:lang w:eastAsia="x-none"/>
        </w:rPr>
        <w:t>Multi-slot PDCCH monitoring is based on slots within a slot group</w:t>
      </w:r>
    </w:p>
    <w:p w14:paraId="35EE8AEE" w14:textId="77777777" w:rsidR="00E85AE2" w:rsidRPr="00E85AE2" w:rsidRDefault="00E85AE2" w:rsidP="00E85AE2">
      <w:pPr>
        <w:numPr>
          <w:ilvl w:val="1"/>
          <w:numId w:val="38"/>
        </w:numPr>
        <w:rPr>
          <w:sz w:val="22"/>
          <w:lang w:eastAsia="x-none"/>
        </w:rPr>
      </w:pPr>
      <w:r w:rsidRPr="00E85AE2">
        <w:rPr>
          <w:sz w:val="22"/>
          <w:lang w:eastAsia="x-none"/>
        </w:rPr>
        <w:t>Each slot group consists of X consecutive slots</w:t>
      </w:r>
    </w:p>
    <w:p w14:paraId="1B54948B" w14:textId="77777777" w:rsidR="00E85AE2" w:rsidRPr="00E85AE2" w:rsidRDefault="00E85AE2" w:rsidP="00E85AE2">
      <w:pPr>
        <w:numPr>
          <w:ilvl w:val="2"/>
          <w:numId w:val="38"/>
        </w:numPr>
        <w:rPr>
          <w:sz w:val="22"/>
          <w:lang w:eastAsia="x-none"/>
        </w:rPr>
      </w:pPr>
      <w:r w:rsidRPr="00E85AE2">
        <w:rPr>
          <w:sz w:val="22"/>
          <w:lang w:eastAsia="x-none"/>
        </w:rPr>
        <w:t>Slot groups are consecutive and non-overlapping</w:t>
      </w:r>
    </w:p>
    <w:p w14:paraId="16D3684C" w14:textId="77777777" w:rsidR="00E85AE2" w:rsidRPr="00E85AE2" w:rsidRDefault="00E85AE2" w:rsidP="00E85AE2">
      <w:pPr>
        <w:numPr>
          <w:ilvl w:val="2"/>
          <w:numId w:val="38"/>
        </w:numPr>
        <w:rPr>
          <w:sz w:val="22"/>
          <w:lang w:eastAsia="x-none"/>
        </w:rPr>
      </w:pPr>
      <w:r w:rsidRPr="00E85AE2">
        <w:rPr>
          <w:sz w:val="22"/>
          <w:lang w:eastAsia="x-none"/>
        </w:rPr>
        <w:t xml:space="preserve">The start of the first slot group in a </w:t>
      </w:r>
      <w:proofErr w:type="spellStart"/>
      <w:r w:rsidRPr="00E85AE2">
        <w:rPr>
          <w:sz w:val="22"/>
          <w:lang w:eastAsia="x-none"/>
        </w:rPr>
        <w:t>subframe</w:t>
      </w:r>
      <w:proofErr w:type="spellEnd"/>
      <w:r w:rsidRPr="00E85AE2">
        <w:rPr>
          <w:sz w:val="22"/>
          <w:lang w:eastAsia="x-none"/>
        </w:rPr>
        <w:t xml:space="preserve"> is aligned with the </w:t>
      </w:r>
      <w:proofErr w:type="spellStart"/>
      <w:r w:rsidRPr="00E85AE2">
        <w:rPr>
          <w:sz w:val="22"/>
          <w:lang w:eastAsia="x-none"/>
        </w:rPr>
        <w:t>subframe</w:t>
      </w:r>
      <w:proofErr w:type="spellEnd"/>
      <w:r w:rsidRPr="00E85AE2">
        <w:rPr>
          <w:sz w:val="22"/>
          <w:lang w:eastAsia="x-none"/>
        </w:rPr>
        <w:t xml:space="preserve"> boundary</w:t>
      </w:r>
    </w:p>
    <w:p w14:paraId="4754F03E" w14:textId="77777777" w:rsidR="00E85AE2" w:rsidRPr="00E85AE2" w:rsidRDefault="00E85AE2" w:rsidP="00E85AE2">
      <w:pPr>
        <w:numPr>
          <w:ilvl w:val="2"/>
          <w:numId w:val="38"/>
        </w:numPr>
        <w:rPr>
          <w:sz w:val="22"/>
          <w:lang w:eastAsia="x-none"/>
        </w:rPr>
      </w:pPr>
      <w:r w:rsidRPr="00E85AE2">
        <w:rPr>
          <w:sz w:val="22"/>
          <w:lang w:eastAsia="x-none"/>
        </w:rPr>
        <w:t>The start of each slot group is aligned with a slot boundary</w:t>
      </w:r>
    </w:p>
    <w:p w14:paraId="2091630D" w14:textId="77777777" w:rsidR="00E85AE2" w:rsidRPr="00E85AE2" w:rsidRDefault="00E85AE2" w:rsidP="00E85AE2">
      <w:pPr>
        <w:numPr>
          <w:ilvl w:val="2"/>
          <w:numId w:val="38"/>
        </w:numPr>
        <w:rPr>
          <w:sz w:val="22"/>
          <w:lang w:eastAsia="x-none"/>
        </w:rPr>
      </w:pPr>
      <w:r w:rsidRPr="00E85AE2">
        <w:rPr>
          <w:sz w:val="22"/>
          <w:lang w:eastAsia="x-none"/>
        </w:rPr>
        <w:t>Reporting the BD/CCE budget for X=4/8 slots (for 480/960 kHz resp.) is mandatory (if UE supports the corresponding SCS), and is optional for X</w:t>
      </w:r>
      <w:proofErr w:type="gramStart"/>
      <w:r w:rsidRPr="00E85AE2">
        <w:rPr>
          <w:sz w:val="22"/>
          <w:lang w:eastAsia="x-none"/>
        </w:rPr>
        <w:t>=[</w:t>
      </w:r>
      <w:proofErr w:type="gramEnd"/>
      <w:r w:rsidRPr="00E85AE2">
        <w:rPr>
          <w:sz w:val="22"/>
          <w:lang w:eastAsia="x-none"/>
        </w:rPr>
        <w:t>2]/4 slots (for 480/960 kHz resp.)</w:t>
      </w:r>
    </w:p>
    <w:p w14:paraId="0491AC1D" w14:textId="77777777" w:rsidR="00E85AE2" w:rsidRPr="00E85AE2" w:rsidRDefault="00E85AE2" w:rsidP="00E85AE2">
      <w:pPr>
        <w:numPr>
          <w:ilvl w:val="0"/>
          <w:numId w:val="38"/>
        </w:numPr>
        <w:rPr>
          <w:sz w:val="22"/>
          <w:lang w:eastAsia="x-none"/>
        </w:rPr>
      </w:pPr>
      <w:r w:rsidRPr="00E85AE2">
        <w:rPr>
          <w:sz w:val="22"/>
          <w:lang w:eastAsia="x-none"/>
        </w:rPr>
        <w:t>There is a common BD budget for all search spaces</w:t>
      </w:r>
    </w:p>
    <w:p w14:paraId="63848576" w14:textId="77777777" w:rsidR="00E85AE2" w:rsidRPr="00E85AE2" w:rsidRDefault="00E85AE2" w:rsidP="00E85AE2">
      <w:pPr>
        <w:numPr>
          <w:ilvl w:val="0"/>
          <w:numId w:val="38"/>
        </w:numPr>
        <w:rPr>
          <w:sz w:val="22"/>
          <w:lang w:eastAsia="x-none"/>
        </w:rPr>
      </w:pPr>
      <w:r w:rsidRPr="00E85AE2">
        <w:rPr>
          <w:sz w:val="22"/>
          <w:lang w:eastAsia="x-none"/>
        </w:rPr>
        <w:t>FFS: Search space configuration</w:t>
      </w:r>
    </w:p>
    <w:p w14:paraId="6E00F128" w14:textId="77777777" w:rsidR="00E85AE2" w:rsidRPr="00E85AE2" w:rsidRDefault="00E85AE2" w:rsidP="00E85AE2">
      <w:pPr>
        <w:numPr>
          <w:ilvl w:val="1"/>
          <w:numId w:val="38"/>
        </w:numPr>
        <w:rPr>
          <w:sz w:val="22"/>
          <w:lang w:eastAsia="x-none"/>
        </w:rPr>
      </w:pPr>
      <w:r w:rsidRPr="00E85AE2">
        <w:rPr>
          <w:rFonts w:hint="eastAsia"/>
          <w:sz w:val="22"/>
          <w:lang w:eastAsia="x-none"/>
        </w:rPr>
        <w:t>F</w:t>
      </w:r>
      <w:r w:rsidRPr="00E85AE2">
        <w:rPr>
          <w:sz w:val="22"/>
          <w:lang w:eastAsia="x-none"/>
        </w:rPr>
        <w:t>or Group (1) SS</w:t>
      </w:r>
    </w:p>
    <w:p w14:paraId="35307DF3" w14:textId="77777777" w:rsidR="00E85AE2" w:rsidRPr="00E85AE2" w:rsidRDefault="00E85AE2" w:rsidP="00E85AE2">
      <w:pPr>
        <w:numPr>
          <w:ilvl w:val="2"/>
          <w:numId w:val="38"/>
        </w:numPr>
        <w:rPr>
          <w:sz w:val="22"/>
          <w:lang w:eastAsia="x-none"/>
        </w:rPr>
      </w:pPr>
      <w:r w:rsidRPr="00E85AE2">
        <w:rPr>
          <w:sz w:val="22"/>
          <w:lang w:eastAsia="x-none"/>
        </w:rPr>
        <w:t>A SS is configured to be within Y</w:t>
      </w:r>
      <w:r w:rsidRPr="00E85AE2">
        <w:rPr>
          <w:sz w:val="22"/>
          <w:vertAlign w:val="subscript"/>
          <w:lang w:eastAsia="x-none"/>
        </w:rPr>
        <w:t>Group1</w:t>
      </w:r>
      <w:r w:rsidRPr="00E85AE2">
        <w:rPr>
          <w:sz w:val="22"/>
          <w:lang w:eastAsia="x-none"/>
        </w:rPr>
        <w:t xml:space="preserve"> consecutive slots within a slot group of X slots</w:t>
      </w:r>
    </w:p>
    <w:p w14:paraId="205C94D8" w14:textId="77777777" w:rsidR="00E85AE2" w:rsidRPr="00E85AE2" w:rsidRDefault="00E85AE2" w:rsidP="00E85AE2">
      <w:pPr>
        <w:numPr>
          <w:ilvl w:val="2"/>
          <w:numId w:val="38"/>
        </w:numPr>
        <w:rPr>
          <w:sz w:val="22"/>
          <w:lang w:eastAsia="x-none"/>
        </w:rPr>
      </w:pPr>
      <w:r w:rsidRPr="00E85AE2">
        <w:rPr>
          <w:sz w:val="22"/>
          <w:lang w:eastAsia="x-none"/>
        </w:rPr>
        <w:t>The location of the Y</w:t>
      </w:r>
      <w:r w:rsidRPr="00E85AE2">
        <w:rPr>
          <w:sz w:val="22"/>
          <w:vertAlign w:val="subscript"/>
          <w:lang w:eastAsia="x-none"/>
        </w:rPr>
        <w:t>Group1</w:t>
      </w:r>
      <w:r w:rsidRPr="00E85AE2">
        <w:rPr>
          <w:sz w:val="22"/>
          <w:lang w:eastAsia="x-none"/>
        </w:rPr>
        <w:t xml:space="preserve"> consecutive slots within a slot group of X slots is based on a time offset within the slot group based on slot index n0 determined for Group (2) monitoring such that the Y</w:t>
      </w:r>
      <w:r w:rsidRPr="00E85AE2">
        <w:rPr>
          <w:sz w:val="22"/>
          <w:vertAlign w:val="subscript"/>
          <w:lang w:eastAsia="x-none"/>
        </w:rPr>
        <w:t>Group1</w:t>
      </w:r>
      <w:r w:rsidRPr="00E85AE2">
        <w:rPr>
          <w:sz w:val="22"/>
          <w:lang w:eastAsia="x-none"/>
        </w:rPr>
        <w:t xml:space="preserve"> slots overlap the Y</w:t>
      </w:r>
      <w:r w:rsidRPr="00E85AE2">
        <w:rPr>
          <w:sz w:val="22"/>
          <w:vertAlign w:val="subscript"/>
          <w:lang w:eastAsia="x-none"/>
        </w:rPr>
        <w:t>Group2</w:t>
      </w:r>
      <w:r w:rsidRPr="00E85AE2">
        <w:rPr>
          <w:sz w:val="22"/>
          <w:lang w:eastAsia="x-none"/>
        </w:rPr>
        <w:t xml:space="preserve"> slots</w:t>
      </w:r>
    </w:p>
    <w:p w14:paraId="1AC6D379" w14:textId="77777777" w:rsidR="00E85AE2" w:rsidRPr="00E85AE2" w:rsidRDefault="00E85AE2" w:rsidP="00E85AE2">
      <w:pPr>
        <w:numPr>
          <w:ilvl w:val="2"/>
          <w:numId w:val="38"/>
        </w:numPr>
        <w:rPr>
          <w:sz w:val="22"/>
          <w:lang w:eastAsia="x-none"/>
        </w:rPr>
      </w:pPr>
      <w:r w:rsidRPr="00E85AE2">
        <w:rPr>
          <w:sz w:val="22"/>
          <w:lang w:eastAsia="x-none"/>
        </w:rPr>
        <w:t>The location of the Y</w:t>
      </w:r>
      <w:r w:rsidRPr="00E85AE2">
        <w:rPr>
          <w:sz w:val="22"/>
          <w:vertAlign w:val="subscript"/>
          <w:lang w:eastAsia="x-none"/>
        </w:rPr>
        <w:t>Group1</w:t>
      </w:r>
      <w:r w:rsidRPr="00E85AE2">
        <w:rPr>
          <w:sz w:val="22"/>
          <w:lang w:eastAsia="x-none"/>
        </w:rPr>
        <w:t xml:space="preserve"> consecutive slots within a slot group of X slots is maintained across different slot groups (unless n0 changes)</w:t>
      </w:r>
    </w:p>
    <w:p w14:paraId="58AB9ADA" w14:textId="77777777" w:rsidR="00E85AE2" w:rsidRPr="00E85AE2" w:rsidRDefault="00E85AE2" w:rsidP="00E85AE2">
      <w:pPr>
        <w:numPr>
          <w:ilvl w:val="2"/>
          <w:numId w:val="38"/>
        </w:numPr>
        <w:rPr>
          <w:sz w:val="22"/>
          <w:lang w:eastAsia="x-none"/>
        </w:rPr>
      </w:pPr>
      <w:r w:rsidRPr="00E85AE2">
        <w:rPr>
          <w:sz w:val="22"/>
          <w:lang w:eastAsia="x-none"/>
        </w:rPr>
        <w:t>BD attempts for all Group (1) SSs are restricted to fall within the same Y</w:t>
      </w:r>
      <w:r w:rsidRPr="00E85AE2">
        <w:rPr>
          <w:sz w:val="22"/>
          <w:vertAlign w:val="subscript"/>
          <w:lang w:eastAsia="x-none"/>
        </w:rPr>
        <w:t>Group1</w:t>
      </w:r>
      <w:r w:rsidRPr="00E85AE2">
        <w:rPr>
          <w:sz w:val="22"/>
          <w:lang w:eastAsia="x-none"/>
        </w:rPr>
        <w:t xml:space="preserve"> consecutive slots</w:t>
      </w:r>
    </w:p>
    <w:p w14:paraId="4A608B7D" w14:textId="77777777" w:rsidR="00E85AE2" w:rsidRPr="00E85AE2" w:rsidRDefault="00E85AE2" w:rsidP="00E85AE2">
      <w:pPr>
        <w:numPr>
          <w:ilvl w:val="1"/>
          <w:numId w:val="38"/>
        </w:numPr>
        <w:rPr>
          <w:sz w:val="22"/>
          <w:lang w:eastAsia="x-none"/>
        </w:rPr>
      </w:pPr>
      <w:r w:rsidRPr="00E85AE2">
        <w:rPr>
          <w:rFonts w:hint="eastAsia"/>
          <w:sz w:val="22"/>
          <w:lang w:eastAsia="x-none"/>
        </w:rPr>
        <w:t>F</w:t>
      </w:r>
      <w:r w:rsidRPr="00E85AE2">
        <w:rPr>
          <w:sz w:val="22"/>
          <w:lang w:eastAsia="x-none"/>
        </w:rPr>
        <w:t>or Group (2) SS</w:t>
      </w:r>
    </w:p>
    <w:p w14:paraId="74D422A2" w14:textId="77777777" w:rsidR="00E85AE2" w:rsidRPr="00E85AE2" w:rsidRDefault="00E85AE2" w:rsidP="00E85AE2">
      <w:pPr>
        <w:numPr>
          <w:ilvl w:val="2"/>
          <w:numId w:val="38"/>
        </w:numPr>
        <w:rPr>
          <w:sz w:val="22"/>
          <w:lang w:eastAsia="x-none"/>
        </w:rPr>
      </w:pPr>
      <w:r w:rsidRPr="00E85AE2">
        <w:rPr>
          <w:sz w:val="22"/>
          <w:lang w:eastAsia="x-none"/>
        </w:rPr>
        <w:t>A SS is configured to be within Y</w:t>
      </w:r>
      <w:r w:rsidRPr="00E85AE2">
        <w:rPr>
          <w:sz w:val="22"/>
          <w:vertAlign w:val="subscript"/>
          <w:lang w:eastAsia="x-none"/>
        </w:rPr>
        <w:t>Group2</w:t>
      </w:r>
      <w:r w:rsidRPr="00E85AE2">
        <w:rPr>
          <w:sz w:val="22"/>
          <w:lang w:eastAsia="x-none"/>
        </w:rPr>
        <w:t xml:space="preserve"> consecutive slots within a slot group of X slots</w:t>
      </w:r>
    </w:p>
    <w:p w14:paraId="09419418" w14:textId="77777777" w:rsidR="00E85AE2" w:rsidRPr="00E85AE2" w:rsidRDefault="00E85AE2" w:rsidP="00E85AE2">
      <w:pPr>
        <w:numPr>
          <w:ilvl w:val="2"/>
          <w:numId w:val="38"/>
        </w:numPr>
        <w:rPr>
          <w:sz w:val="22"/>
          <w:lang w:eastAsia="x-none"/>
        </w:rPr>
      </w:pPr>
      <w:r w:rsidRPr="00E85AE2">
        <w:rPr>
          <w:sz w:val="22"/>
          <w:lang w:eastAsia="x-none"/>
        </w:rPr>
        <w:t>The location of the Y</w:t>
      </w:r>
      <w:r w:rsidRPr="00E85AE2">
        <w:rPr>
          <w:sz w:val="22"/>
          <w:vertAlign w:val="subscript"/>
          <w:lang w:eastAsia="x-none"/>
        </w:rPr>
        <w:t>Group2</w:t>
      </w:r>
      <w:r w:rsidRPr="00E85AE2">
        <w:rPr>
          <w:sz w:val="22"/>
          <w:lang w:eastAsia="x-none"/>
        </w:rPr>
        <w:t xml:space="preserve"> consecutive slots within a slot group of X slots is maintained across different slot groups (unless n0 changes)</w:t>
      </w:r>
    </w:p>
    <w:p w14:paraId="33DB1E48" w14:textId="77777777" w:rsidR="00E85AE2" w:rsidRPr="00E85AE2" w:rsidRDefault="00E85AE2" w:rsidP="00E85AE2">
      <w:pPr>
        <w:numPr>
          <w:ilvl w:val="1"/>
          <w:numId w:val="38"/>
        </w:numPr>
        <w:rPr>
          <w:sz w:val="22"/>
          <w:lang w:eastAsia="x-none"/>
        </w:rPr>
      </w:pPr>
      <w:r w:rsidRPr="00E85AE2">
        <w:rPr>
          <w:sz w:val="22"/>
          <w:lang w:eastAsia="x-none"/>
        </w:rPr>
        <w:t>The reported capability indicates the BD/CCE budget within Y=max(Y</w:t>
      </w:r>
      <w:r w:rsidRPr="00E85AE2">
        <w:rPr>
          <w:sz w:val="22"/>
          <w:vertAlign w:val="subscript"/>
          <w:lang w:eastAsia="x-none"/>
        </w:rPr>
        <w:t>Group1</w:t>
      </w:r>
      <w:r w:rsidRPr="00E85AE2">
        <w:rPr>
          <w:sz w:val="22"/>
          <w:lang w:eastAsia="x-none"/>
        </w:rPr>
        <w:t>, 2) slots per slot group</w:t>
      </w:r>
    </w:p>
    <w:p w14:paraId="78258785" w14:textId="77777777" w:rsidR="00E85AE2" w:rsidRPr="00E85AE2" w:rsidRDefault="00E85AE2" w:rsidP="00E85AE2">
      <w:pPr>
        <w:numPr>
          <w:ilvl w:val="1"/>
          <w:numId w:val="38"/>
        </w:numPr>
        <w:rPr>
          <w:sz w:val="22"/>
          <w:lang w:eastAsia="x-none"/>
        </w:rPr>
      </w:pPr>
      <w:r w:rsidRPr="00E85AE2">
        <w:rPr>
          <w:sz w:val="22"/>
          <w:lang w:eastAsia="x-none"/>
        </w:rPr>
        <w:t>Support the following values of Y</w:t>
      </w:r>
      <w:r w:rsidRPr="00E85AE2">
        <w:rPr>
          <w:sz w:val="22"/>
          <w:vertAlign w:val="subscript"/>
          <w:lang w:eastAsia="x-none"/>
        </w:rPr>
        <w:t>Group1</w:t>
      </w:r>
      <w:r w:rsidRPr="00E85AE2">
        <w:rPr>
          <w:sz w:val="22"/>
          <w:lang w:eastAsia="x-none"/>
        </w:rPr>
        <w:t xml:space="preserve"> and Y</w:t>
      </w:r>
      <w:r w:rsidRPr="00E85AE2">
        <w:rPr>
          <w:sz w:val="22"/>
          <w:vertAlign w:val="subscript"/>
          <w:lang w:eastAsia="x-none"/>
        </w:rPr>
        <w:t>Group2</w:t>
      </w:r>
    </w:p>
    <w:p w14:paraId="52CCF193" w14:textId="77777777" w:rsidR="00E85AE2" w:rsidRPr="00E85AE2" w:rsidRDefault="00E85AE2" w:rsidP="00E85AE2">
      <w:pPr>
        <w:numPr>
          <w:ilvl w:val="2"/>
          <w:numId w:val="38"/>
        </w:numPr>
        <w:rPr>
          <w:sz w:val="22"/>
          <w:lang w:eastAsia="x-none"/>
        </w:rPr>
      </w:pPr>
      <w:r w:rsidRPr="00E85AE2">
        <w:rPr>
          <w:sz w:val="22"/>
          <w:lang w:eastAsia="x-none"/>
        </w:rPr>
        <w:t>For X=8: (Y</w:t>
      </w:r>
      <w:r w:rsidRPr="00E85AE2">
        <w:rPr>
          <w:sz w:val="22"/>
          <w:vertAlign w:val="subscript"/>
          <w:lang w:eastAsia="x-none"/>
        </w:rPr>
        <w:t>Group1</w:t>
      </w:r>
      <w:r w:rsidRPr="00E85AE2">
        <w:rPr>
          <w:sz w:val="22"/>
          <w:lang w:eastAsia="x-none"/>
        </w:rPr>
        <w:t>,Y</w:t>
      </w:r>
      <w:r w:rsidRPr="00E85AE2">
        <w:rPr>
          <w:sz w:val="22"/>
          <w:vertAlign w:val="subscript"/>
          <w:lang w:eastAsia="x-none"/>
        </w:rPr>
        <w:t>Group2</w:t>
      </w:r>
      <w:r w:rsidRPr="00E85AE2">
        <w:rPr>
          <w:sz w:val="22"/>
          <w:lang w:eastAsia="x-none"/>
        </w:rPr>
        <w:t>) = (4,2), (2,2), (1,[1 or 2])</w:t>
      </w:r>
    </w:p>
    <w:p w14:paraId="1B5C82C6" w14:textId="77777777" w:rsidR="00E85AE2" w:rsidRPr="00E85AE2" w:rsidRDefault="00E85AE2" w:rsidP="00E85AE2">
      <w:pPr>
        <w:numPr>
          <w:ilvl w:val="2"/>
          <w:numId w:val="38"/>
        </w:numPr>
        <w:rPr>
          <w:sz w:val="22"/>
          <w:lang w:eastAsia="x-none"/>
        </w:rPr>
      </w:pPr>
      <w:r w:rsidRPr="00E85AE2">
        <w:rPr>
          <w:sz w:val="22"/>
          <w:lang w:eastAsia="x-none"/>
        </w:rPr>
        <w:t>For X=4: (Y</w:t>
      </w:r>
      <w:r w:rsidRPr="00E85AE2">
        <w:rPr>
          <w:sz w:val="22"/>
          <w:vertAlign w:val="subscript"/>
          <w:lang w:eastAsia="x-none"/>
        </w:rPr>
        <w:t>Group1</w:t>
      </w:r>
      <w:r w:rsidRPr="00E85AE2">
        <w:rPr>
          <w:sz w:val="22"/>
          <w:lang w:eastAsia="x-none"/>
        </w:rPr>
        <w:t>,Y</w:t>
      </w:r>
      <w:r w:rsidRPr="00E85AE2">
        <w:rPr>
          <w:sz w:val="22"/>
          <w:vertAlign w:val="subscript"/>
          <w:lang w:eastAsia="x-none"/>
        </w:rPr>
        <w:t>Group2</w:t>
      </w:r>
      <w:r w:rsidRPr="00E85AE2">
        <w:rPr>
          <w:sz w:val="22"/>
          <w:lang w:eastAsia="x-none"/>
        </w:rPr>
        <w:t>) = (2,2), (1,[1 or 2])</w:t>
      </w:r>
    </w:p>
    <w:p w14:paraId="4711AEC3" w14:textId="77777777" w:rsidR="00E85AE2" w:rsidRPr="00E85AE2" w:rsidRDefault="00E85AE2" w:rsidP="00E85AE2">
      <w:pPr>
        <w:numPr>
          <w:ilvl w:val="2"/>
          <w:numId w:val="38"/>
        </w:numPr>
        <w:rPr>
          <w:sz w:val="22"/>
          <w:lang w:eastAsia="x-none"/>
        </w:rPr>
      </w:pPr>
      <w:r w:rsidRPr="00E85AE2">
        <w:rPr>
          <w:sz w:val="22"/>
          <w:lang w:eastAsia="x-none"/>
        </w:rPr>
        <w:t>For X=2: (Y</w:t>
      </w:r>
      <w:r w:rsidRPr="00E85AE2">
        <w:rPr>
          <w:sz w:val="22"/>
          <w:vertAlign w:val="subscript"/>
          <w:lang w:eastAsia="x-none"/>
        </w:rPr>
        <w:t>Group1</w:t>
      </w:r>
      <w:r w:rsidRPr="00E85AE2">
        <w:rPr>
          <w:sz w:val="22"/>
          <w:lang w:eastAsia="x-none"/>
        </w:rPr>
        <w:t>,Y</w:t>
      </w:r>
      <w:r w:rsidRPr="00E85AE2">
        <w:rPr>
          <w:sz w:val="22"/>
          <w:vertAlign w:val="subscript"/>
          <w:lang w:eastAsia="x-none"/>
        </w:rPr>
        <w:t>Group2</w:t>
      </w:r>
      <w:r w:rsidRPr="00E85AE2">
        <w:rPr>
          <w:sz w:val="22"/>
          <w:lang w:eastAsia="x-none"/>
        </w:rPr>
        <w:t>) = (1,[1 or 2])</w:t>
      </w:r>
    </w:p>
    <w:p w14:paraId="0C6A3799" w14:textId="77777777" w:rsidR="00E85AE2" w:rsidRPr="00E85AE2" w:rsidRDefault="00E85AE2" w:rsidP="00E85AE2">
      <w:pPr>
        <w:numPr>
          <w:ilvl w:val="1"/>
          <w:numId w:val="38"/>
        </w:numPr>
        <w:rPr>
          <w:sz w:val="22"/>
          <w:lang w:eastAsia="x-none"/>
        </w:rPr>
      </w:pPr>
      <w:r w:rsidRPr="00E85AE2">
        <w:rPr>
          <w:sz w:val="22"/>
          <w:lang w:eastAsia="x-none"/>
        </w:rPr>
        <w:t>Group (1) SS: Type 1 CSS with dedicated RRC configuration and type 3 CSS, UE specific SS</w:t>
      </w:r>
    </w:p>
    <w:p w14:paraId="61E3AA5E" w14:textId="77777777" w:rsidR="00E85AE2" w:rsidRPr="00E85AE2" w:rsidRDefault="00E85AE2" w:rsidP="00E85AE2">
      <w:pPr>
        <w:numPr>
          <w:ilvl w:val="1"/>
          <w:numId w:val="38"/>
        </w:numPr>
        <w:rPr>
          <w:sz w:val="22"/>
          <w:lang w:eastAsia="x-none"/>
        </w:rPr>
      </w:pPr>
      <w:r w:rsidRPr="00E85AE2">
        <w:rPr>
          <w:sz w:val="22"/>
          <w:lang w:eastAsia="x-none"/>
        </w:rPr>
        <w:t>Group (2) SS: Type 1 CSS without dedicated RRC configuration and type 0, 0A, and 2 CSS</w:t>
      </w:r>
    </w:p>
    <w:p w14:paraId="0677E5CA" w14:textId="294A6A64" w:rsidR="00B64F86" w:rsidRPr="00E85AE2" w:rsidRDefault="00B64F86" w:rsidP="003C769E">
      <w:pPr>
        <w:overflowPunct w:val="0"/>
        <w:autoSpaceDE w:val="0"/>
        <w:autoSpaceDN w:val="0"/>
        <w:adjustRightInd w:val="0"/>
        <w:spacing w:after="180"/>
        <w:contextualSpacing/>
        <w:textAlignment w:val="baseline"/>
        <w:rPr>
          <w:sz w:val="22"/>
          <w:szCs w:val="22"/>
          <w:lang w:eastAsia="x-none"/>
        </w:rPr>
      </w:pPr>
    </w:p>
    <w:p w14:paraId="6BB47129" w14:textId="1DA74888" w:rsidR="00666A17" w:rsidRPr="00A02ABF" w:rsidRDefault="00666A17" w:rsidP="004C1C96">
      <w:pPr>
        <w:rPr>
          <w:sz w:val="22"/>
          <w:szCs w:val="22"/>
        </w:rPr>
      </w:pPr>
      <w:r w:rsidRPr="00812A0D">
        <w:rPr>
          <w:sz w:val="22"/>
          <w:szCs w:val="22"/>
        </w:rPr>
        <w:t>In this contribution, we would like to share our view</w:t>
      </w:r>
      <w:r w:rsidR="001C4CED" w:rsidRPr="00812A0D">
        <w:rPr>
          <w:sz w:val="22"/>
          <w:szCs w:val="22"/>
        </w:rPr>
        <w:t>s</w:t>
      </w:r>
      <w:r w:rsidRPr="00812A0D">
        <w:rPr>
          <w:sz w:val="22"/>
          <w:szCs w:val="22"/>
        </w:rPr>
        <w:t xml:space="preserve"> on PD</w:t>
      </w:r>
      <w:r w:rsidR="00E93415" w:rsidRPr="00812A0D">
        <w:rPr>
          <w:sz w:val="22"/>
          <w:szCs w:val="22"/>
        </w:rPr>
        <w:t>C</w:t>
      </w:r>
      <w:r w:rsidRPr="00812A0D">
        <w:rPr>
          <w:sz w:val="22"/>
          <w:szCs w:val="22"/>
        </w:rPr>
        <w:t xml:space="preserve">CH </w:t>
      </w:r>
      <w:r w:rsidR="00E93415" w:rsidRPr="00812A0D">
        <w:rPr>
          <w:sz w:val="22"/>
          <w:szCs w:val="22"/>
        </w:rPr>
        <w:t xml:space="preserve">monitoring </w:t>
      </w:r>
      <w:r w:rsidRPr="00812A0D">
        <w:rPr>
          <w:sz w:val="22"/>
          <w:szCs w:val="22"/>
        </w:rPr>
        <w:t>enhancements on supporting NR from 52.6GHz to 71 GHz.</w:t>
      </w:r>
    </w:p>
    <w:p w14:paraId="56745D73" w14:textId="0660ABD2" w:rsidR="004B6D1C" w:rsidRPr="00812A0D"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lastRenderedPageBreak/>
        <w:t>Discussion</w:t>
      </w:r>
    </w:p>
    <w:p w14:paraId="553F7A0F" w14:textId="198DDE96" w:rsidR="000841E7" w:rsidRPr="00C30E7B" w:rsidRDefault="00293A59" w:rsidP="00AA281A">
      <w:pPr>
        <w:pStyle w:val="20"/>
        <w:numPr>
          <w:ilvl w:val="1"/>
          <w:numId w:val="1"/>
        </w:numPr>
        <w:spacing w:before="0" w:after="0" w:line="259" w:lineRule="auto"/>
        <w:rPr>
          <w:rFonts w:ascii="Times New Roman" w:hAnsi="Times New Roman" w:cs="Times New Roman"/>
          <w:sz w:val="24"/>
          <w:szCs w:val="24"/>
        </w:rPr>
      </w:pPr>
      <w:bookmarkStart w:id="2" w:name="_Ref61821711"/>
      <w:r w:rsidRPr="00812A0D">
        <w:rPr>
          <w:rFonts w:ascii="Times New Roman" w:hAnsi="Times New Roman" w:cs="Times New Roman"/>
          <w:sz w:val="24"/>
          <w:szCs w:val="24"/>
        </w:rPr>
        <w:t>M</w:t>
      </w:r>
      <w:r w:rsidR="00040819" w:rsidRPr="00812A0D">
        <w:rPr>
          <w:rFonts w:ascii="Times New Roman" w:hAnsi="Times New Roman" w:cs="Times New Roman"/>
          <w:sz w:val="24"/>
          <w:szCs w:val="24"/>
        </w:rPr>
        <w:t>onitoring capabilit</w:t>
      </w:r>
      <w:bookmarkEnd w:id="2"/>
      <w:r w:rsidR="00040819" w:rsidRPr="00812A0D">
        <w:rPr>
          <w:rFonts w:ascii="Times New Roman" w:hAnsi="Times New Roman" w:cs="Times New Roman"/>
          <w:sz w:val="24"/>
          <w:szCs w:val="24"/>
        </w:rPr>
        <w:t>y</w:t>
      </w:r>
    </w:p>
    <w:p w14:paraId="44A06D7D" w14:textId="77777777" w:rsidR="00AD0248" w:rsidRDefault="00560BE2" w:rsidP="001B29A5">
      <w:pPr>
        <w:pStyle w:val="a7"/>
        <w:spacing w:before="0" w:after="0" w:line="259" w:lineRule="auto"/>
        <w:rPr>
          <w:sz w:val="22"/>
          <w:szCs w:val="22"/>
        </w:rPr>
      </w:pPr>
      <w:bookmarkStart w:id="3" w:name="_Ref61526076"/>
      <w:r w:rsidRPr="00812A0D">
        <w:rPr>
          <w:sz w:val="22"/>
          <w:szCs w:val="22"/>
        </w:rPr>
        <w:t>For 480 kHz and 960 kHz SCS adopted beyond 52.6GHz, In the WID [3], PDCCH monitoring enhancement with multi-slot span is supported, it can maintain scheduling framework same as for smaller SCS (e.g. 120 kHz) when UE is configured to monitor the PDCCH every multiple slots</w:t>
      </w:r>
      <w:r w:rsidR="000841E7">
        <w:rPr>
          <w:sz w:val="22"/>
          <w:szCs w:val="22"/>
        </w:rPr>
        <w:t>.</w:t>
      </w:r>
      <w:r w:rsidRPr="00812A0D">
        <w:rPr>
          <w:sz w:val="22"/>
          <w:szCs w:val="22"/>
        </w:rPr>
        <w:t xml:space="preserve"> </w:t>
      </w:r>
    </w:p>
    <w:p w14:paraId="347D6AE1" w14:textId="52E4BE1E" w:rsidR="001B29A5" w:rsidRPr="001B29A5" w:rsidRDefault="000841E7" w:rsidP="001B29A5">
      <w:pPr>
        <w:pStyle w:val="a7"/>
        <w:spacing w:before="0" w:after="0" w:line="259" w:lineRule="auto"/>
        <w:rPr>
          <w:sz w:val="22"/>
          <w:szCs w:val="22"/>
        </w:rPr>
      </w:pPr>
      <w:r w:rsidRPr="00F3161D">
        <w:rPr>
          <w:sz w:val="22"/>
          <w:szCs w:val="22"/>
        </w:rPr>
        <w:t xml:space="preserve">In previous meeting [1], </w:t>
      </w:r>
      <w:r w:rsidR="00F3161D" w:rsidRPr="00F3161D">
        <w:rPr>
          <w:sz w:val="22"/>
          <w:szCs w:val="22"/>
        </w:rPr>
        <w:t xml:space="preserve">there </w:t>
      </w:r>
      <w:r w:rsidR="00BB375D">
        <w:rPr>
          <w:sz w:val="22"/>
          <w:szCs w:val="22"/>
        </w:rPr>
        <w:t>were</w:t>
      </w:r>
      <w:r w:rsidR="00F3161D" w:rsidRPr="00F3161D">
        <w:rPr>
          <w:sz w:val="22"/>
          <w:szCs w:val="22"/>
        </w:rPr>
        <w:t xml:space="preserve"> </w:t>
      </w:r>
      <w:r w:rsidR="00BB375D">
        <w:rPr>
          <w:sz w:val="22"/>
          <w:szCs w:val="22"/>
        </w:rPr>
        <w:t>many</w:t>
      </w:r>
      <w:r w:rsidR="00F3161D" w:rsidRPr="00F3161D">
        <w:rPr>
          <w:sz w:val="22"/>
          <w:szCs w:val="22"/>
        </w:rPr>
        <w:t xml:space="preserve"> </w:t>
      </w:r>
      <w:r w:rsidRPr="00F3161D">
        <w:rPr>
          <w:sz w:val="22"/>
          <w:szCs w:val="22"/>
        </w:rPr>
        <w:t>discussion</w:t>
      </w:r>
      <w:r w:rsidR="00BB375D">
        <w:rPr>
          <w:sz w:val="22"/>
          <w:szCs w:val="22"/>
        </w:rPr>
        <w:t>s</w:t>
      </w:r>
      <w:r w:rsidRPr="00F3161D">
        <w:rPr>
          <w:sz w:val="22"/>
          <w:szCs w:val="22"/>
        </w:rPr>
        <w:t xml:space="preserve"> </w:t>
      </w:r>
      <w:r w:rsidR="00495F1B">
        <w:rPr>
          <w:sz w:val="22"/>
          <w:szCs w:val="22"/>
        </w:rPr>
        <w:t xml:space="preserve">on </w:t>
      </w:r>
      <w:r w:rsidR="00AD0248" w:rsidRPr="001519AA">
        <w:rPr>
          <w:sz w:val="22"/>
          <w:szCs w:val="22"/>
        </w:rPr>
        <w:t>multi-slot PDCCH monitoring capability</w:t>
      </w:r>
      <w:r w:rsidR="00BB375D">
        <w:rPr>
          <w:sz w:val="22"/>
          <w:szCs w:val="22"/>
        </w:rPr>
        <w:t xml:space="preserve">, </w:t>
      </w:r>
      <w:r w:rsidR="00AD0248">
        <w:rPr>
          <w:sz w:val="22"/>
          <w:szCs w:val="22"/>
        </w:rPr>
        <w:t xml:space="preserve">and </w:t>
      </w:r>
      <w:r w:rsidR="008524FD" w:rsidRPr="008524FD">
        <w:rPr>
          <w:sz w:val="22"/>
          <w:szCs w:val="22"/>
        </w:rPr>
        <w:t>it has been agreed Multi-slot PDCCH monitoring is based on slots within a slot group</w:t>
      </w:r>
      <w:r w:rsidR="008524FD">
        <w:rPr>
          <w:sz w:val="22"/>
          <w:szCs w:val="22"/>
        </w:rPr>
        <w:t xml:space="preserve">, and </w:t>
      </w:r>
      <w:r w:rsidR="00AD0248">
        <w:rPr>
          <w:sz w:val="22"/>
          <w:lang w:eastAsia="x-none"/>
        </w:rPr>
        <w:t>s</w:t>
      </w:r>
      <w:r w:rsidR="00AD0248" w:rsidRPr="00E85AE2">
        <w:rPr>
          <w:sz w:val="22"/>
          <w:lang w:eastAsia="x-none"/>
        </w:rPr>
        <w:t>earch space configuration</w:t>
      </w:r>
      <w:r w:rsidR="00AD0248">
        <w:rPr>
          <w:sz w:val="22"/>
          <w:szCs w:val="22"/>
        </w:rPr>
        <w:t xml:space="preserve"> is for further study. There are 3 options listed by FL in the </w:t>
      </w:r>
      <w:r w:rsidR="00AD0248" w:rsidRPr="00AD0248">
        <w:rPr>
          <w:sz w:val="22"/>
          <w:szCs w:val="22"/>
        </w:rPr>
        <w:t xml:space="preserve">fourth round discussion </w:t>
      </w:r>
      <w:r w:rsidR="005D4B60" w:rsidRPr="00AD0248">
        <w:rPr>
          <w:sz w:val="22"/>
          <w:szCs w:val="22"/>
        </w:rPr>
        <w:t>summary</w:t>
      </w:r>
      <w:r w:rsidR="005D4B60">
        <w:rPr>
          <w:sz w:val="22"/>
          <w:szCs w:val="22"/>
        </w:rPr>
        <w:t xml:space="preserve"> [4</w:t>
      </w:r>
      <w:r w:rsidR="00AD0248">
        <w:rPr>
          <w:sz w:val="22"/>
          <w:szCs w:val="22"/>
        </w:rPr>
        <w:t xml:space="preserve">]. </w:t>
      </w:r>
      <w:r w:rsidR="00F3161D">
        <w:rPr>
          <w:sz w:val="22"/>
          <w:szCs w:val="22"/>
        </w:rPr>
        <w:t xml:space="preserve">In our view, </w:t>
      </w:r>
      <w:r w:rsidR="00AD0248">
        <w:rPr>
          <w:sz w:val="22"/>
          <w:szCs w:val="22"/>
        </w:rPr>
        <w:t xml:space="preserve">if </w:t>
      </w:r>
      <w:r w:rsidR="005D4B60" w:rsidRPr="005D4B60">
        <w:rPr>
          <w:sz w:val="22"/>
          <w:szCs w:val="22"/>
        </w:rPr>
        <w:t xml:space="preserve">Option B-rev1 is adopted, </w:t>
      </w:r>
      <w:r w:rsidR="00AD0248">
        <w:rPr>
          <w:sz w:val="22"/>
          <w:szCs w:val="22"/>
        </w:rPr>
        <w:t>i</w:t>
      </w:r>
      <w:r w:rsidR="00495F1B">
        <w:rPr>
          <w:sz w:val="22"/>
          <w:szCs w:val="22"/>
        </w:rPr>
        <w:t xml:space="preserve">n order to avoid the back-to-back overload issue, </w:t>
      </w:r>
      <w:r w:rsidR="005D4B60">
        <w:rPr>
          <w:sz w:val="22"/>
          <w:szCs w:val="22"/>
        </w:rPr>
        <w:t xml:space="preserve">there are 2 </w:t>
      </w:r>
      <w:r w:rsidR="00657B4C" w:rsidRPr="00657B4C">
        <w:rPr>
          <w:sz w:val="22"/>
          <w:szCs w:val="22"/>
        </w:rPr>
        <w:t>option</w:t>
      </w:r>
      <w:r w:rsidR="00657B4C">
        <w:rPr>
          <w:sz w:val="22"/>
          <w:szCs w:val="22"/>
        </w:rPr>
        <w:t>s</w:t>
      </w:r>
      <w:r w:rsidR="005D4B60">
        <w:rPr>
          <w:sz w:val="22"/>
          <w:szCs w:val="22"/>
        </w:rPr>
        <w:t xml:space="preserve">: 1. </w:t>
      </w:r>
      <w:r w:rsidR="00495F1B">
        <w:rPr>
          <w:sz w:val="22"/>
          <w:szCs w:val="22"/>
        </w:rPr>
        <w:t xml:space="preserve">an extra window </w:t>
      </w:r>
      <w:r w:rsidR="001B29A5">
        <w:rPr>
          <w:sz w:val="22"/>
          <w:szCs w:val="22"/>
        </w:rPr>
        <w:t>can be considered</w:t>
      </w:r>
      <w:r w:rsidR="00495F1B">
        <w:rPr>
          <w:sz w:val="22"/>
          <w:szCs w:val="22"/>
        </w:rPr>
        <w:t xml:space="preserve"> to calculate the PDCCH monitoring burden.</w:t>
      </w:r>
      <w:r w:rsidR="001B29A5">
        <w:rPr>
          <w:sz w:val="22"/>
          <w:szCs w:val="22"/>
        </w:rPr>
        <w:t xml:space="preserve"> In this extra window</w:t>
      </w:r>
      <w:r w:rsidR="002D612D">
        <w:rPr>
          <w:sz w:val="22"/>
          <w:szCs w:val="22"/>
        </w:rPr>
        <w:t xml:space="preserve"> with size </w:t>
      </w:r>
      <w:r w:rsidR="00D50599" w:rsidRPr="00D50599">
        <w:rPr>
          <w:sz w:val="22"/>
          <w:szCs w:val="22"/>
        </w:rPr>
        <w:t>equivalent to</w:t>
      </w:r>
      <w:r w:rsidR="002D612D">
        <w:rPr>
          <w:sz w:val="22"/>
          <w:szCs w:val="22"/>
        </w:rPr>
        <w:t xml:space="preserve"> X</w:t>
      </w:r>
      <w:r w:rsidR="001B29A5">
        <w:rPr>
          <w:sz w:val="22"/>
          <w:szCs w:val="22"/>
        </w:rPr>
        <w:t>, the</w:t>
      </w:r>
      <w:r w:rsidR="001B29A5" w:rsidRPr="001B29A5">
        <w:rPr>
          <w:sz w:val="22"/>
          <w:szCs w:val="22"/>
        </w:rPr>
        <w:t xml:space="preserve"> monitoring capability indicates the BD/CCE budget within the whole window</w:t>
      </w:r>
      <w:r w:rsidR="003510F6">
        <w:rPr>
          <w:sz w:val="22"/>
          <w:szCs w:val="22"/>
        </w:rPr>
        <w:t>.</w:t>
      </w:r>
      <w:r w:rsidR="005D4B60">
        <w:rPr>
          <w:sz w:val="22"/>
          <w:szCs w:val="22"/>
        </w:rPr>
        <w:t xml:space="preserve"> 2. Skip</w:t>
      </w:r>
      <w:r w:rsidR="008524FD">
        <w:rPr>
          <w:sz w:val="22"/>
          <w:szCs w:val="22"/>
        </w:rPr>
        <w:t xml:space="preserve"> </w:t>
      </w:r>
      <w:r w:rsidR="005D4B60">
        <w:rPr>
          <w:sz w:val="22"/>
          <w:szCs w:val="22"/>
        </w:rPr>
        <w:t>monitor</w:t>
      </w:r>
      <w:r w:rsidR="008524FD">
        <w:rPr>
          <w:sz w:val="22"/>
          <w:szCs w:val="22"/>
        </w:rPr>
        <w:t>ing</w:t>
      </w:r>
      <w:r w:rsidR="005D4B60">
        <w:rPr>
          <w:sz w:val="22"/>
          <w:szCs w:val="22"/>
        </w:rPr>
        <w:t xml:space="preserve"> </w:t>
      </w:r>
      <w:r w:rsidR="005D4B60" w:rsidRPr="005D4B60">
        <w:rPr>
          <w:sz w:val="22"/>
          <w:szCs w:val="22"/>
        </w:rPr>
        <w:t>Group (1) SS in the next slot group.</w:t>
      </w:r>
    </w:p>
    <w:p w14:paraId="55B02C09" w14:textId="77777777" w:rsidR="001B29A5" w:rsidRPr="001B29A5" w:rsidRDefault="001B29A5" w:rsidP="001B29A5">
      <w:pPr>
        <w:rPr>
          <w:lang w:val="en-GB"/>
        </w:rPr>
      </w:pPr>
    </w:p>
    <w:p w14:paraId="2691C290" w14:textId="1D8E85C1" w:rsidR="000841E7" w:rsidRPr="001B29A5" w:rsidRDefault="00B8569B" w:rsidP="00812A0D">
      <w:pPr>
        <w:pStyle w:val="a7"/>
        <w:spacing w:before="0" w:after="0" w:line="259" w:lineRule="auto"/>
        <w:rPr>
          <w:rFonts w:eastAsiaTheme="minorEastAsia"/>
          <w:sz w:val="22"/>
          <w:szCs w:val="22"/>
          <w:lang w:eastAsia="zh-CN"/>
        </w:rPr>
      </w:pPr>
      <w:r>
        <w:rPr>
          <w:rFonts w:eastAsiaTheme="minorEastAsia" w:hint="eastAsia"/>
          <w:noProof/>
          <w:sz w:val="22"/>
          <w:szCs w:val="22"/>
          <w:lang w:val="en-US" w:eastAsia="zh-CN"/>
        </w:rPr>
        <w:drawing>
          <wp:inline distT="0" distB="0" distL="0" distR="0" wp14:anchorId="722CCC1B" wp14:editId="4B1CE611">
            <wp:extent cx="5759450" cy="1428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428750"/>
                    </a:xfrm>
                    <a:prstGeom prst="rect">
                      <a:avLst/>
                    </a:prstGeom>
                    <a:noFill/>
                    <a:ln>
                      <a:noFill/>
                    </a:ln>
                  </pic:spPr>
                </pic:pic>
              </a:graphicData>
            </a:graphic>
          </wp:inline>
        </w:drawing>
      </w:r>
    </w:p>
    <w:p w14:paraId="7A021153" w14:textId="57A35412" w:rsidR="000841E7" w:rsidRDefault="001B29A5" w:rsidP="001B29A5">
      <w:pPr>
        <w:pStyle w:val="a7"/>
        <w:spacing w:before="0" w:after="0" w:line="259" w:lineRule="auto"/>
        <w:jc w:val="center"/>
        <w:rPr>
          <w:rFonts w:eastAsiaTheme="minorEastAsia"/>
          <w:b/>
          <w:sz w:val="22"/>
          <w:szCs w:val="22"/>
          <w:lang w:eastAsia="zh-CN"/>
        </w:rPr>
      </w:pPr>
      <w:r w:rsidRPr="001B29A5">
        <w:rPr>
          <w:rFonts w:eastAsiaTheme="minorEastAsia"/>
          <w:b/>
          <w:sz w:val="22"/>
          <w:szCs w:val="22"/>
          <w:lang w:eastAsia="zh-CN"/>
        </w:rPr>
        <w:t>Figure 1</w:t>
      </w:r>
    </w:p>
    <w:p w14:paraId="2FDD1FE4" w14:textId="3FFCADF0" w:rsidR="001B29A5" w:rsidRDefault="001B29A5" w:rsidP="001B29A5">
      <w:pPr>
        <w:rPr>
          <w:b/>
          <w:sz w:val="22"/>
          <w:szCs w:val="22"/>
        </w:rPr>
      </w:pPr>
      <w:r w:rsidRPr="00812A0D">
        <w:rPr>
          <w:b/>
          <w:sz w:val="22"/>
          <w:szCs w:val="22"/>
        </w:rPr>
        <w:t xml:space="preserve">Proposal 1: </w:t>
      </w:r>
      <w:r w:rsidR="008524FD">
        <w:rPr>
          <w:b/>
          <w:sz w:val="22"/>
          <w:szCs w:val="22"/>
        </w:rPr>
        <w:t>For Option B-rev1</w:t>
      </w:r>
      <w:r w:rsidR="00FE3620">
        <w:rPr>
          <w:b/>
          <w:sz w:val="22"/>
          <w:szCs w:val="22"/>
        </w:rPr>
        <w:t xml:space="preserve"> listed in the </w:t>
      </w:r>
      <w:r w:rsidR="00FE3620" w:rsidRPr="00FE3620">
        <w:rPr>
          <w:b/>
          <w:sz w:val="22"/>
          <w:szCs w:val="22"/>
        </w:rPr>
        <w:t>fourth round discussion</w:t>
      </w:r>
      <w:r>
        <w:rPr>
          <w:b/>
          <w:sz w:val="22"/>
          <w:szCs w:val="22"/>
        </w:rPr>
        <w:t xml:space="preserve">, </w:t>
      </w:r>
      <w:r w:rsidR="008524FD" w:rsidRPr="008524FD">
        <w:rPr>
          <w:b/>
          <w:sz w:val="22"/>
          <w:szCs w:val="22"/>
        </w:rPr>
        <w:t>to avoid the back-to-back overload issue</w:t>
      </w:r>
      <w:r w:rsidR="008524FD">
        <w:rPr>
          <w:b/>
          <w:sz w:val="22"/>
          <w:szCs w:val="22"/>
        </w:rPr>
        <w:t xml:space="preserve">, </w:t>
      </w:r>
      <w:r>
        <w:rPr>
          <w:b/>
          <w:sz w:val="22"/>
          <w:szCs w:val="22"/>
        </w:rPr>
        <w:t>a</w:t>
      </w:r>
      <w:r w:rsidRPr="001B29A5">
        <w:rPr>
          <w:b/>
          <w:sz w:val="22"/>
          <w:szCs w:val="22"/>
        </w:rPr>
        <w:t xml:space="preserve">n extra window can be considered to calculate the PDCCH monitoring burden if </w:t>
      </w:r>
      <w:r w:rsidR="008524FD" w:rsidRPr="008524FD">
        <w:rPr>
          <w:b/>
          <w:sz w:val="22"/>
          <w:szCs w:val="22"/>
        </w:rPr>
        <w:t>Group (2) SS</w:t>
      </w:r>
      <w:r w:rsidRPr="001B29A5">
        <w:rPr>
          <w:b/>
          <w:sz w:val="22"/>
          <w:szCs w:val="22"/>
        </w:rPr>
        <w:t xml:space="preserve"> don’t fall into Y monitoring slots</w:t>
      </w:r>
      <w:r>
        <w:rPr>
          <w:b/>
          <w:sz w:val="22"/>
          <w:szCs w:val="22"/>
        </w:rPr>
        <w:t>.</w:t>
      </w:r>
    </w:p>
    <w:p w14:paraId="7152BA7A" w14:textId="77777777" w:rsidR="001B29A5" w:rsidRPr="001B29A5" w:rsidRDefault="001B29A5" w:rsidP="001B29A5">
      <w:pPr>
        <w:rPr>
          <w:rFonts w:eastAsiaTheme="minorEastAsia"/>
          <w:lang w:val="en-GB" w:eastAsia="zh-CN"/>
        </w:rPr>
      </w:pPr>
    </w:p>
    <w:p w14:paraId="0AAF1872" w14:textId="0EE172F3" w:rsidR="00560BE2" w:rsidRPr="00812A0D" w:rsidRDefault="000841E7" w:rsidP="00812A0D">
      <w:pPr>
        <w:pStyle w:val="a7"/>
        <w:spacing w:before="0" w:after="0" w:line="259" w:lineRule="auto"/>
        <w:rPr>
          <w:sz w:val="22"/>
          <w:szCs w:val="22"/>
        </w:rPr>
      </w:pPr>
      <w:r>
        <w:rPr>
          <w:rFonts w:eastAsiaTheme="minorEastAsia"/>
          <w:sz w:val="22"/>
          <w:lang w:eastAsia="zh-CN"/>
        </w:rPr>
        <w:t>In meeting</w:t>
      </w:r>
      <w:r w:rsidR="005D4B60">
        <w:rPr>
          <w:rFonts w:eastAsiaTheme="minorEastAsia"/>
          <w:sz w:val="22"/>
          <w:lang w:eastAsia="zh-CN"/>
        </w:rPr>
        <w:t xml:space="preserve"> 106-</w:t>
      </w:r>
      <w:r w:rsidR="00FE3620">
        <w:rPr>
          <w:rFonts w:eastAsiaTheme="minorEastAsia"/>
          <w:sz w:val="22"/>
          <w:lang w:eastAsia="zh-CN"/>
        </w:rPr>
        <w:t>bis-</w:t>
      </w:r>
      <w:r w:rsidR="005D4B60">
        <w:rPr>
          <w:rFonts w:eastAsiaTheme="minorEastAsia"/>
          <w:sz w:val="22"/>
          <w:lang w:eastAsia="zh-CN"/>
        </w:rPr>
        <w:t>e</w:t>
      </w:r>
      <w:r>
        <w:rPr>
          <w:rFonts w:eastAsiaTheme="minorEastAsia"/>
          <w:sz w:val="22"/>
          <w:lang w:eastAsia="zh-CN"/>
        </w:rPr>
        <w:t>, it was agreed that</w:t>
      </w:r>
      <w:r w:rsidR="00AA281A" w:rsidRPr="001B6C54">
        <w:rPr>
          <w:sz w:val="22"/>
          <w:szCs w:val="22"/>
          <w:lang w:eastAsia="zh-CN"/>
        </w:rPr>
        <w:t xml:space="preserve"> the following values are </w:t>
      </w:r>
      <w:r w:rsidR="00D6683F" w:rsidRPr="00D6683F">
        <w:rPr>
          <w:sz w:val="22"/>
          <w:lang w:eastAsia="x-none"/>
        </w:rPr>
        <w:t xml:space="preserve">mandatorily </w:t>
      </w:r>
      <w:r w:rsidR="00AA281A" w:rsidRPr="001B6C54">
        <w:rPr>
          <w:sz w:val="22"/>
          <w:szCs w:val="22"/>
          <w:lang w:eastAsia="zh-CN"/>
        </w:rPr>
        <w:t>supported</w:t>
      </w:r>
      <w:r w:rsidR="00AA281A">
        <w:rPr>
          <w:sz w:val="22"/>
          <w:szCs w:val="22"/>
          <w:lang w:eastAsia="zh-CN"/>
        </w:rPr>
        <w:t>:</w:t>
      </w:r>
      <w:r w:rsidR="00560BE2" w:rsidRPr="00812A0D">
        <w:rPr>
          <w:sz w:val="22"/>
          <w:szCs w:val="22"/>
        </w:rPr>
        <w:t xml:space="preserve"> 4 slots for 480 kHz SCS and 8 slots for 960 kHz SCS</w:t>
      </w:r>
      <w:r>
        <w:rPr>
          <w:sz w:val="22"/>
          <w:szCs w:val="22"/>
        </w:rPr>
        <w:t xml:space="preserve">, </w:t>
      </w:r>
      <w:r w:rsidRPr="00812A0D">
        <w:rPr>
          <w:sz w:val="22"/>
          <w:szCs w:val="22"/>
        </w:rPr>
        <w:t xml:space="preserve">and </w:t>
      </w:r>
      <w:r>
        <w:rPr>
          <w:sz w:val="22"/>
          <w:szCs w:val="22"/>
        </w:rPr>
        <w:t xml:space="preserve">other </w:t>
      </w:r>
      <w:r w:rsidRPr="00812A0D">
        <w:rPr>
          <w:sz w:val="22"/>
          <w:szCs w:val="22"/>
        </w:rPr>
        <w:t xml:space="preserve">specific number of the </w:t>
      </w:r>
      <w:r>
        <w:rPr>
          <w:sz w:val="22"/>
          <w:szCs w:val="22"/>
        </w:rPr>
        <w:t>multiple slots is in discussion</w:t>
      </w:r>
      <w:r w:rsidR="00560BE2" w:rsidRPr="00812A0D">
        <w:rPr>
          <w:sz w:val="22"/>
          <w:szCs w:val="22"/>
        </w:rPr>
        <w:t xml:space="preserve">. </w:t>
      </w:r>
      <w:r>
        <w:rPr>
          <w:sz w:val="22"/>
          <w:szCs w:val="22"/>
        </w:rPr>
        <w:t>F</w:t>
      </w:r>
      <w:r w:rsidR="00560BE2" w:rsidRPr="00812A0D">
        <w:rPr>
          <w:sz w:val="22"/>
          <w:szCs w:val="22"/>
        </w:rPr>
        <w:t xml:space="preserve">or some use cases such as low-latency services which require more frequent PDCCH monitoring, the flexibility will be reduced with the multi-slot based monitoring. To handle those use cases with low-latency, denser PDCCH monitoring occasion </w:t>
      </w:r>
      <w:r w:rsidR="003662C2" w:rsidRPr="00812A0D">
        <w:rPr>
          <w:sz w:val="22"/>
          <w:szCs w:val="22"/>
        </w:rPr>
        <w:t xml:space="preserve">should </w:t>
      </w:r>
      <w:r w:rsidR="003662C2">
        <w:rPr>
          <w:sz w:val="22"/>
          <w:szCs w:val="22"/>
        </w:rPr>
        <w:t xml:space="preserve">be </w:t>
      </w:r>
      <w:r w:rsidR="003662C2" w:rsidRPr="00812A0D">
        <w:rPr>
          <w:sz w:val="22"/>
          <w:szCs w:val="22"/>
        </w:rPr>
        <w:t>consider</w:t>
      </w:r>
      <w:r w:rsidR="003662C2">
        <w:rPr>
          <w:sz w:val="22"/>
          <w:szCs w:val="22"/>
        </w:rPr>
        <w:t xml:space="preserve">ed to support, </w:t>
      </w:r>
      <w:r w:rsidR="00560BE2" w:rsidRPr="00812A0D">
        <w:rPr>
          <w:sz w:val="22"/>
          <w:szCs w:val="22"/>
        </w:rPr>
        <w:t xml:space="preserve">such as per 2-slots based monitoring </w:t>
      </w:r>
      <w:r w:rsidR="003662C2" w:rsidRPr="003662C2">
        <w:rPr>
          <w:rFonts w:hint="eastAsia"/>
          <w:sz w:val="22"/>
          <w:szCs w:val="22"/>
        </w:rPr>
        <w:t>for</w:t>
      </w:r>
      <w:r w:rsidR="003662C2">
        <w:rPr>
          <w:sz w:val="22"/>
          <w:szCs w:val="22"/>
        </w:rPr>
        <w:t xml:space="preserve"> </w:t>
      </w:r>
      <w:r w:rsidR="003662C2" w:rsidRPr="003662C2">
        <w:rPr>
          <w:sz w:val="22"/>
          <w:szCs w:val="22"/>
        </w:rPr>
        <w:t xml:space="preserve">480 kHz SCS and </w:t>
      </w:r>
      <w:r w:rsidR="003662C2" w:rsidRPr="00812A0D">
        <w:rPr>
          <w:sz w:val="22"/>
          <w:szCs w:val="22"/>
        </w:rPr>
        <w:t>per</w:t>
      </w:r>
      <w:r w:rsidR="003662C2">
        <w:rPr>
          <w:sz w:val="22"/>
          <w:szCs w:val="22"/>
        </w:rPr>
        <w:t xml:space="preserve"> 4</w:t>
      </w:r>
      <w:r w:rsidR="003662C2" w:rsidRPr="00812A0D">
        <w:rPr>
          <w:sz w:val="22"/>
          <w:szCs w:val="22"/>
        </w:rPr>
        <w:t>-slot</w:t>
      </w:r>
      <w:r w:rsidR="003662C2">
        <w:rPr>
          <w:sz w:val="22"/>
          <w:szCs w:val="22"/>
        </w:rPr>
        <w:t>s</w:t>
      </w:r>
      <w:r w:rsidR="003662C2" w:rsidRPr="00812A0D">
        <w:rPr>
          <w:sz w:val="22"/>
          <w:szCs w:val="22"/>
        </w:rPr>
        <w:t xml:space="preserve"> based monitoring </w:t>
      </w:r>
      <w:r w:rsidR="003662C2" w:rsidRPr="003662C2">
        <w:rPr>
          <w:rFonts w:hint="eastAsia"/>
          <w:sz w:val="22"/>
          <w:szCs w:val="22"/>
        </w:rPr>
        <w:t>for</w:t>
      </w:r>
      <w:r w:rsidR="003662C2">
        <w:rPr>
          <w:sz w:val="22"/>
          <w:szCs w:val="22"/>
        </w:rPr>
        <w:t xml:space="preserve"> </w:t>
      </w:r>
      <w:r w:rsidR="003662C2" w:rsidRPr="003662C2">
        <w:rPr>
          <w:sz w:val="22"/>
          <w:szCs w:val="22"/>
        </w:rPr>
        <w:t>960 kHz SCS</w:t>
      </w:r>
      <w:r w:rsidR="003662C2">
        <w:rPr>
          <w:sz w:val="22"/>
          <w:szCs w:val="22"/>
        </w:rPr>
        <w:t>,</w:t>
      </w:r>
      <w:r w:rsidR="00B85891">
        <w:rPr>
          <w:sz w:val="22"/>
          <w:szCs w:val="22"/>
        </w:rPr>
        <w:t xml:space="preserve"> and </w:t>
      </w:r>
      <w:r w:rsidR="00560BE2" w:rsidRPr="00812A0D">
        <w:rPr>
          <w:sz w:val="22"/>
          <w:szCs w:val="22"/>
        </w:rPr>
        <w:t xml:space="preserve">accordingly the associated BD/CCEs limit number needs </w:t>
      </w:r>
      <w:r w:rsidR="005820FF" w:rsidRPr="00812A0D">
        <w:rPr>
          <w:sz w:val="22"/>
          <w:szCs w:val="22"/>
        </w:rPr>
        <w:t xml:space="preserve">to </w:t>
      </w:r>
      <w:r w:rsidR="00560BE2" w:rsidRPr="00812A0D">
        <w:rPr>
          <w:sz w:val="22"/>
          <w:szCs w:val="22"/>
        </w:rPr>
        <w:t xml:space="preserve">further study.  </w:t>
      </w:r>
    </w:p>
    <w:p w14:paraId="3BF36A33" w14:textId="67A44E9E" w:rsidR="00040819" w:rsidRPr="00812A0D" w:rsidRDefault="001B29A5" w:rsidP="00812A0D">
      <w:pPr>
        <w:pStyle w:val="a7"/>
        <w:spacing w:before="0" w:after="0" w:line="259" w:lineRule="auto"/>
        <w:rPr>
          <w:b/>
          <w:sz w:val="22"/>
          <w:szCs w:val="22"/>
        </w:rPr>
      </w:pPr>
      <w:r>
        <w:rPr>
          <w:b/>
          <w:sz w:val="22"/>
          <w:szCs w:val="22"/>
        </w:rPr>
        <w:t>Proposal 2</w:t>
      </w:r>
      <w:r w:rsidR="00040819" w:rsidRPr="00812A0D">
        <w:rPr>
          <w:b/>
          <w:sz w:val="22"/>
          <w:szCs w:val="22"/>
        </w:rPr>
        <w:t xml:space="preserve">: </w:t>
      </w:r>
      <w:r w:rsidR="003714C5" w:rsidRPr="003714C5">
        <w:rPr>
          <w:rFonts w:hint="eastAsia"/>
          <w:b/>
          <w:sz w:val="22"/>
          <w:szCs w:val="22"/>
        </w:rPr>
        <w:t>Ad</w:t>
      </w:r>
      <w:r w:rsidR="003714C5" w:rsidRPr="003714C5">
        <w:rPr>
          <w:b/>
          <w:sz w:val="22"/>
          <w:szCs w:val="22"/>
        </w:rPr>
        <w:t xml:space="preserve">ditional </w:t>
      </w:r>
      <w:r w:rsidR="003714C5" w:rsidRPr="00812A0D">
        <w:rPr>
          <w:b/>
          <w:sz w:val="22"/>
          <w:szCs w:val="22"/>
        </w:rPr>
        <w:t>PDCCH monitoring</w:t>
      </w:r>
      <w:r w:rsidR="003714C5" w:rsidRPr="003714C5">
        <w:rPr>
          <w:b/>
          <w:sz w:val="22"/>
          <w:szCs w:val="22"/>
        </w:rPr>
        <w:t xml:space="preserve"> group size</w:t>
      </w:r>
      <w:r w:rsidR="00B05ACC">
        <w:rPr>
          <w:b/>
          <w:sz w:val="22"/>
          <w:szCs w:val="22"/>
        </w:rPr>
        <w:t>s</w:t>
      </w:r>
      <w:r w:rsidR="003714C5">
        <w:rPr>
          <w:b/>
          <w:sz w:val="22"/>
          <w:szCs w:val="22"/>
        </w:rPr>
        <w:t xml:space="preserve"> should be supported: 2 for </w:t>
      </w:r>
      <w:r w:rsidR="003714C5" w:rsidRPr="00812A0D">
        <w:rPr>
          <w:b/>
          <w:sz w:val="22"/>
          <w:szCs w:val="22"/>
        </w:rPr>
        <w:t>480 kHz SCS</w:t>
      </w:r>
      <w:r w:rsidR="003714C5">
        <w:rPr>
          <w:b/>
          <w:sz w:val="22"/>
          <w:szCs w:val="22"/>
        </w:rPr>
        <w:t xml:space="preserve">, 4 for </w:t>
      </w:r>
      <w:r w:rsidR="00040819" w:rsidRPr="00812A0D">
        <w:rPr>
          <w:b/>
          <w:sz w:val="22"/>
          <w:szCs w:val="22"/>
        </w:rPr>
        <w:t xml:space="preserve">960 kHz SCS, and </w:t>
      </w:r>
      <w:r w:rsidR="005B3339" w:rsidRPr="00812A0D">
        <w:rPr>
          <w:b/>
          <w:sz w:val="22"/>
          <w:szCs w:val="22"/>
        </w:rPr>
        <w:t xml:space="preserve">further study </w:t>
      </w:r>
      <w:r w:rsidR="00040819" w:rsidRPr="00812A0D">
        <w:rPr>
          <w:b/>
          <w:sz w:val="22"/>
          <w:szCs w:val="22"/>
        </w:rPr>
        <w:t>the associated BD/CCE</w:t>
      </w:r>
      <w:r w:rsidR="00F616EF" w:rsidRPr="00812A0D">
        <w:rPr>
          <w:b/>
          <w:sz w:val="22"/>
          <w:szCs w:val="22"/>
        </w:rPr>
        <w:t>s</w:t>
      </w:r>
      <w:r w:rsidR="00040819" w:rsidRPr="00812A0D">
        <w:rPr>
          <w:b/>
          <w:sz w:val="22"/>
          <w:szCs w:val="22"/>
        </w:rPr>
        <w:t xml:space="preserve"> limit</w:t>
      </w:r>
      <w:bookmarkEnd w:id="3"/>
      <w:r w:rsidR="00F616EF" w:rsidRPr="00812A0D">
        <w:rPr>
          <w:b/>
          <w:sz w:val="22"/>
          <w:szCs w:val="22"/>
        </w:rPr>
        <w:t xml:space="preserve"> number.</w:t>
      </w:r>
    </w:p>
    <w:p w14:paraId="105CF49B" w14:textId="48D9B575" w:rsidR="00666DD9" w:rsidRPr="005722AB" w:rsidRDefault="00666DD9" w:rsidP="00812A0D">
      <w:pPr>
        <w:pStyle w:val="a0"/>
        <w:spacing w:after="0" w:line="259" w:lineRule="auto"/>
        <w:rPr>
          <w:rFonts w:eastAsiaTheme="minorEastAsia"/>
          <w:sz w:val="22"/>
          <w:szCs w:val="22"/>
          <w:lang w:eastAsia="zh-CN"/>
        </w:rPr>
      </w:pPr>
    </w:p>
    <w:p w14:paraId="767A165C" w14:textId="376B2A47" w:rsidR="0053587F" w:rsidRPr="00812A0D" w:rsidRDefault="005722AB" w:rsidP="00812A0D">
      <w:pPr>
        <w:pStyle w:val="20"/>
        <w:spacing w:before="0" w:after="0" w:line="259" w:lineRule="auto"/>
        <w:rPr>
          <w:rFonts w:ascii="Times New Roman" w:hAnsi="Times New Roman" w:cs="Times New Roman"/>
          <w:sz w:val="24"/>
          <w:szCs w:val="24"/>
        </w:rPr>
      </w:pPr>
      <w:r>
        <w:rPr>
          <w:rFonts w:ascii="Times New Roman" w:hAnsi="Times New Roman" w:cs="Times New Roman"/>
          <w:sz w:val="24"/>
          <w:szCs w:val="24"/>
        </w:rPr>
        <w:t>2.</w:t>
      </w:r>
      <w:r w:rsidR="00DE3521">
        <w:rPr>
          <w:rFonts w:ascii="Times New Roman" w:hAnsi="Times New Roman" w:cs="Times New Roman"/>
          <w:sz w:val="24"/>
          <w:szCs w:val="24"/>
        </w:rPr>
        <w:t>2</w:t>
      </w:r>
      <w:r w:rsidR="00635071" w:rsidRPr="00812A0D">
        <w:rPr>
          <w:rFonts w:ascii="Times New Roman" w:hAnsi="Times New Roman" w:cs="Times New Roman"/>
          <w:sz w:val="24"/>
          <w:szCs w:val="24"/>
        </w:rPr>
        <w:t xml:space="preserve"> </w:t>
      </w:r>
      <w:r w:rsidR="003933CE">
        <w:rPr>
          <w:rFonts w:ascii="Times New Roman" w:hAnsi="Times New Roman" w:cs="Times New Roman"/>
          <w:sz w:val="24"/>
          <w:szCs w:val="24"/>
        </w:rPr>
        <w:t xml:space="preserve">    </w:t>
      </w:r>
      <w:r w:rsidR="00635071" w:rsidRPr="00812A0D">
        <w:rPr>
          <w:rFonts w:ascii="Times New Roman" w:hAnsi="Times New Roman" w:cs="Times New Roman"/>
          <w:sz w:val="24"/>
          <w:szCs w:val="24"/>
        </w:rPr>
        <w:t>Search space set group switching</w:t>
      </w:r>
    </w:p>
    <w:p w14:paraId="2A15C9FB" w14:textId="088A5F82" w:rsidR="003A23BB" w:rsidRPr="00812A0D" w:rsidRDefault="00BC037E" w:rsidP="00812A0D">
      <w:pPr>
        <w:spacing w:line="259" w:lineRule="auto"/>
        <w:jc w:val="both"/>
        <w:rPr>
          <w:sz w:val="22"/>
          <w:szCs w:val="22"/>
          <w:lang w:val="en-GB"/>
        </w:rPr>
      </w:pPr>
      <w:r w:rsidRPr="00812A0D">
        <w:rPr>
          <w:sz w:val="22"/>
          <w:szCs w:val="22"/>
          <w:lang w:val="en-GB"/>
        </w:rPr>
        <w:t>In TS 38.213 [2]</w:t>
      </w:r>
      <w:r w:rsidR="00D8644B" w:rsidRPr="00812A0D">
        <w:rPr>
          <w:sz w:val="22"/>
          <w:szCs w:val="22"/>
          <w:lang w:val="en-GB"/>
        </w:rPr>
        <w:t xml:space="preserve">, </w:t>
      </w:r>
      <w:r w:rsidR="00560BE2" w:rsidRPr="00812A0D">
        <w:rPr>
          <w:sz w:val="22"/>
          <w:szCs w:val="22"/>
          <w:lang w:val="en-GB"/>
        </w:rPr>
        <w:t>s</w:t>
      </w:r>
      <w:r w:rsidR="00635071" w:rsidRPr="00812A0D">
        <w:rPr>
          <w:sz w:val="22"/>
          <w:szCs w:val="22"/>
          <w:lang w:val="en-GB"/>
        </w:rPr>
        <w:t xml:space="preserve">earch space set group switching is introduced </w:t>
      </w:r>
      <w:r w:rsidR="00560BE2" w:rsidRPr="00812A0D">
        <w:rPr>
          <w:sz w:val="22"/>
          <w:szCs w:val="22"/>
          <w:lang w:val="en-GB"/>
        </w:rPr>
        <w:t xml:space="preserve">for </w:t>
      </w:r>
      <w:r w:rsidR="00635071" w:rsidRPr="00812A0D">
        <w:rPr>
          <w:sz w:val="22"/>
          <w:szCs w:val="22"/>
          <w:lang w:val="en-GB"/>
        </w:rPr>
        <w:t>NR-U</w:t>
      </w:r>
      <w:r w:rsidRPr="00812A0D">
        <w:rPr>
          <w:sz w:val="22"/>
          <w:szCs w:val="22"/>
          <w:lang w:val="en-GB"/>
        </w:rPr>
        <w:t xml:space="preserve"> </w:t>
      </w:r>
      <w:r w:rsidR="00560BE2" w:rsidRPr="00812A0D">
        <w:rPr>
          <w:sz w:val="22"/>
          <w:szCs w:val="22"/>
          <w:lang w:val="en-GB"/>
        </w:rPr>
        <w:t xml:space="preserve">in Rel-16, and it’s used </w:t>
      </w:r>
      <w:r w:rsidRPr="00812A0D">
        <w:rPr>
          <w:sz w:val="22"/>
          <w:szCs w:val="22"/>
          <w:lang w:val="en-GB"/>
        </w:rPr>
        <w:t xml:space="preserve">for </w:t>
      </w:r>
      <w:r w:rsidR="00D57186" w:rsidRPr="00812A0D">
        <w:rPr>
          <w:sz w:val="22"/>
          <w:szCs w:val="22"/>
          <w:lang w:val="en-GB"/>
        </w:rPr>
        <w:t xml:space="preserve">UE to save power by </w:t>
      </w:r>
      <w:r w:rsidR="000505BE" w:rsidRPr="00812A0D">
        <w:rPr>
          <w:sz w:val="22"/>
          <w:szCs w:val="22"/>
          <w:lang w:val="en-GB"/>
        </w:rPr>
        <w:t xml:space="preserve">switching </w:t>
      </w:r>
      <w:r w:rsidR="00396BA4" w:rsidRPr="00812A0D">
        <w:rPr>
          <w:sz w:val="22"/>
          <w:szCs w:val="22"/>
          <w:lang w:val="en-GB"/>
        </w:rPr>
        <w:t>from</w:t>
      </w:r>
      <w:r w:rsidR="00D57186" w:rsidRPr="00812A0D">
        <w:rPr>
          <w:sz w:val="22"/>
          <w:szCs w:val="22"/>
          <w:lang w:val="en-GB"/>
        </w:rPr>
        <w:t xml:space="preserve"> </w:t>
      </w:r>
      <w:r w:rsidR="00396BA4" w:rsidRPr="00812A0D">
        <w:rPr>
          <w:sz w:val="22"/>
          <w:szCs w:val="22"/>
          <w:lang w:val="en-GB"/>
        </w:rPr>
        <w:t>more</w:t>
      </w:r>
      <w:r w:rsidR="000505BE" w:rsidRPr="00812A0D">
        <w:rPr>
          <w:sz w:val="22"/>
          <w:szCs w:val="22"/>
          <w:lang w:val="en-GB"/>
        </w:rPr>
        <w:t xml:space="preserve"> frequent</w:t>
      </w:r>
      <w:r w:rsidR="00D57186" w:rsidRPr="00812A0D">
        <w:rPr>
          <w:sz w:val="22"/>
          <w:szCs w:val="22"/>
          <w:lang w:val="en-GB"/>
        </w:rPr>
        <w:t xml:space="preserve"> </w:t>
      </w:r>
      <w:r w:rsidR="004A6E3B" w:rsidRPr="00812A0D">
        <w:rPr>
          <w:sz w:val="22"/>
          <w:szCs w:val="22"/>
          <w:lang w:val="en-GB"/>
        </w:rPr>
        <w:t xml:space="preserve">PDCCH monitoring </w:t>
      </w:r>
      <w:r w:rsidR="00D57186" w:rsidRPr="00812A0D">
        <w:rPr>
          <w:sz w:val="22"/>
          <w:szCs w:val="22"/>
          <w:lang w:val="en-GB"/>
        </w:rPr>
        <w:t xml:space="preserve">to </w:t>
      </w:r>
      <w:r w:rsidR="00396BA4" w:rsidRPr="00812A0D">
        <w:rPr>
          <w:sz w:val="22"/>
          <w:szCs w:val="22"/>
          <w:lang w:val="en-GB"/>
        </w:rPr>
        <w:t>less</w:t>
      </w:r>
      <w:r w:rsidR="00D57186" w:rsidRPr="00812A0D">
        <w:rPr>
          <w:sz w:val="22"/>
          <w:szCs w:val="22"/>
          <w:lang w:val="en-GB"/>
        </w:rPr>
        <w:t xml:space="preserve"> frequent</w:t>
      </w:r>
      <w:r w:rsidR="00396BA4" w:rsidRPr="00812A0D">
        <w:rPr>
          <w:sz w:val="22"/>
          <w:szCs w:val="22"/>
          <w:lang w:val="en-GB"/>
        </w:rPr>
        <w:t xml:space="preserve"> in a COT</w:t>
      </w:r>
      <w:r w:rsidR="004A6E3B" w:rsidRPr="00812A0D">
        <w:rPr>
          <w:sz w:val="22"/>
          <w:szCs w:val="22"/>
          <w:lang w:val="en-GB"/>
        </w:rPr>
        <w:t>. T</w:t>
      </w:r>
      <w:r w:rsidR="00396BA4" w:rsidRPr="00812A0D">
        <w:rPr>
          <w:sz w:val="22"/>
          <w:szCs w:val="22"/>
          <w:lang w:val="en-GB"/>
        </w:rPr>
        <w:t>here are 2 search space set groups for switching, one is dense monitoring periodicity and the other is sparse. Switching is in an active BWP and based on explicit or implicit switching indication</w:t>
      </w:r>
      <w:r w:rsidR="007D4864" w:rsidRPr="00812A0D">
        <w:rPr>
          <w:sz w:val="22"/>
          <w:szCs w:val="22"/>
          <w:lang w:val="en-GB"/>
        </w:rPr>
        <w:t xml:space="preserve">, and the monitoring capability keeps the same before and after the switch. </w:t>
      </w:r>
    </w:p>
    <w:p w14:paraId="6C6BD5FC" w14:textId="77777777" w:rsidR="006F6618" w:rsidRDefault="006F6618" w:rsidP="00812A0D">
      <w:pPr>
        <w:spacing w:line="259" w:lineRule="auto"/>
        <w:jc w:val="both"/>
        <w:rPr>
          <w:sz w:val="22"/>
          <w:szCs w:val="22"/>
          <w:lang w:val="en-GB"/>
        </w:rPr>
      </w:pPr>
    </w:p>
    <w:p w14:paraId="436BC5A0" w14:textId="5E3266D8" w:rsidR="00B74835" w:rsidRDefault="007D4864" w:rsidP="00812A0D">
      <w:pPr>
        <w:spacing w:line="259" w:lineRule="auto"/>
        <w:jc w:val="both"/>
        <w:rPr>
          <w:sz w:val="22"/>
          <w:szCs w:val="22"/>
          <w:lang w:val="en-GB"/>
        </w:rPr>
      </w:pPr>
      <w:r w:rsidRPr="00812A0D">
        <w:rPr>
          <w:sz w:val="22"/>
          <w:szCs w:val="22"/>
          <w:lang w:val="en-GB"/>
        </w:rPr>
        <w:t xml:space="preserve">For </w:t>
      </w:r>
      <w:r w:rsidR="00464D32" w:rsidRPr="00812A0D">
        <w:rPr>
          <w:sz w:val="22"/>
          <w:szCs w:val="22"/>
          <w:lang w:val="en-GB"/>
        </w:rPr>
        <w:t>operation in unlicensed band</w:t>
      </w:r>
      <w:r w:rsidR="007B449C" w:rsidRPr="00812A0D">
        <w:rPr>
          <w:sz w:val="22"/>
          <w:szCs w:val="22"/>
          <w:lang w:val="en-GB"/>
        </w:rPr>
        <w:t xml:space="preserve"> beyond 52.6GHz, in our understanding, the current SSSG switching can be reused for 120 </w:t>
      </w:r>
      <w:r w:rsidR="005820FF" w:rsidRPr="00812A0D">
        <w:rPr>
          <w:sz w:val="22"/>
          <w:szCs w:val="22"/>
          <w:lang w:val="en-GB"/>
        </w:rPr>
        <w:t>k</w:t>
      </w:r>
      <w:r w:rsidR="007B449C" w:rsidRPr="00812A0D">
        <w:rPr>
          <w:sz w:val="22"/>
          <w:szCs w:val="22"/>
          <w:lang w:val="en-GB"/>
        </w:rPr>
        <w:t>Hz SCS</w:t>
      </w:r>
      <w:r w:rsidR="00A55EF9" w:rsidRPr="00812A0D">
        <w:rPr>
          <w:sz w:val="22"/>
          <w:szCs w:val="22"/>
          <w:lang w:val="en-GB"/>
        </w:rPr>
        <w:t>, since</w:t>
      </w:r>
      <w:r w:rsidR="000841E7">
        <w:rPr>
          <w:sz w:val="22"/>
          <w:szCs w:val="22"/>
          <w:lang w:val="en-GB"/>
        </w:rPr>
        <w:t xml:space="preserve"> </w:t>
      </w:r>
      <w:r w:rsidR="00DE3521">
        <w:rPr>
          <w:sz w:val="22"/>
          <w:szCs w:val="22"/>
          <w:lang w:val="en-GB"/>
        </w:rPr>
        <w:t xml:space="preserve">it has been concluded: </w:t>
      </w:r>
      <w:r w:rsidR="00DE3521">
        <w:rPr>
          <w:sz w:val="22"/>
          <w:szCs w:val="22"/>
          <w:lang w:eastAsia="x-none"/>
        </w:rPr>
        <w:t>f</w:t>
      </w:r>
      <w:r w:rsidR="00DE3521" w:rsidRPr="00B64F86">
        <w:rPr>
          <w:sz w:val="22"/>
          <w:szCs w:val="22"/>
          <w:lang w:eastAsia="x-none"/>
        </w:rPr>
        <w:t>or 120 kHz SCS, no multi-slot UE capability for PDCCH monitoring is needed.</w:t>
      </w:r>
      <w:r w:rsidR="00DE3521">
        <w:rPr>
          <w:sz w:val="22"/>
          <w:szCs w:val="22"/>
          <w:lang w:eastAsia="x-none"/>
        </w:rPr>
        <w:t xml:space="preserve"> So </w:t>
      </w:r>
      <w:r w:rsidR="00DE3521">
        <w:rPr>
          <w:sz w:val="22"/>
          <w:szCs w:val="22"/>
          <w:lang w:val="en-GB"/>
        </w:rPr>
        <w:t>t</w:t>
      </w:r>
      <w:r w:rsidR="00A55EF9" w:rsidRPr="00812A0D">
        <w:rPr>
          <w:sz w:val="22"/>
          <w:szCs w:val="22"/>
          <w:lang w:val="en-GB"/>
        </w:rPr>
        <w:t xml:space="preserve">he monitoring capability </w:t>
      </w:r>
      <w:r w:rsidR="000E6DCD" w:rsidRPr="00812A0D">
        <w:rPr>
          <w:sz w:val="22"/>
          <w:szCs w:val="22"/>
          <w:lang w:val="en-GB"/>
        </w:rPr>
        <w:t xml:space="preserve">before and after the switch </w:t>
      </w:r>
      <w:r w:rsidR="00A55EF9" w:rsidRPr="00812A0D">
        <w:rPr>
          <w:sz w:val="22"/>
          <w:szCs w:val="22"/>
          <w:lang w:val="en-GB"/>
        </w:rPr>
        <w:t xml:space="preserve">is </w:t>
      </w:r>
      <w:r w:rsidR="000E6DCD" w:rsidRPr="00812A0D">
        <w:rPr>
          <w:sz w:val="22"/>
          <w:szCs w:val="22"/>
          <w:lang w:val="en-GB"/>
        </w:rPr>
        <w:t xml:space="preserve">the same, both are </w:t>
      </w:r>
      <w:r w:rsidR="00A55EF9" w:rsidRPr="00812A0D">
        <w:rPr>
          <w:sz w:val="22"/>
          <w:szCs w:val="22"/>
          <w:lang w:val="en-GB"/>
        </w:rPr>
        <w:t>per-slot based</w:t>
      </w:r>
      <w:r w:rsidR="007B449C" w:rsidRPr="00812A0D">
        <w:rPr>
          <w:sz w:val="22"/>
          <w:szCs w:val="22"/>
          <w:lang w:val="en-GB"/>
        </w:rPr>
        <w:t>. While for</w:t>
      </w:r>
      <w:r w:rsidR="00464D32" w:rsidRPr="00812A0D">
        <w:rPr>
          <w:sz w:val="22"/>
          <w:szCs w:val="22"/>
          <w:lang w:val="en-GB"/>
        </w:rPr>
        <w:t xml:space="preserve"> </w:t>
      </w:r>
      <w:r w:rsidRPr="00812A0D">
        <w:rPr>
          <w:sz w:val="22"/>
          <w:szCs w:val="22"/>
          <w:lang w:val="en-GB"/>
        </w:rPr>
        <w:t xml:space="preserve">480 kHz and 960 kHz SCS, </w:t>
      </w:r>
      <w:r w:rsidR="002702B5" w:rsidRPr="002702B5">
        <w:rPr>
          <w:sz w:val="22"/>
          <w:szCs w:val="22"/>
          <w:lang w:val="en-GB"/>
        </w:rPr>
        <w:t>PDCCH monitoring capability</w:t>
      </w:r>
      <w:r w:rsidR="002702B5">
        <w:rPr>
          <w:sz w:val="22"/>
          <w:szCs w:val="22"/>
          <w:lang w:val="en-GB"/>
        </w:rPr>
        <w:t xml:space="preserve"> </w:t>
      </w:r>
      <w:r w:rsidR="006A2931">
        <w:rPr>
          <w:sz w:val="22"/>
          <w:szCs w:val="22"/>
          <w:lang w:val="en-GB"/>
        </w:rPr>
        <w:t>may be</w:t>
      </w:r>
      <w:r w:rsidR="002702B5">
        <w:rPr>
          <w:sz w:val="22"/>
          <w:szCs w:val="22"/>
          <w:lang w:val="en-GB"/>
        </w:rPr>
        <w:t xml:space="preserve"> changed </w:t>
      </w:r>
      <w:r w:rsidR="00EE6FBF">
        <w:rPr>
          <w:sz w:val="22"/>
          <w:szCs w:val="22"/>
          <w:lang w:val="en-GB"/>
        </w:rPr>
        <w:t xml:space="preserve">along with </w:t>
      </w:r>
      <w:r w:rsidR="002702B5" w:rsidRPr="00812A0D">
        <w:rPr>
          <w:sz w:val="22"/>
          <w:szCs w:val="22"/>
          <w:lang w:val="en-GB"/>
        </w:rPr>
        <w:t>SSSG</w:t>
      </w:r>
      <w:r w:rsidR="002702B5">
        <w:rPr>
          <w:sz w:val="22"/>
          <w:szCs w:val="22"/>
          <w:lang w:val="en-GB"/>
        </w:rPr>
        <w:t xml:space="preserve"> switch</w:t>
      </w:r>
      <w:r w:rsidR="00B83F22">
        <w:rPr>
          <w:sz w:val="22"/>
          <w:szCs w:val="22"/>
          <w:lang w:val="en-GB"/>
        </w:rPr>
        <w:t>ing</w:t>
      </w:r>
      <w:r w:rsidR="00EE6FBF">
        <w:rPr>
          <w:sz w:val="22"/>
          <w:szCs w:val="22"/>
          <w:lang w:val="en-GB"/>
        </w:rPr>
        <w:t xml:space="preserve">, </w:t>
      </w:r>
      <w:r w:rsidR="000E6DCD" w:rsidRPr="00812A0D">
        <w:rPr>
          <w:sz w:val="22"/>
          <w:szCs w:val="22"/>
          <w:lang w:val="en-GB"/>
        </w:rPr>
        <w:t xml:space="preserve">e.g. </w:t>
      </w:r>
      <w:r w:rsidR="003A23BB" w:rsidRPr="00812A0D">
        <w:rPr>
          <w:sz w:val="22"/>
          <w:szCs w:val="22"/>
          <w:lang w:val="en-GB"/>
        </w:rPr>
        <w:t xml:space="preserve">there are 2 </w:t>
      </w:r>
      <w:r w:rsidR="000E6DCD" w:rsidRPr="00812A0D">
        <w:rPr>
          <w:sz w:val="22"/>
          <w:szCs w:val="22"/>
          <w:lang w:val="en-GB"/>
        </w:rPr>
        <w:t>configured</w:t>
      </w:r>
      <w:r w:rsidR="005D1217" w:rsidRPr="00812A0D">
        <w:rPr>
          <w:sz w:val="22"/>
          <w:szCs w:val="22"/>
          <w:lang w:val="en-GB"/>
        </w:rPr>
        <w:t xml:space="preserve"> SSSG</w:t>
      </w:r>
      <w:r w:rsidR="003A23BB" w:rsidRPr="00812A0D">
        <w:rPr>
          <w:sz w:val="22"/>
          <w:szCs w:val="22"/>
          <w:lang w:val="en-GB"/>
        </w:rPr>
        <w:t>, the first search space set d</w:t>
      </w:r>
      <w:r w:rsidR="002702B5">
        <w:rPr>
          <w:sz w:val="22"/>
          <w:szCs w:val="22"/>
          <w:lang w:val="en-GB"/>
        </w:rPr>
        <w:t>efines PDCCH is monitored per 2-</w:t>
      </w:r>
      <w:r w:rsidR="003A23BB" w:rsidRPr="00812A0D">
        <w:rPr>
          <w:sz w:val="22"/>
          <w:szCs w:val="22"/>
          <w:lang w:val="en-GB"/>
        </w:rPr>
        <w:t xml:space="preserve">slots, </w:t>
      </w:r>
      <w:r w:rsidR="000E6DCD" w:rsidRPr="00812A0D">
        <w:rPr>
          <w:sz w:val="22"/>
          <w:szCs w:val="22"/>
          <w:lang w:val="en-GB"/>
        </w:rPr>
        <w:t>and</w:t>
      </w:r>
      <w:r w:rsidR="003A23BB" w:rsidRPr="00812A0D">
        <w:rPr>
          <w:sz w:val="22"/>
          <w:szCs w:val="22"/>
          <w:lang w:val="en-GB"/>
        </w:rPr>
        <w:t xml:space="preserve"> the second set defines </w:t>
      </w:r>
      <w:r w:rsidR="002702B5">
        <w:rPr>
          <w:sz w:val="22"/>
          <w:szCs w:val="22"/>
          <w:lang w:val="en-GB"/>
        </w:rPr>
        <w:t>PDCCH is monitored per 4-</w:t>
      </w:r>
      <w:r w:rsidR="00922628">
        <w:rPr>
          <w:sz w:val="22"/>
          <w:szCs w:val="22"/>
          <w:lang w:val="en-GB"/>
        </w:rPr>
        <w:t>slots, t</w:t>
      </w:r>
      <w:r w:rsidR="00464D32" w:rsidRPr="00812A0D">
        <w:rPr>
          <w:sz w:val="22"/>
          <w:szCs w:val="22"/>
          <w:lang w:val="en-GB"/>
        </w:rPr>
        <w:t xml:space="preserve">he monitoring </w:t>
      </w:r>
      <w:r w:rsidR="005D1217" w:rsidRPr="00812A0D">
        <w:rPr>
          <w:sz w:val="22"/>
          <w:szCs w:val="22"/>
          <w:lang w:val="en-GB"/>
        </w:rPr>
        <w:t xml:space="preserve">time unit and </w:t>
      </w:r>
      <w:r w:rsidR="00464D32" w:rsidRPr="00812A0D">
        <w:rPr>
          <w:sz w:val="22"/>
          <w:szCs w:val="22"/>
          <w:lang w:val="en-GB"/>
        </w:rPr>
        <w:t>capability</w:t>
      </w:r>
      <w:r w:rsidR="00777174" w:rsidRPr="00812A0D">
        <w:rPr>
          <w:sz w:val="22"/>
          <w:szCs w:val="22"/>
          <w:lang w:val="en-GB"/>
        </w:rPr>
        <w:t xml:space="preserve"> is different before and after the switch</w:t>
      </w:r>
      <w:r w:rsidR="005D1217" w:rsidRPr="00812A0D">
        <w:rPr>
          <w:sz w:val="22"/>
          <w:szCs w:val="22"/>
          <w:lang w:val="en-GB"/>
        </w:rPr>
        <w:t>ing</w:t>
      </w:r>
      <w:r w:rsidR="00EE6FBF">
        <w:rPr>
          <w:sz w:val="22"/>
          <w:szCs w:val="22"/>
          <w:lang w:val="en-GB"/>
        </w:rPr>
        <w:t>.</w:t>
      </w:r>
      <w:r w:rsidR="00464D32" w:rsidRPr="00812A0D">
        <w:rPr>
          <w:sz w:val="22"/>
          <w:szCs w:val="22"/>
          <w:lang w:val="en-GB"/>
        </w:rPr>
        <w:t xml:space="preserve"> </w:t>
      </w:r>
      <w:r w:rsidR="00B74835">
        <w:rPr>
          <w:sz w:val="22"/>
          <w:szCs w:val="22"/>
          <w:lang w:val="en-GB"/>
        </w:rPr>
        <w:t xml:space="preserve">If this scenario is supported, how to </w:t>
      </w:r>
      <w:r w:rsidR="00B74835" w:rsidRPr="00B74835">
        <w:rPr>
          <w:sz w:val="22"/>
          <w:szCs w:val="22"/>
          <w:lang w:val="en-GB"/>
        </w:rPr>
        <w:t xml:space="preserve">adapt </w:t>
      </w:r>
      <w:r w:rsidR="006F6618">
        <w:rPr>
          <w:sz w:val="22"/>
          <w:szCs w:val="22"/>
          <w:lang w:val="en-GB"/>
        </w:rPr>
        <w:t xml:space="preserve">it to </w:t>
      </w:r>
      <w:r w:rsidR="008E3086">
        <w:rPr>
          <w:sz w:val="22"/>
          <w:szCs w:val="22"/>
          <w:lang w:val="en-GB"/>
        </w:rPr>
        <w:t>R16</w:t>
      </w:r>
      <w:r w:rsidR="008E3086" w:rsidRPr="00812A0D">
        <w:rPr>
          <w:sz w:val="22"/>
          <w:szCs w:val="22"/>
          <w:lang w:val="en-GB"/>
        </w:rPr>
        <w:t xml:space="preserve"> </w:t>
      </w:r>
      <w:r w:rsidR="00464D32" w:rsidRPr="00812A0D">
        <w:rPr>
          <w:sz w:val="22"/>
          <w:szCs w:val="22"/>
          <w:lang w:val="en-GB"/>
        </w:rPr>
        <w:t>SSSG switching</w:t>
      </w:r>
      <w:r w:rsidR="00A8006F">
        <w:rPr>
          <w:sz w:val="22"/>
          <w:szCs w:val="22"/>
          <w:lang w:val="en-GB"/>
        </w:rPr>
        <w:t xml:space="preserve"> </w:t>
      </w:r>
      <w:r w:rsidR="00A8006F" w:rsidRPr="00812A0D">
        <w:rPr>
          <w:sz w:val="22"/>
          <w:szCs w:val="22"/>
          <w:lang w:val="en-GB"/>
        </w:rPr>
        <w:t>need</w:t>
      </w:r>
      <w:r w:rsidR="00FA3E85" w:rsidRPr="00FA3E85">
        <w:rPr>
          <w:sz w:val="22"/>
          <w:szCs w:val="22"/>
          <w:lang w:val="en-GB"/>
        </w:rPr>
        <w:t>s</w:t>
      </w:r>
      <w:r w:rsidR="00A8006F" w:rsidRPr="00812A0D">
        <w:rPr>
          <w:sz w:val="22"/>
          <w:szCs w:val="22"/>
          <w:lang w:val="en-GB"/>
        </w:rPr>
        <w:t xml:space="preserve"> to </w:t>
      </w:r>
      <w:r w:rsidR="00A8006F">
        <w:rPr>
          <w:sz w:val="22"/>
          <w:szCs w:val="22"/>
          <w:lang w:val="en-GB"/>
        </w:rPr>
        <w:t>be discussed</w:t>
      </w:r>
      <w:r w:rsidR="006F6618">
        <w:rPr>
          <w:sz w:val="22"/>
          <w:szCs w:val="22"/>
          <w:lang w:val="en-GB"/>
        </w:rPr>
        <w:t>.</w:t>
      </w:r>
    </w:p>
    <w:p w14:paraId="57A68573" w14:textId="2A51DB34" w:rsidR="001D64FD" w:rsidRPr="00A8006F" w:rsidRDefault="001D64FD" w:rsidP="00812A0D">
      <w:pPr>
        <w:spacing w:line="259" w:lineRule="auto"/>
        <w:jc w:val="both"/>
        <w:rPr>
          <w:b/>
          <w:sz w:val="22"/>
          <w:szCs w:val="22"/>
          <w:lang w:val="en-GB"/>
        </w:rPr>
      </w:pPr>
      <w:r w:rsidRPr="00812A0D">
        <w:rPr>
          <w:b/>
          <w:sz w:val="22"/>
          <w:szCs w:val="22"/>
          <w:lang w:val="en-GB"/>
        </w:rPr>
        <w:lastRenderedPageBreak/>
        <w:t xml:space="preserve">Proposal </w:t>
      </w:r>
      <w:r w:rsidR="000877DA">
        <w:rPr>
          <w:b/>
          <w:sz w:val="22"/>
          <w:szCs w:val="22"/>
          <w:lang w:val="en-GB"/>
        </w:rPr>
        <w:t>3</w:t>
      </w:r>
      <w:r w:rsidRPr="00812A0D">
        <w:rPr>
          <w:b/>
          <w:sz w:val="22"/>
          <w:szCs w:val="22"/>
          <w:lang w:val="en-GB"/>
        </w:rPr>
        <w:t xml:space="preserve">: For operation in unlicensed band with 480 kHz and 960 kHz SCS, </w:t>
      </w:r>
      <w:r w:rsidR="00F85954">
        <w:rPr>
          <w:b/>
          <w:sz w:val="22"/>
          <w:szCs w:val="22"/>
          <w:lang w:val="en-GB"/>
        </w:rPr>
        <w:t xml:space="preserve">consider </w:t>
      </w:r>
      <w:r w:rsidR="00A8006F">
        <w:rPr>
          <w:b/>
          <w:sz w:val="22"/>
          <w:szCs w:val="22"/>
          <w:lang w:val="en-GB"/>
        </w:rPr>
        <w:t>whether</w:t>
      </w:r>
      <w:r w:rsidR="00EF3A9D">
        <w:rPr>
          <w:b/>
          <w:sz w:val="22"/>
          <w:szCs w:val="22"/>
          <w:lang w:val="en-GB"/>
        </w:rPr>
        <w:t>/how to</w:t>
      </w:r>
      <w:r w:rsidR="00A8006F">
        <w:rPr>
          <w:b/>
          <w:sz w:val="22"/>
          <w:szCs w:val="22"/>
          <w:lang w:val="en-GB"/>
        </w:rPr>
        <w:t xml:space="preserve"> support</w:t>
      </w:r>
      <w:r w:rsidR="00EF3A9D">
        <w:rPr>
          <w:b/>
          <w:sz w:val="22"/>
          <w:szCs w:val="22"/>
          <w:lang w:val="en-GB"/>
        </w:rPr>
        <w:t xml:space="preserve"> </w:t>
      </w:r>
      <w:r w:rsidR="00F85954" w:rsidRPr="00A8006F">
        <w:rPr>
          <w:b/>
          <w:sz w:val="22"/>
          <w:szCs w:val="22"/>
          <w:lang w:val="en-GB"/>
        </w:rPr>
        <w:t>SSSG switch</w:t>
      </w:r>
      <w:r w:rsidR="00F85954">
        <w:rPr>
          <w:b/>
          <w:sz w:val="22"/>
          <w:szCs w:val="22"/>
          <w:lang w:val="en-GB"/>
        </w:rPr>
        <w:t xml:space="preserve">ing </w:t>
      </w:r>
      <w:r w:rsidR="00F85954" w:rsidRPr="00A8006F">
        <w:rPr>
          <w:b/>
          <w:sz w:val="22"/>
          <w:szCs w:val="22"/>
          <w:lang w:val="en-GB"/>
        </w:rPr>
        <w:t xml:space="preserve">along </w:t>
      </w:r>
      <w:r w:rsidR="00F85954">
        <w:rPr>
          <w:b/>
          <w:sz w:val="22"/>
          <w:szCs w:val="22"/>
          <w:lang w:val="en-GB"/>
        </w:rPr>
        <w:t xml:space="preserve">with </w:t>
      </w:r>
      <w:r w:rsidR="00EF3A9D">
        <w:rPr>
          <w:b/>
          <w:sz w:val="22"/>
          <w:szCs w:val="22"/>
          <w:lang w:val="en-GB"/>
        </w:rPr>
        <w:t xml:space="preserve">changing </w:t>
      </w:r>
      <w:r w:rsidR="00A8006F">
        <w:rPr>
          <w:b/>
          <w:sz w:val="22"/>
          <w:szCs w:val="22"/>
          <w:lang w:val="en-GB"/>
        </w:rPr>
        <w:t xml:space="preserve">different PDCCH </w:t>
      </w:r>
      <w:r w:rsidR="00A8006F" w:rsidRPr="00A8006F">
        <w:rPr>
          <w:b/>
          <w:sz w:val="22"/>
          <w:szCs w:val="22"/>
          <w:lang w:val="en-GB"/>
        </w:rPr>
        <w:t>monitoring capability</w:t>
      </w:r>
      <w:r w:rsidR="003510F6">
        <w:rPr>
          <w:b/>
          <w:sz w:val="22"/>
          <w:szCs w:val="22"/>
          <w:lang w:val="en-GB"/>
        </w:rPr>
        <w:t>.</w:t>
      </w:r>
    </w:p>
    <w:p w14:paraId="76B54103" w14:textId="77777777" w:rsidR="001D64FD" w:rsidRPr="00EF3A9D" w:rsidRDefault="001D64FD" w:rsidP="00812A0D">
      <w:pPr>
        <w:spacing w:line="259" w:lineRule="auto"/>
        <w:jc w:val="both"/>
        <w:rPr>
          <w:sz w:val="22"/>
          <w:szCs w:val="22"/>
          <w:lang w:val="en-GB"/>
        </w:rPr>
      </w:pPr>
    </w:p>
    <w:p w14:paraId="2C03A48E" w14:textId="1101DC96" w:rsidR="007D4864" w:rsidRDefault="008E3086" w:rsidP="00812A0D">
      <w:pPr>
        <w:spacing w:line="259" w:lineRule="auto"/>
        <w:jc w:val="both"/>
        <w:rPr>
          <w:sz w:val="22"/>
          <w:szCs w:val="22"/>
          <w:lang w:val="en-GB"/>
        </w:rPr>
      </w:pPr>
      <w:r>
        <w:rPr>
          <w:rFonts w:eastAsiaTheme="minorEastAsia" w:hint="eastAsia"/>
          <w:sz w:val="22"/>
          <w:szCs w:val="22"/>
          <w:lang w:val="en-GB" w:eastAsia="zh-CN"/>
        </w:rPr>
        <w:t>A</w:t>
      </w:r>
      <w:r>
        <w:rPr>
          <w:rFonts w:eastAsiaTheme="minorEastAsia"/>
          <w:sz w:val="22"/>
          <w:szCs w:val="22"/>
          <w:lang w:val="en-GB" w:eastAsia="zh-CN"/>
        </w:rPr>
        <w:t xml:space="preserve">s mentioned in </w:t>
      </w:r>
      <w:r w:rsidR="00407F44">
        <w:rPr>
          <w:rFonts w:eastAsiaTheme="minorEastAsia"/>
          <w:sz w:val="22"/>
          <w:szCs w:val="22"/>
          <w:lang w:val="en-GB" w:eastAsia="zh-CN"/>
        </w:rPr>
        <w:t>[5</w:t>
      </w:r>
      <w:r w:rsidR="001D64FD">
        <w:rPr>
          <w:rFonts w:eastAsiaTheme="minorEastAsia"/>
          <w:sz w:val="22"/>
          <w:szCs w:val="22"/>
          <w:lang w:val="en-GB" w:eastAsia="zh-CN"/>
        </w:rPr>
        <w:t xml:space="preserve">], in R16, </w:t>
      </w:r>
      <w:r w:rsidR="001D64FD" w:rsidRPr="00A75912">
        <w:rPr>
          <w:sz w:val="22"/>
          <w:szCs w:val="22"/>
        </w:rPr>
        <w:t xml:space="preserve">the switching boundary </w:t>
      </w:r>
      <w:r w:rsidR="001D64FD">
        <w:rPr>
          <w:sz w:val="22"/>
          <w:szCs w:val="22"/>
        </w:rPr>
        <w:t xml:space="preserve">is the first slot that is </w:t>
      </w:r>
      <w:r w:rsidR="001D64FD" w:rsidRPr="001D64FD">
        <w:rPr>
          <w:sz w:val="22"/>
          <w:szCs w:val="22"/>
        </w:rPr>
        <w:t xml:space="preserve">at least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switch</m:t>
            </m:r>
          </m:sub>
        </m:sSub>
      </m:oMath>
      <w:r w:rsidR="001D64FD" w:rsidRPr="001D64FD">
        <w:rPr>
          <w:sz w:val="22"/>
          <w:szCs w:val="22"/>
        </w:rPr>
        <w:t xml:space="preserve"> symbols after</w:t>
      </w:r>
      <w:r w:rsidR="001D64FD">
        <w:rPr>
          <w:sz w:val="22"/>
          <w:szCs w:val="22"/>
        </w:rPr>
        <w:t xml:space="preserve"> some switch indication</w:t>
      </w:r>
      <w:r w:rsidR="001D64FD" w:rsidRPr="00A75912">
        <w:rPr>
          <w:sz w:val="22"/>
          <w:szCs w:val="22"/>
        </w:rPr>
        <w:t xml:space="preserve"> and the timer decrement value </w:t>
      </w:r>
      <w:r w:rsidR="00D4221A">
        <w:rPr>
          <w:sz w:val="22"/>
          <w:szCs w:val="22"/>
        </w:rPr>
        <w:t>is</w:t>
      </w:r>
      <w:r w:rsidR="001D64FD">
        <w:rPr>
          <w:sz w:val="22"/>
          <w:szCs w:val="22"/>
        </w:rPr>
        <w:t xml:space="preserve"> count</w:t>
      </w:r>
      <w:r w:rsidR="00D4221A">
        <w:rPr>
          <w:sz w:val="22"/>
          <w:szCs w:val="22"/>
        </w:rPr>
        <w:t>ed</w:t>
      </w:r>
      <w:r w:rsidR="001D64FD">
        <w:rPr>
          <w:sz w:val="22"/>
          <w:szCs w:val="22"/>
        </w:rPr>
        <w:t xml:space="preserve"> by slot</w:t>
      </w:r>
      <w:r w:rsidR="00C5198B">
        <w:rPr>
          <w:sz w:val="22"/>
          <w:szCs w:val="22"/>
        </w:rPr>
        <w:t xml:space="preserve">. </w:t>
      </w:r>
      <w:r w:rsidR="00C5198B">
        <w:rPr>
          <w:sz w:val="22"/>
          <w:szCs w:val="22"/>
          <w:lang w:val="en-GB"/>
        </w:rPr>
        <w:t>F</w:t>
      </w:r>
      <w:r w:rsidR="00C5198B" w:rsidRPr="00812A0D">
        <w:rPr>
          <w:sz w:val="22"/>
          <w:szCs w:val="22"/>
          <w:lang w:val="en-GB"/>
        </w:rPr>
        <w:t xml:space="preserve">or 480 kHz and 960 kHz SCS, </w:t>
      </w:r>
      <w:r w:rsidR="00C5198B" w:rsidRPr="002702B5">
        <w:rPr>
          <w:sz w:val="22"/>
          <w:szCs w:val="22"/>
          <w:lang w:val="en-GB"/>
        </w:rPr>
        <w:t>PDCCH monitoring capability</w:t>
      </w:r>
      <w:r w:rsidR="00C5198B">
        <w:rPr>
          <w:sz w:val="22"/>
          <w:szCs w:val="22"/>
          <w:lang w:val="en-GB"/>
        </w:rPr>
        <w:t xml:space="preserve"> is </w:t>
      </w:r>
      <w:r w:rsidR="00C5198B" w:rsidRPr="00C5198B">
        <w:rPr>
          <w:sz w:val="22"/>
          <w:szCs w:val="22"/>
        </w:rPr>
        <w:t xml:space="preserve">multi-slot </w:t>
      </w:r>
      <w:r w:rsidR="00C5198B">
        <w:rPr>
          <w:sz w:val="22"/>
          <w:szCs w:val="22"/>
          <w:lang w:val="en-GB"/>
        </w:rPr>
        <w:t xml:space="preserve">based, </w:t>
      </w:r>
      <w:r w:rsidR="00C5198B" w:rsidRPr="00812A0D">
        <w:rPr>
          <w:sz w:val="22"/>
          <w:szCs w:val="22"/>
        </w:rPr>
        <w:t>e.g. 4 slots for 480 kHz SCS and 8 slots for 960 kHz SCS</w:t>
      </w:r>
      <w:r w:rsidR="00C5198B">
        <w:rPr>
          <w:sz w:val="22"/>
          <w:szCs w:val="22"/>
        </w:rPr>
        <w:t xml:space="preserve">, the </w:t>
      </w:r>
      <w:r w:rsidR="006F6618" w:rsidRPr="00A75912">
        <w:rPr>
          <w:sz w:val="22"/>
          <w:szCs w:val="22"/>
        </w:rPr>
        <w:t>switching boundary</w:t>
      </w:r>
      <w:r w:rsidR="006F6618">
        <w:rPr>
          <w:sz w:val="22"/>
          <w:szCs w:val="22"/>
        </w:rPr>
        <w:t xml:space="preserve"> and the timer counter should </w:t>
      </w:r>
      <w:r w:rsidR="00CE69D7">
        <w:rPr>
          <w:sz w:val="22"/>
          <w:szCs w:val="22"/>
        </w:rPr>
        <w:t xml:space="preserve">be </w:t>
      </w:r>
      <w:r w:rsidR="006F6618">
        <w:rPr>
          <w:sz w:val="22"/>
          <w:szCs w:val="22"/>
        </w:rPr>
        <w:t xml:space="preserve">modified to </w:t>
      </w:r>
      <w:r w:rsidR="006F6618" w:rsidRPr="00C5198B">
        <w:rPr>
          <w:sz w:val="22"/>
          <w:szCs w:val="22"/>
        </w:rPr>
        <w:t xml:space="preserve">multi-slot </w:t>
      </w:r>
      <w:r w:rsidR="006F6618">
        <w:rPr>
          <w:sz w:val="22"/>
          <w:szCs w:val="22"/>
          <w:lang w:val="en-GB"/>
        </w:rPr>
        <w:t>based accordingly.</w:t>
      </w:r>
    </w:p>
    <w:p w14:paraId="26CF3B1E" w14:textId="641F77D9" w:rsidR="007E15AB" w:rsidRPr="006F6618" w:rsidRDefault="006F6618" w:rsidP="006F6618">
      <w:pPr>
        <w:spacing w:line="259" w:lineRule="auto"/>
        <w:jc w:val="both"/>
        <w:rPr>
          <w:b/>
          <w:sz w:val="22"/>
          <w:szCs w:val="22"/>
          <w:lang w:val="en-GB"/>
        </w:rPr>
      </w:pPr>
      <w:r w:rsidRPr="00812A0D">
        <w:rPr>
          <w:b/>
          <w:sz w:val="22"/>
          <w:szCs w:val="22"/>
          <w:lang w:val="en-GB"/>
        </w:rPr>
        <w:t xml:space="preserve">Proposal </w:t>
      </w:r>
      <w:r w:rsidR="000877DA">
        <w:rPr>
          <w:b/>
          <w:sz w:val="22"/>
          <w:szCs w:val="22"/>
          <w:lang w:val="en-GB"/>
        </w:rPr>
        <w:t>4</w:t>
      </w:r>
      <w:r w:rsidRPr="00812A0D">
        <w:rPr>
          <w:b/>
          <w:sz w:val="22"/>
          <w:szCs w:val="22"/>
          <w:lang w:val="en-GB"/>
        </w:rPr>
        <w:t xml:space="preserve">: For operation in unlicensed band with 480 kHz and 960 kHz SCS, </w:t>
      </w:r>
      <w:r w:rsidRPr="006F6618">
        <w:rPr>
          <w:b/>
          <w:sz w:val="22"/>
          <w:szCs w:val="22"/>
          <w:lang w:val="en-GB"/>
        </w:rPr>
        <w:t xml:space="preserve">the switching boundary and the timer counter should </w:t>
      </w:r>
      <w:r w:rsidR="00CE69D7">
        <w:rPr>
          <w:b/>
          <w:sz w:val="22"/>
          <w:szCs w:val="22"/>
          <w:lang w:val="en-GB"/>
        </w:rPr>
        <w:t xml:space="preserve">be </w:t>
      </w:r>
      <w:r w:rsidRPr="006F6618">
        <w:rPr>
          <w:b/>
          <w:sz w:val="22"/>
          <w:szCs w:val="22"/>
          <w:lang w:val="en-GB"/>
        </w:rPr>
        <w:t xml:space="preserve">modified to </w:t>
      </w:r>
      <w:r>
        <w:rPr>
          <w:b/>
          <w:sz w:val="22"/>
          <w:szCs w:val="22"/>
          <w:lang w:val="en-GB"/>
        </w:rPr>
        <w:t>slot group</w:t>
      </w:r>
      <w:r w:rsidRPr="006F6618">
        <w:rPr>
          <w:b/>
          <w:sz w:val="22"/>
          <w:szCs w:val="22"/>
          <w:lang w:val="en-GB"/>
        </w:rPr>
        <w:t xml:space="preserve"> based</w:t>
      </w:r>
      <w:r w:rsidR="003510F6">
        <w:rPr>
          <w:b/>
          <w:sz w:val="22"/>
          <w:szCs w:val="22"/>
          <w:lang w:val="en-GB"/>
        </w:rPr>
        <w:t>.</w:t>
      </w:r>
    </w:p>
    <w:p w14:paraId="76629B7B" w14:textId="77777777" w:rsidR="006F6618" w:rsidRDefault="006F6618" w:rsidP="006F6618">
      <w:pPr>
        <w:spacing w:line="259" w:lineRule="auto"/>
        <w:jc w:val="both"/>
        <w:rPr>
          <w:sz w:val="22"/>
          <w:szCs w:val="22"/>
          <w:lang w:val="en-GB"/>
        </w:rPr>
      </w:pPr>
    </w:p>
    <w:p w14:paraId="1EBF3D92" w14:textId="1AD2DF5A" w:rsidR="007B449C" w:rsidRPr="00812A0D" w:rsidRDefault="00396BA4" w:rsidP="00812A0D">
      <w:pPr>
        <w:pStyle w:val="a0"/>
        <w:spacing w:after="0" w:line="259" w:lineRule="auto"/>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proofErr w:type="gramStart"/>
      <w:r w:rsidR="00777174" w:rsidRPr="00812A0D">
        <w:rPr>
          <w:rFonts w:eastAsia="Times New Roman"/>
          <w:sz w:val="22"/>
          <w:szCs w:val="22"/>
          <w:lang w:val="en-GB"/>
        </w:rPr>
        <w:t>,</w:t>
      </w:r>
      <w:proofErr w:type="gramEnd"/>
      <w:r w:rsidRPr="00812A0D">
        <w:rPr>
          <w:rFonts w:eastAsia="Times New Roman"/>
          <w:sz w:val="22"/>
          <w:szCs w:val="22"/>
          <w:lang w:val="en-GB"/>
        </w:rPr>
        <w:t xml:space="preserve"> which means the SSSG switching time</w:t>
      </w:r>
      <w:r w:rsidR="007D4864" w:rsidRPr="00812A0D">
        <w:rPr>
          <w:rFonts w:eastAsia="Times New Roman"/>
          <w:sz w:val="22"/>
          <w:szCs w:val="22"/>
          <w:lang w:val="en-GB"/>
        </w:rPr>
        <w:t>, is defined for SCS configuration</w:t>
      </w:r>
      <w:r w:rsidR="003A23BB" w:rsidRPr="00812A0D">
        <w:rPr>
          <w:rFonts w:eastAsia="Times New Roman"/>
          <w:sz w:val="22"/>
          <w:szCs w:val="22"/>
          <w:lang w:val="en-GB"/>
        </w:rPr>
        <w:t xml:space="preserve"> </w:t>
      </w:r>
      <m:oMath>
        <m:r>
          <m:rPr>
            <m:sty m:val="p"/>
          </m:rPr>
          <w:rPr>
            <w:rFonts w:ascii="Cambria Math" w:eastAsia="Times New Roman" w:hAnsi="Cambria Math"/>
            <w:sz w:val="22"/>
            <w:szCs w:val="22"/>
            <w:lang w:val="en-GB"/>
          </w:rPr>
          <w:br/>
        </m:r>
        <m:r>
          <w:rPr>
            <w:rFonts w:ascii="Cambria Math" w:eastAsia="Times New Roman" w:hAnsi="Cambria Math"/>
            <w:sz w:val="22"/>
            <w:szCs w:val="22"/>
            <w:lang w:val="en-GB"/>
          </w:rPr>
          <m:t>μ</m:t>
        </m:r>
      </m:oMath>
      <w:r w:rsidR="007D4864" w:rsidRPr="00643746">
        <w:rPr>
          <w:rFonts w:eastAsia="Times New Roman"/>
          <w:sz w:val="22"/>
          <w:szCs w:val="22"/>
          <w:lang w:val="en-GB"/>
        </w:rPr>
        <w:t xml:space="preserve"> </w:t>
      </w:r>
      <w:r w:rsidR="003A23BB" w:rsidRPr="00643746">
        <w:rPr>
          <w:rFonts w:eastAsia="Times New Roman"/>
          <w:sz w:val="22"/>
          <w:szCs w:val="22"/>
          <w:lang w:val="en-GB"/>
        </w:rPr>
        <w:t xml:space="preserve">= </w:t>
      </w:r>
      <w:r w:rsidR="003A23BB" w:rsidRPr="00812A0D">
        <w:rPr>
          <w:rFonts w:eastAsia="Times New Roman"/>
          <w:sz w:val="22"/>
          <w:szCs w:val="22"/>
          <w:lang w:val="en-GB"/>
        </w:rPr>
        <w:t>0,1,2</w:t>
      </w:r>
      <w:r w:rsidR="00777174" w:rsidRPr="00812A0D">
        <w:rPr>
          <w:rFonts w:eastAsia="Times New Roman"/>
          <w:sz w:val="22"/>
          <w:szCs w:val="22"/>
          <w:lang w:val="en-GB"/>
        </w:rPr>
        <w:t>.</w:t>
      </w:r>
      <w:r w:rsidR="003A23BB" w:rsidRPr="00812A0D">
        <w:rPr>
          <w:rFonts w:eastAsia="Times New Roman"/>
          <w:sz w:val="22"/>
          <w:szCs w:val="22"/>
          <w:lang w:val="en-GB"/>
        </w:rPr>
        <w:t xml:space="preserve"> </w:t>
      </w:r>
      <w:r w:rsidR="00777174" w:rsidRPr="00812A0D">
        <w:rPr>
          <w:rFonts w:eastAsia="Times New Roman"/>
          <w:sz w:val="22"/>
          <w:szCs w:val="22"/>
          <w:lang w:val="en-GB"/>
        </w:rPr>
        <w:t>F</w:t>
      </w:r>
      <w:r w:rsidR="003A23BB" w:rsidRPr="00812A0D">
        <w:rPr>
          <w:rFonts w:eastAsia="Times New Roman"/>
          <w:sz w:val="22"/>
          <w:szCs w:val="22"/>
          <w:lang w:val="en-GB"/>
        </w:rPr>
        <w:t xml:space="preserve">or </w:t>
      </w:r>
      <w:r w:rsidR="00777174" w:rsidRPr="00812A0D">
        <w:rPr>
          <w:rFonts w:eastAsia="Times New Roman"/>
          <w:sz w:val="22"/>
          <w:szCs w:val="22"/>
          <w:lang w:val="en-GB"/>
        </w:rPr>
        <w:t xml:space="preserve">new SCSs adopted beyond 52.6GHz, to operate in unlicensed band, </w:t>
      </w:r>
      <w:r w:rsidR="00025E85">
        <w:rPr>
          <w:rFonts w:eastAsia="Times New Roman"/>
          <w:sz w:val="22"/>
          <w:szCs w:val="22"/>
          <w:lang w:val="en-GB"/>
        </w:rPr>
        <w:t>SSSG</w:t>
      </w:r>
      <w:r w:rsidR="00777174"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005D1217" w:rsidRPr="00812A0D">
        <w:rPr>
          <w:rFonts w:eastAsia="Times New Roman"/>
          <w:sz w:val="22"/>
          <w:szCs w:val="22"/>
          <w:lang w:val="en-GB"/>
        </w:rPr>
        <w:t xml:space="preserve"> </w:t>
      </w:r>
      <w:r w:rsidR="00777174" w:rsidRPr="00812A0D">
        <w:rPr>
          <w:rFonts w:eastAsia="Times New Roman"/>
          <w:sz w:val="22"/>
          <w:szCs w:val="22"/>
          <w:lang w:val="en-GB"/>
        </w:rPr>
        <w:t>should be defined and added in the table 10.4-1</w:t>
      </w:r>
      <w:r w:rsidR="00643746">
        <w:rPr>
          <w:rFonts w:eastAsia="Times New Roman"/>
          <w:sz w:val="22"/>
          <w:szCs w:val="22"/>
          <w:lang w:val="en-GB"/>
        </w:rPr>
        <w:t xml:space="preserve"> of </w:t>
      </w:r>
      <w:r w:rsidR="00643746" w:rsidRPr="00812A0D">
        <w:rPr>
          <w:sz w:val="22"/>
          <w:szCs w:val="22"/>
          <w:lang w:val="en-GB"/>
        </w:rPr>
        <w:t>TS 38.213</w:t>
      </w:r>
      <w:r w:rsidR="00643746">
        <w:rPr>
          <w:sz w:val="22"/>
          <w:szCs w:val="22"/>
          <w:lang w:val="en-GB"/>
        </w:rPr>
        <w:t>[2]</w:t>
      </w:r>
      <w:r w:rsidR="00777174" w:rsidRPr="00812A0D">
        <w:rPr>
          <w:rFonts w:eastAsia="Times New Roman"/>
          <w:sz w:val="22"/>
          <w:szCs w:val="22"/>
          <w:lang w:val="en-GB"/>
        </w:rPr>
        <w:t xml:space="preserve">. </w:t>
      </w:r>
    </w:p>
    <w:p w14:paraId="07D643B5" w14:textId="658FB11C" w:rsidR="007B449C" w:rsidRPr="00812A0D" w:rsidRDefault="007B449C" w:rsidP="00812A0D">
      <w:pPr>
        <w:spacing w:line="259" w:lineRule="auto"/>
        <w:jc w:val="both"/>
        <w:rPr>
          <w:b/>
          <w:sz w:val="22"/>
          <w:szCs w:val="22"/>
          <w:lang w:val="en-GB"/>
        </w:rPr>
      </w:pPr>
      <w:r w:rsidRPr="00812A0D">
        <w:rPr>
          <w:b/>
          <w:sz w:val="22"/>
          <w:szCs w:val="22"/>
          <w:lang w:val="en-GB"/>
        </w:rPr>
        <w:t xml:space="preserve">Proposal </w:t>
      </w:r>
      <w:r w:rsidR="000877DA">
        <w:rPr>
          <w:b/>
          <w:sz w:val="22"/>
          <w:szCs w:val="22"/>
          <w:lang w:val="en-GB"/>
        </w:rPr>
        <w:t>5</w:t>
      </w:r>
      <w:r w:rsidRPr="00812A0D">
        <w:rPr>
          <w:b/>
          <w:sz w:val="22"/>
          <w:szCs w:val="22"/>
          <w:lang w:val="en-GB"/>
        </w:rPr>
        <w:t xml:space="preserve">: Search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should be defined for new SCSs.</w:t>
      </w:r>
    </w:p>
    <w:p w14:paraId="3AA4CC32" w14:textId="2ED3A4F2" w:rsidR="00812A0D" w:rsidRDefault="00812A0D" w:rsidP="00812A0D">
      <w:pPr>
        <w:spacing w:line="259" w:lineRule="auto"/>
        <w:jc w:val="both"/>
        <w:rPr>
          <w:rFonts w:eastAsia="MS Mincho"/>
          <w:sz w:val="22"/>
          <w:szCs w:val="22"/>
          <w:lang w:val="en-GB"/>
        </w:rPr>
      </w:pPr>
    </w:p>
    <w:p w14:paraId="086B9715" w14:textId="77777777" w:rsidR="00407F44" w:rsidRPr="00812A0D" w:rsidRDefault="00407F44" w:rsidP="00812A0D">
      <w:pPr>
        <w:spacing w:line="259" w:lineRule="auto"/>
        <w:jc w:val="both"/>
        <w:rPr>
          <w:b/>
          <w:sz w:val="22"/>
          <w:szCs w:val="22"/>
          <w:lang w:val="en-GB"/>
        </w:rPr>
      </w:pPr>
    </w:p>
    <w:p w14:paraId="4B1C05C0" w14:textId="77777777" w:rsidR="0048006B" w:rsidRPr="00812A0D" w:rsidRDefault="0048006B" w:rsidP="00812A0D">
      <w:pPr>
        <w:pStyle w:val="1"/>
        <w:tabs>
          <w:tab w:val="clear" w:pos="612"/>
          <w:tab w:val="num" w:pos="567"/>
        </w:tabs>
        <w:spacing w:before="0" w:after="0" w:line="259" w:lineRule="auto"/>
        <w:ind w:left="567" w:hanging="567"/>
        <w:rPr>
          <w:rFonts w:ascii="Times New Roman" w:hAnsi="Times New Roman" w:cs="Times New Roman"/>
          <w:kern w:val="0"/>
          <w:szCs w:val="28"/>
        </w:rPr>
      </w:pPr>
      <w:r w:rsidRPr="00812A0D">
        <w:rPr>
          <w:rFonts w:ascii="Times New Roman" w:eastAsia="MS Mincho" w:hAnsi="Times New Roman" w:cs="Times New Roman"/>
          <w:kern w:val="0"/>
          <w:szCs w:val="28"/>
          <w:lang w:eastAsia="en-US"/>
        </w:rPr>
        <w:t>Conclusion</w:t>
      </w:r>
    </w:p>
    <w:p w14:paraId="3123C241" w14:textId="6E84F9A2" w:rsidR="00AA3D58" w:rsidRDefault="0078660E" w:rsidP="00812A0D">
      <w:pPr>
        <w:spacing w:line="259" w:lineRule="auto"/>
        <w:jc w:val="both"/>
        <w:rPr>
          <w:rFonts w:eastAsiaTheme="minorEastAsia"/>
          <w:sz w:val="22"/>
          <w:szCs w:val="22"/>
          <w:lang w:eastAsia="zh-CN"/>
        </w:rPr>
      </w:pPr>
      <w:r w:rsidRPr="00812A0D">
        <w:rPr>
          <w:sz w:val="22"/>
          <w:szCs w:val="22"/>
        </w:rPr>
        <w:t>In this contribu</w:t>
      </w:r>
      <w:r w:rsidR="00423F4F" w:rsidRPr="00812A0D">
        <w:rPr>
          <w:sz w:val="22"/>
          <w:szCs w:val="22"/>
        </w:rPr>
        <w:t xml:space="preserve">tion, we </w:t>
      </w:r>
      <w:r w:rsidR="00C7599D">
        <w:rPr>
          <w:rFonts w:eastAsiaTheme="minorEastAsia"/>
          <w:sz w:val="22"/>
          <w:szCs w:val="22"/>
          <w:lang w:eastAsia="zh-CN"/>
        </w:rPr>
        <w:t>share</w:t>
      </w:r>
      <w:r w:rsidR="00AA3D58" w:rsidRPr="00812A0D">
        <w:rPr>
          <w:rFonts w:eastAsiaTheme="minorEastAsia"/>
          <w:sz w:val="22"/>
          <w:szCs w:val="22"/>
          <w:lang w:eastAsia="zh-CN"/>
        </w:rPr>
        <w:t xml:space="preserve"> our views on PD</w:t>
      </w:r>
      <w:r w:rsidR="00F83AA2" w:rsidRPr="00812A0D">
        <w:rPr>
          <w:rFonts w:eastAsiaTheme="minorEastAsia"/>
          <w:sz w:val="22"/>
          <w:szCs w:val="22"/>
          <w:lang w:eastAsia="zh-CN"/>
        </w:rPr>
        <w:t>C</w:t>
      </w:r>
      <w:r w:rsidR="00AA3D58" w:rsidRPr="00812A0D">
        <w:rPr>
          <w:rFonts w:eastAsiaTheme="minorEastAsia"/>
          <w:sz w:val="22"/>
          <w:szCs w:val="22"/>
          <w:lang w:eastAsia="zh-CN"/>
        </w:rPr>
        <w:t xml:space="preserve">CH </w:t>
      </w:r>
      <w:r w:rsidR="00F83AA2" w:rsidRPr="00812A0D">
        <w:rPr>
          <w:rFonts w:eastAsiaTheme="minorEastAsia"/>
          <w:sz w:val="22"/>
          <w:szCs w:val="22"/>
          <w:lang w:eastAsia="zh-CN"/>
        </w:rPr>
        <w:t xml:space="preserve">monitoring </w:t>
      </w:r>
      <w:r w:rsidR="00AA3D58" w:rsidRPr="00812A0D">
        <w:rPr>
          <w:rFonts w:eastAsiaTheme="minorEastAsia"/>
          <w:sz w:val="22"/>
          <w:szCs w:val="22"/>
          <w:lang w:eastAsia="zh-CN"/>
        </w:rPr>
        <w:t>enhancements on supporting NR from 52.6GHz to 71 GHz, and the following</w:t>
      </w:r>
      <w:r w:rsidR="00AA3D58" w:rsidRPr="00812A0D">
        <w:rPr>
          <w:rFonts w:eastAsia="宋体"/>
          <w:sz w:val="22"/>
          <w:szCs w:val="22"/>
          <w:lang w:eastAsia="zh-CN"/>
        </w:rPr>
        <w:t xml:space="preserve"> propos</w:t>
      </w:r>
      <w:r w:rsidR="00AA3D58" w:rsidRPr="00812A0D">
        <w:rPr>
          <w:rFonts w:eastAsiaTheme="minorEastAsia"/>
          <w:sz w:val="22"/>
          <w:szCs w:val="22"/>
          <w:lang w:eastAsia="zh-CN"/>
        </w:rPr>
        <w:t>als are made</w:t>
      </w:r>
      <w:r w:rsidR="00AA3D58" w:rsidRPr="00812A0D">
        <w:rPr>
          <w:rFonts w:eastAsia="宋体"/>
          <w:sz w:val="22"/>
          <w:szCs w:val="22"/>
          <w:lang w:eastAsia="zh-CN"/>
        </w:rPr>
        <w:t>:</w:t>
      </w:r>
      <w:r w:rsidR="00AA3D58" w:rsidRPr="00812A0D">
        <w:rPr>
          <w:rFonts w:eastAsiaTheme="minorEastAsia"/>
          <w:sz w:val="22"/>
          <w:szCs w:val="22"/>
          <w:lang w:eastAsia="zh-CN"/>
        </w:rPr>
        <w:t xml:space="preserve"> </w:t>
      </w:r>
    </w:p>
    <w:p w14:paraId="7E69A98B" w14:textId="77777777" w:rsidR="00D06AC2" w:rsidRDefault="00D06AC2" w:rsidP="00812A0D">
      <w:pPr>
        <w:spacing w:line="259" w:lineRule="auto"/>
        <w:jc w:val="both"/>
        <w:rPr>
          <w:rFonts w:eastAsiaTheme="minorEastAsia"/>
          <w:sz w:val="22"/>
          <w:szCs w:val="22"/>
          <w:lang w:eastAsia="zh-CN"/>
        </w:rPr>
      </w:pPr>
    </w:p>
    <w:p w14:paraId="03043200" w14:textId="77777777" w:rsidR="00D6683F" w:rsidRPr="00D6683F" w:rsidRDefault="00D6683F" w:rsidP="00D6683F">
      <w:pPr>
        <w:rPr>
          <w:b/>
          <w:i/>
          <w:sz w:val="22"/>
          <w:szCs w:val="22"/>
        </w:rPr>
      </w:pPr>
      <w:bookmarkStart w:id="4" w:name="_GoBack"/>
      <w:r w:rsidRPr="00D6683F">
        <w:rPr>
          <w:b/>
          <w:i/>
          <w:sz w:val="22"/>
          <w:szCs w:val="22"/>
        </w:rPr>
        <w:t>Proposal 1: For Option B-rev1 listed in the fourth round discussion, to avoid the back-to-back overload issue, an extra window can be considered to calculate the PDCCH monitoring burden if Group (2) SS don’t fall into Y monitoring slots.</w:t>
      </w:r>
    </w:p>
    <w:bookmarkEnd w:id="4"/>
    <w:p w14:paraId="0B791880" w14:textId="77777777" w:rsidR="00D06AC2" w:rsidRPr="00D6683F" w:rsidRDefault="00D06AC2" w:rsidP="00812A0D">
      <w:pPr>
        <w:spacing w:line="259" w:lineRule="auto"/>
        <w:jc w:val="both"/>
        <w:rPr>
          <w:rFonts w:eastAsiaTheme="minorEastAsia"/>
          <w:sz w:val="22"/>
          <w:szCs w:val="22"/>
          <w:lang w:eastAsia="zh-CN"/>
        </w:rPr>
      </w:pPr>
    </w:p>
    <w:p w14:paraId="790963CC" w14:textId="5A01AFD1" w:rsidR="006F6618" w:rsidRPr="00A034E5" w:rsidRDefault="006F6618" w:rsidP="006F6618">
      <w:pPr>
        <w:pStyle w:val="a7"/>
        <w:spacing w:before="0" w:after="0" w:line="259" w:lineRule="auto"/>
        <w:rPr>
          <w:b/>
          <w:i/>
          <w:sz w:val="22"/>
          <w:szCs w:val="22"/>
        </w:rPr>
      </w:pPr>
      <w:r w:rsidRPr="00A034E5">
        <w:rPr>
          <w:b/>
          <w:i/>
          <w:sz w:val="22"/>
          <w:szCs w:val="22"/>
        </w:rPr>
        <w:t xml:space="preserve">Proposal </w:t>
      </w:r>
      <w:r w:rsidR="00D06AC2">
        <w:rPr>
          <w:b/>
          <w:i/>
          <w:sz w:val="22"/>
          <w:szCs w:val="22"/>
        </w:rPr>
        <w:t>2</w:t>
      </w:r>
      <w:r w:rsidRPr="00A034E5">
        <w:rPr>
          <w:b/>
          <w:i/>
          <w:sz w:val="22"/>
          <w:szCs w:val="22"/>
        </w:rPr>
        <w:t xml:space="preserve">: </w:t>
      </w:r>
      <w:r w:rsidRPr="00A034E5">
        <w:rPr>
          <w:rFonts w:hint="eastAsia"/>
          <w:b/>
          <w:i/>
          <w:sz w:val="22"/>
          <w:szCs w:val="22"/>
        </w:rPr>
        <w:t>Ad</w:t>
      </w:r>
      <w:r w:rsidRPr="00A034E5">
        <w:rPr>
          <w:b/>
          <w:i/>
          <w:sz w:val="22"/>
          <w:szCs w:val="22"/>
        </w:rPr>
        <w:t>ditional PDCCH monitoring group size</w:t>
      </w:r>
      <w:r w:rsidR="00C7599D">
        <w:rPr>
          <w:b/>
          <w:i/>
          <w:sz w:val="22"/>
          <w:szCs w:val="22"/>
        </w:rPr>
        <w:t>s</w:t>
      </w:r>
      <w:r w:rsidRPr="00A034E5">
        <w:rPr>
          <w:b/>
          <w:i/>
          <w:sz w:val="22"/>
          <w:szCs w:val="22"/>
        </w:rPr>
        <w:t xml:space="preserve"> should be supported: 2 for 480 kHz SCS, 4 </w:t>
      </w:r>
      <w:proofErr w:type="gramStart"/>
      <w:r w:rsidRPr="00A034E5">
        <w:rPr>
          <w:b/>
          <w:i/>
          <w:sz w:val="22"/>
          <w:szCs w:val="22"/>
        </w:rPr>
        <w:t>for</w:t>
      </w:r>
      <w:proofErr w:type="gramEnd"/>
      <w:r w:rsidRPr="00A034E5">
        <w:rPr>
          <w:b/>
          <w:i/>
          <w:sz w:val="22"/>
          <w:szCs w:val="22"/>
        </w:rPr>
        <w:t xml:space="preserve"> 960 kHz SCS, and further study the associated BD/CCEs limit number.</w:t>
      </w:r>
    </w:p>
    <w:p w14:paraId="47A7E2A7" w14:textId="77777777" w:rsidR="004A6E3B" w:rsidRPr="00A034E5" w:rsidRDefault="004A6E3B" w:rsidP="00812A0D">
      <w:pPr>
        <w:spacing w:line="259" w:lineRule="auto"/>
        <w:rPr>
          <w:i/>
          <w:lang w:val="en-GB"/>
        </w:rPr>
      </w:pPr>
    </w:p>
    <w:p w14:paraId="4BDB4DB2" w14:textId="3D8FC8EB" w:rsidR="00160E3E" w:rsidRPr="00160E3E" w:rsidRDefault="00160E3E" w:rsidP="00160E3E">
      <w:pPr>
        <w:spacing w:line="259" w:lineRule="auto"/>
        <w:jc w:val="both"/>
        <w:rPr>
          <w:b/>
          <w:i/>
          <w:sz w:val="22"/>
          <w:szCs w:val="22"/>
          <w:lang w:val="en-GB"/>
        </w:rPr>
      </w:pPr>
      <w:r w:rsidRPr="00160E3E">
        <w:rPr>
          <w:b/>
          <w:i/>
          <w:sz w:val="22"/>
          <w:szCs w:val="22"/>
          <w:lang w:val="en-GB"/>
        </w:rPr>
        <w:t xml:space="preserve">Proposal </w:t>
      </w:r>
      <w:r w:rsidR="00D06AC2">
        <w:rPr>
          <w:b/>
          <w:i/>
          <w:sz w:val="22"/>
          <w:szCs w:val="22"/>
          <w:lang w:val="en-GB"/>
        </w:rPr>
        <w:t>3</w:t>
      </w:r>
      <w:r w:rsidRPr="00160E3E">
        <w:rPr>
          <w:b/>
          <w:i/>
          <w:sz w:val="22"/>
          <w:szCs w:val="22"/>
          <w:lang w:val="en-GB"/>
        </w:rPr>
        <w:t>: For operation in unlicensed band with 480 kHz and 960 kHz SCS, consider whether/how to support SSSG switching along with changing different PDCCH monitoring capability</w:t>
      </w:r>
    </w:p>
    <w:p w14:paraId="0C02B1FB" w14:textId="77777777" w:rsidR="004A6E3B" w:rsidRPr="00160E3E" w:rsidRDefault="004A6E3B" w:rsidP="00812A0D">
      <w:pPr>
        <w:spacing w:line="259" w:lineRule="auto"/>
        <w:rPr>
          <w:i/>
          <w:lang w:val="en-GB"/>
        </w:rPr>
      </w:pPr>
    </w:p>
    <w:p w14:paraId="36D7E937" w14:textId="626B54F6"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w:t>
      </w:r>
      <w:r w:rsidR="00D06AC2">
        <w:rPr>
          <w:b/>
          <w:i/>
          <w:sz w:val="22"/>
          <w:szCs w:val="22"/>
          <w:lang w:val="en-GB"/>
        </w:rPr>
        <w:t>4</w:t>
      </w:r>
      <w:r w:rsidRPr="00A034E5">
        <w:rPr>
          <w:b/>
          <w:i/>
          <w:sz w:val="22"/>
          <w:szCs w:val="22"/>
          <w:lang w:val="en-GB"/>
        </w:rPr>
        <w:t xml:space="preserve">: For operation in unlicensed band with 480 kHz and 960 kHz SCS, the switching boundary and the timer counter should </w:t>
      </w:r>
      <w:r w:rsidR="004F287A">
        <w:rPr>
          <w:b/>
          <w:i/>
          <w:sz w:val="22"/>
          <w:szCs w:val="22"/>
          <w:lang w:val="en-GB"/>
        </w:rPr>
        <w:t xml:space="preserve">be </w:t>
      </w:r>
      <w:r w:rsidRPr="00A034E5">
        <w:rPr>
          <w:b/>
          <w:i/>
          <w:sz w:val="22"/>
          <w:szCs w:val="22"/>
          <w:lang w:val="en-GB"/>
        </w:rPr>
        <w:t>modified to slot group based</w:t>
      </w:r>
    </w:p>
    <w:p w14:paraId="4BC9CF95" w14:textId="77777777" w:rsidR="004A6E3B" w:rsidRPr="00A034E5" w:rsidRDefault="004A6E3B" w:rsidP="00812A0D">
      <w:pPr>
        <w:spacing w:line="259" w:lineRule="auto"/>
        <w:jc w:val="both"/>
        <w:rPr>
          <w:b/>
          <w:i/>
          <w:sz w:val="22"/>
          <w:szCs w:val="22"/>
          <w:lang w:val="en-GB"/>
        </w:rPr>
      </w:pPr>
    </w:p>
    <w:p w14:paraId="41C657F9" w14:textId="38629F3F"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w:t>
      </w:r>
      <w:r w:rsidR="00D06AC2">
        <w:rPr>
          <w:b/>
          <w:i/>
          <w:sz w:val="22"/>
          <w:szCs w:val="22"/>
          <w:lang w:val="en-GB"/>
        </w:rPr>
        <w:t>5</w:t>
      </w:r>
      <w:r w:rsidRPr="00A034E5">
        <w:rPr>
          <w:b/>
          <w:i/>
          <w:sz w:val="22"/>
          <w:szCs w:val="22"/>
          <w:lang w:val="en-GB"/>
        </w:rPr>
        <w:t xml:space="preserve">: Search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A034E5">
        <w:rPr>
          <w:b/>
          <w:i/>
          <w:sz w:val="22"/>
          <w:szCs w:val="22"/>
          <w:lang w:val="en-GB"/>
        </w:rPr>
        <w:t xml:space="preserve"> should be defined for new SCSs.</w:t>
      </w:r>
    </w:p>
    <w:p w14:paraId="5B9138F2" w14:textId="77777777" w:rsidR="004A6E3B" w:rsidRPr="00A034E5" w:rsidRDefault="004A6E3B" w:rsidP="00812A0D">
      <w:pPr>
        <w:pStyle w:val="a0"/>
        <w:spacing w:after="0" w:line="259" w:lineRule="auto"/>
        <w:rPr>
          <w:b/>
          <w:i/>
          <w:sz w:val="22"/>
          <w:szCs w:val="22"/>
          <w:lang w:val="en-GB"/>
        </w:rPr>
      </w:pPr>
    </w:p>
    <w:p w14:paraId="4B1C05C6" w14:textId="77777777" w:rsidR="004F72A9" w:rsidRPr="00812A0D" w:rsidRDefault="004F72A9" w:rsidP="00812A0D">
      <w:pPr>
        <w:pStyle w:val="1"/>
        <w:tabs>
          <w:tab w:val="clear" w:pos="612"/>
          <w:tab w:val="num" w:pos="567"/>
        </w:tabs>
        <w:spacing w:before="0" w:after="0" w:line="259" w:lineRule="auto"/>
        <w:ind w:left="567" w:hanging="567"/>
        <w:rPr>
          <w:rFonts w:ascii="Times New Roman" w:hAnsi="Times New Roman" w:cs="Times New Roman"/>
          <w:kern w:val="2"/>
        </w:rPr>
      </w:pPr>
      <w:r w:rsidRPr="00812A0D">
        <w:rPr>
          <w:rFonts w:ascii="Times New Roman" w:eastAsia="MS Mincho" w:hAnsi="Times New Roman" w:cs="Times New Roman"/>
          <w:kern w:val="0"/>
          <w:lang w:eastAsia="en-US"/>
        </w:rPr>
        <w:t>References</w:t>
      </w:r>
    </w:p>
    <w:p w14:paraId="7EBFA420" w14:textId="0D3DE9F1" w:rsidR="00495BD5" w:rsidRPr="00643746" w:rsidRDefault="00495BD5"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sidR="001B6C54">
        <w:rPr>
          <w:rFonts w:ascii="Times New Roman" w:hAnsi="Times New Roman" w:cs="Times New Roman"/>
          <w:sz w:val="22"/>
          <w:szCs w:val="20"/>
        </w:rPr>
        <w:t>6</w:t>
      </w:r>
      <w:r w:rsidR="001A3F0B" w:rsidRPr="00643746">
        <w:rPr>
          <w:rFonts w:ascii="Times New Roman" w:hAnsi="Times New Roman" w:cs="Times New Roman"/>
          <w:sz w:val="22"/>
          <w:szCs w:val="20"/>
        </w:rPr>
        <w:t>-</w:t>
      </w:r>
      <w:r w:rsidR="00E85AE2">
        <w:rPr>
          <w:rFonts w:ascii="Times New Roman" w:hAnsi="Times New Roman" w:cs="Times New Roman"/>
          <w:sz w:val="22"/>
          <w:szCs w:val="20"/>
        </w:rPr>
        <w:t>bis-</w:t>
      </w:r>
      <w:r w:rsidR="001A3F0B" w:rsidRPr="00643746">
        <w:rPr>
          <w:rFonts w:ascii="Times New Roman" w:hAnsi="Times New Roman" w:cs="Times New Roman"/>
          <w:sz w:val="22"/>
          <w:szCs w:val="20"/>
        </w:rPr>
        <w:t>e</w:t>
      </w:r>
      <w:r w:rsidRPr="00643746">
        <w:rPr>
          <w:rFonts w:ascii="Times New Roman" w:hAnsi="Times New Roman" w:cs="Times New Roman"/>
          <w:sz w:val="22"/>
          <w:szCs w:val="20"/>
        </w:rPr>
        <w:t xml:space="preserve"> Chairman’s notes </w:t>
      </w:r>
    </w:p>
    <w:p w14:paraId="2452C75E" w14:textId="6D864F69" w:rsidR="00B70484" w:rsidRPr="00643746" w:rsidRDefault="00C55ACF" w:rsidP="00812A0D">
      <w:pPr>
        <w:pStyle w:val="af9"/>
        <w:numPr>
          <w:ilvl w:val="0"/>
          <w:numId w:val="7"/>
        </w:numPr>
        <w:spacing w:line="259" w:lineRule="auto"/>
        <w:ind w:firstLineChars="0"/>
        <w:contextualSpacing/>
        <w:rPr>
          <w:rFonts w:ascii="Times New Roman" w:hAnsi="Times New Roman" w:cs="Times New Roman"/>
          <w:sz w:val="22"/>
          <w:szCs w:val="20"/>
        </w:rPr>
      </w:pPr>
      <w:r w:rsidRPr="00C55ACF">
        <w:rPr>
          <w:rFonts w:ascii="Times New Roman" w:hAnsi="Times New Roman" w:cs="Times New Roman"/>
          <w:sz w:val="22"/>
          <w:szCs w:val="20"/>
        </w:rPr>
        <w:t>3GPP TS 38.213 V16.4.0</w:t>
      </w:r>
    </w:p>
    <w:p w14:paraId="16B73598" w14:textId="380FA20F" w:rsidR="00B70484" w:rsidRDefault="00B70484"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RP-202925, Extending current NR operation to 71GHz</w:t>
      </w:r>
    </w:p>
    <w:p w14:paraId="4AC8F04A" w14:textId="13DE35B1" w:rsidR="00AD0248" w:rsidRPr="00643746" w:rsidRDefault="00AD0248" w:rsidP="00812A0D">
      <w:pPr>
        <w:pStyle w:val="af9"/>
        <w:numPr>
          <w:ilvl w:val="0"/>
          <w:numId w:val="7"/>
        </w:numPr>
        <w:spacing w:line="259" w:lineRule="auto"/>
        <w:ind w:firstLineChars="0"/>
        <w:contextualSpacing/>
        <w:rPr>
          <w:rFonts w:ascii="Times New Roman" w:hAnsi="Times New Roman" w:cs="Times New Roman"/>
          <w:sz w:val="22"/>
          <w:szCs w:val="20"/>
        </w:rPr>
      </w:pPr>
      <w:r w:rsidRPr="00AD0248">
        <w:rPr>
          <w:rFonts w:ascii="Times New Roman" w:hAnsi="Times New Roman" w:cs="Times New Roman"/>
          <w:sz w:val="22"/>
          <w:szCs w:val="20"/>
        </w:rPr>
        <w:t>R1-2110582, Feature lead summary #4 for B52.6 GHz PDCCH monitoring enhancements</w:t>
      </w:r>
      <w:r>
        <w:rPr>
          <w:rFonts w:ascii="Times New Roman" w:hAnsi="Times New Roman" w:cs="Times New Roman"/>
          <w:sz w:val="22"/>
          <w:szCs w:val="20"/>
        </w:rPr>
        <w:t xml:space="preserve"> </w:t>
      </w:r>
      <w:r w:rsidRPr="00AD0248">
        <w:rPr>
          <w:rFonts w:ascii="Times New Roman" w:hAnsi="Times New Roman" w:cs="Times New Roman"/>
          <w:sz w:val="22"/>
          <w:szCs w:val="20"/>
        </w:rPr>
        <w:t>Moderator (Lenovo)</w:t>
      </w:r>
    </w:p>
    <w:p w14:paraId="16AEEC46" w14:textId="10E980E1" w:rsidR="001D64FD" w:rsidRPr="00315C6E" w:rsidRDefault="00E83D8D" w:rsidP="001D64FD">
      <w:pPr>
        <w:pStyle w:val="3GPPHeader"/>
        <w:rPr>
          <w:sz w:val="22"/>
          <w:szCs w:val="22"/>
        </w:rPr>
      </w:pPr>
      <w:r>
        <w:rPr>
          <w:rFonts w:eastAsia="宋体"/>
          <w:b w:val="0"/>
          <w:sz w:val="22"/>
          <w:szCs w:val="20"/>
        </w:rPr>
        <w:t>[5</w:t>
      </w:r>
      <w:r w:rsidR="008E3086" w:rsidRPr="001D64FD">
        <w:rPr>
          <w:rFonts w:eastAsia="宋体"/>
          <w:b w:val="0"/>
          <w:sz w:val="22"/>
          <w:szCs w:val="20"/>
        </w:rPr>
        <w:t>]      R1-2103097</w:t>
      </w:r>
      <w:r w:rsidR="001D64FD" w:rsidRPr="001D64FD">
        <w:rPr>
          <w:rFonts w:eastAsia="宋体"/>
          <w:b w:val="0"/>
          <w:sz w:val="22"/>
          <w:szCs w:val="20"/>
        </w:rPr>
        <w:t>, Discussion on PDCCH Enhancements for above 52.6 GHz</w:t>
      </w:r>
      <w:r w:rsidR="001D64FD">
        <w:rPr>
          <w:rFonts w:eastAsia="宋体"/>
          <w:b w:val="0"/>
          <w:sz w:val="22"/>
          <w:szCs w:val="20"/>
        </w:rPr>
        <w:t xml:space="preserve">, </w:t>
      </w:r>
      <w:r w:rsidR="001D64FD" w:rsidRPr="001D64FD">
        <w:rPr>
          <w:rFonts w:eastAsia="宋体"/>
          <w:b w:val="0"/>
          <w:sz w:val="22"/>
          <w:szCs w:val="20"/>
        </w:rPr>
        <w:t>Apple Inc.</w:t>
      </w:r>
    </w:p>
    <w:p w14:paraId="205F56ED" w14:textId="15C02E2B" w:rsidR="001D64FD" w:rsidRPr="001D64FD" w:rsidRDefault="001D64FD" w:rsidP="001D64FD">
      <w:pPr>
        <w:pStyle w:val="3GPPHeader"/>
        <w:rPr>
          <w:rFonts w:eastAsia="宋体"/>
          <w:b w:val="0"/>
          <w:sz w:val="22"/>
          <w:szCs w:val="20"/>
        </w:rPr>
      </w:pPr>
    </w:p>
    <w:p w14:paraId="47EA6F96" w14:textId="4462BD10" w:rsidR="00B70484" w:rsidRPr="001D64FD" w:rsidRDefault="00B70484" w:rsidP="008E3086">
      <w:pPr>
        <w:spacing w:line="259" w:lineRule="auto"/>
        <w:contextualSpacing/>
        <w:rPr>
          <w:rFonts w:eastAsia="宋体"/>
          <w:sz w:val="22"/>
          <w:szCs w:val="20"/>
          <w:lang w:eastAsia="zh-CN"/>
        </w:rPr>
      </w:pPr>
    </w:p>
    <w:p w14:paraId="219294D5" w14:textId="0FF58589" w:rsidR="00930C6E" w:rsidRPr="00812A0D" w:rsidRDefault="00930C6E" w:rsidP="00812A0D">
      <w:pPr>
        <w:spacing w:line="259" w:lineRule="auto"/>
        <w:contextualSpacing/>
        <w:rPr>
          <w:rFonts w:eastAsiaTheme="minorEastAsia"/>
          <w:szCs w:val="20"/>
          <w:lang w:eastAsia="zh-CN"/>
        </w:rPr>
      </w:pPr>
    </w:p>
    <w:sectPr w:rsidR="00930C6E" w:rsidRPr="00812A0D"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2E664" w14:textId="77777777" w:rsidR="00C0776D" w:rsidRDefault="00C0776D">
      <w:r>
        <w:separator/>
      </w:r>
    </w:p>
  </w:endnote>
  <w:endnote w:type="continuationSeparator" w:id="0">
    <w:p w14:paraId="56020A4E" w14:textId="77777777" w:rsidR="00C0776D" w:rsidRDefault="00C0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E329C" w:rsidRDefault="008E329C"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E329C" w:rsidRDefault="008E329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477C209" w:rsidR="008E329C" w:rsidRDefault="008E329C" w:rsidP="00F526B7">
        <w:pPr>
          <w:pStyle w:val="af0"/>
          <w:jc w:val="center"/>
        </w:pPr>
        <w:r>
          <w:fldChar w:fldCharType="begin"/>
        </w:r>
        <w:r>
          <w:instrText>PAGE   \* MERGEFORMAT</w:instrText>
        </w:r>
        <w:r>
          <w:fldChar w:fldCharType="separate"/>
        </w:r>
        <w:r w:rsidR="00D6683F" w:rsidRPr="00D6683F">
          <w:rPr>
            <w:noProof/>
            <w:lang w:val="zh-CN" w:eastAsia="zh-CN"/>
          </w:rPr>
          <w:t>2</w:t>
        </w:r>
        <w:r>
          <w:fldChar w:fldCharType="end"/>
        </w:r>
      </w:p>
    </w:sdtContent>
  </w:sdt>
  <w:p w14:paraId="7DB18367" w14:textId="77777777" w:rsidR="008E329C" w:rsidRDefault="008E329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22805" w14:textId="77777777" w:rsidR="00C0776D" w:rsidRDefault="00C0776D">
      <w:r>
        <w:separator/>
      </w:r>
    </w:p>
  </w:footnote>
  <w:footnote w:type="continuationSeparator" w:id="0">
    <w:p w14:paraId="6D687A26" w14:textId="77777777" w:rsidR="00C0776D" w:rsidRDefault="00C0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E329C" w:rsidRDefault="008E32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31"/>
  </w:num>
  <w:num w:numId="4">
    <w:abstractNumId w:val="27"/>
  </w:num>
  <w:num w:numId="5">
    <w:abstractNumId w:val="21"/>
  </w:num>
  <w:num w:numId="6">
    <w:abstractNumId w:val="0"/>
  </w:num>
  <w:num w:numId="7">
    <w:abstractNumId w:val="11"/>
  </w:num>
  <w:num w:numId="8">
    <w:abstractNumId w:val="18"/>
  </w:num>
  <w:num w:numId="9">
    <w:abstractNumId w:val="25"/>
  </w:num>
  <w:num w:numId="10">
    <w:abstractNumId w:val="2"/>
  </w:num>
  <w:num w:numId="11">
    <w:abstractNumId w:val="13"/>
  </w:num>
  <w:num w:numId="12">
    <w:abstractNumId w:val="7"/>
  </w:num>
  <w:num w:numId="13">
    <w:abstractNumId w:val="16"/>
  </w:num>
  <w:num w:numId="14">
    <w:abstractNumId w:val="32"/>
  </w:num>
  <w:num w:numId="15">
    <w:abstractNumId w:val="32"/>
  </w:num>
  <w:num w:numId="16">
    <w:abstractNumId w:val="32"/>
  </w:num>
  <w:num w:numId="17">
    <w:abstractNumId w:val="32"/>
  </w:num>
  <w:num w:numId="18">
    <w:abstractNumId w:val="23"/>
  </w:num>
  <w:num w:numId="19">
    <w:abstractNumId w:val="5"/>
  </w:num>
  <w:num w:numId="20">
    <w:abstractNumId w:val="17"/>
  </w:num>
  <w:num w:numId="21">
    <w:abstractNumId w:val="8"/>
  </w:num>
  <w:num w:numId="22">
    <w:abstractNumId w:val="9"/>
  </w:num>
  <w:num w:numId="23">
    <w:abstractNumId w:val="26"/>
  </w:num>
  <w:num w:numId="24">
    <w:abstractNumId w:val="28"/>
  </w:num>
  <w:num w:numId="25">
    <w:abstractNumId w:val="15"/>
  </w:num>
  <w:num w:numId="26">
    <w:abstractNumId w:val="1"/>
  </w:num>
  <w:num w:numId="27">
    <w:abstractNumId w:val="6"/>
  </w:num>
  <w:num w:numId="28">
    <w:abstractNumId w:val="20"/>
  </w:num>
  <w:num w:numId="29">
    <w:abstractNumId w:val="19"/>
  </w:num>
  <w:num w:numId="30">
    <w:abstractNumId w:val="30"/>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4"/>
  </w:num>
  <w:num w:numId="35">
    <w:abstractNumId w:val="24"/>
  </w:num>
  <w:num w:numId="36">
    <w:abstractNumId w:val="4"/>
  </w:num>
  <w:num w:numId="37">
    <w:abstractNumId w:val="3"/>
  </w:num>
  <w:num w:numId="38">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C54"/>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6D1B"/>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86"/>
    <w:rsid w:val="008E329C"/>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2ABF"/>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BE6"/>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618"/>
    <w:rsid w:val="00C45CB5"/>
    <w:rsid w:val="00C45D6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E05"/>
    <w:rsid w:val="00E840E1"/>
    <w:rsid w:val="00E84424"/>
    <w:rsid w:val="00E84A9F"/>
    <w:rsid w:val="00E84DCB"/>
    <w:rsid w:val="00E84E8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A9D"/>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620"/>
    <w:rsid w:val="00FE38BF"/>
    <w:rsid w:val="00FE3B85"/>
    <w:rsid w:val="00FE4168"/>
    <w:rsid w:val="00FE41C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C10D4-5451-4606-BA2F-945ECFC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3</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95</cp:revision>
  <cp:lastPrinted>2007-08-28T02:45:00Z</cp:lastPrinted>
  <dcterms:created xsi:type="dcterms:W3CDTF">2021-03-25T03:27:00Z</dcterms:created>
  <dcterms:modified xsi:type="dcterms:W3CDTF">2021-11-05T02:03:00Z</dcterms:modified>
</cp:coreProperties>
</file>