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eastAsia" w:ascii="Arial" w:hAnsi="Arial" w:cs="Arial"/>
          <w:b/>
          <w:bCs/>
          <w:sz w:val="28"/>
          <w:szCs w:val="24"/>
          <w:lang w:val="en-US" w:eastAsia="zh-CN"/>
        </w:rPr>
        <w:t>7</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R1-2111636</w:t>
      </w:r>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November 11th – 19th, 2021</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UE features for RedCap</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w:t>
      </w:r>
      <w:r>
        <w:rPr>
          <w:rFonts w:hint="eastAsia" w:ascii="Times New Roman" w:hAnsi="Times New Roman"/>
          <w:sz w:val="24"/>
          <w:szCs w:val="24"/>
          <w:lang w:val="en-US" w:eastAsia="zh-CN"/>
        </w:rPr>
        <w:t>16</w:t>
      </w:r>
      <w:r>
        <w:rPr>
          <w:rFonts w:ascii="Times New Roman" w:hAnsi="Times New Roman"/>
          <w:sz w:val="24"/>
          <w:szCs w:val="24"/>
          <w:lang w:eastAsia="zh-CN"/>
        </w:rPr>
        <w:t>.</w:t>
      </w:r>
      <w:r>
        <w:rPr>
          <w:rFonts w:hint="eastAsia" w:ascii="Times New Roman" w:hAnsi="Times New Roman"/>
          <w:sz w:val="24"/>
          <w:szCs w:val="24"/>
          <w:lang w:val="en-US" w:eastAsia="zh-CN"/>
        </w:rPr>
        <w:t>6</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bCs/>
          <w:lang w:eastAsia="zh-CN"/>
        </w:rPr>
      </w:pPr>
      <w:r>
        <w:rPr>
          <w:rFonts w:hint="eastAsia"/>
          <w:bCs/>
          <w:lang w:eastAsia="zh-CN"/>
        </w:rPr>
        <w:t xml:space="preserve">This contribution </w:t>
      </w:r>
      <w:r>
        <w:rPr>
          <w:rFonts w:hint="eastAsia"/>
          <w:bCs/>
          <w:lang w:val="en-US" w:eastAsia="zh-CN"/>
        </w:rPr>
        <w:t>discusse</w:t>
      </w:r>
      <w:r>
        <w:rPr>
          <w:rFonts w:hint="eastAsia"/>
          <w:bCs/>
          <w:lang w:eastAsia="zh-CN"/>
        </w:rPr>
        <w:t xml:space="preserve">s the new RAN1 UE features associated with the Rel-17 </w:t>
      </w:r>
      <w:r>
        <w:rPr>
          <w:rFonts w:hint="eastAsia"/>
          <w:bCs/>
          <w:lang w:val="en-US" w:eastAsia="zh-CN"/>
        </w:rPr>
        <w:t xml:space="preserve">RedCap </w:t>
      </w:r>
      <w:r>
        <w:rPr>
          <w:rFonts w:hint="eastAsia"/>
          <w:bCs/>
          <w:lang w:eastAsia="zh-CN"/>
        </w:rPr>
        <w:t xml:space="preserve">WI </w:t>
      </w:r>
      <w:r>
        <w:rPr>
          <w:rFonts w:hint="eastAsia"/>
          <w:bCs/>
          <w:lang w:val="en-US" w:eastAsia="zh-CN"/>
        </w:rPr>
        <w:t xml:space="preserve">based on </w:t>
      </w:r>
      <w:r>
        <w:rPr>
          <w:rFonts w:hint="eastAsia"/>
          <w:bCs/>
          <w:lang w:eastAsia="zh-CN"/>
        </w:rPr>
        <w:t>RAN1 agreements made so far for RedCap [</w:t>
      </w:r>
      <w:r>
        <w:rPr>
          <w:rFonts w:hint="eastAsia"/>
          <w:bCs/>
          <w:lang w:val="en-US" w:eastAsia="zh-CN"/>
        </w:rPr>
        <w:t>1] and the updated RAN1 UE features list for Rel-17 NR after RAN1 #106bis-e[2]</w:t>
      </w:r>
      <w:r>
        <w:rPr>
          <w:rFonts w:hint="eastAsia"/>
          <w:bCs/>
          <w:lang w:eastAsia="zh-CN"/>
        </w:rPr>
        <w:t>, and it has been copied into the Annex of this contribution for convenience</w:t>
      </w:r>
      <w:r>
        <w:rPr>
          <w:bCs/>
          <w:lang w:eastAsia="zh-CN"/>
        </w:rPr>
        <w:t>.</w:t>
      </w:r>
    </w:p>
    <w:p>
      <w:pPr>
        <w:pStyle w:val="2"/>
        <w:numPr>
          <w:ilvl w:val="0"/>
          <w:numId w:val="6"/>
        </w:numPr>
        <w:jc w:val="both"/>
        <w:rPr>
          <w:rFonts w:ascii="Times New Roman" w:hAnsi="Times New Roman" w:eastAsiaTheme="minorEastAsia"/>
          <w:lang w:eastAsia="zh-CN"/>
        </w:rPr>
      </w:pPr>
      <w:r>
        <w:rPr>
          <w:rFonts w:hint="eastAsia" w:ascii="Times New Roman" w:hAnsi="Times New Roman" w:eastAsiaTheme="minorEastAsia"/>
          <w:lang w:eastAsia="zh-CN"/>
        </w:rPr>
        <w:t xml:space="preserve">Discussion on </w:t>
      </w:r>
      <w:r>
        <w:rPr>
          <w:rFonts w:hint="eastAsia" w:ascii="Times New Roman" w:hAnsi="Times New Roman" w:eastAsiaTheme="minorEastAsia"/>
          <w:lang w:val="en-US" w:eastAsia="zh-CN"/>
        </w:rPr>
        <w:t xml:space="preserve">basic </w:t>
      </w:r>
      <w:r>
        <w:rPr>
          <w:rFonts w:hint="eastAsia" w:ascii="Times New Roman" w:hAnsi="Times New Roman" w:eastAsiaTheme="minorEastAsia"/>
          <w:lang w:eastAsia="zh-CN"/>
        </w:rPr>
        <w:t>UE features for RedCap</w:t>
      </w:r>
    </w:p>
    <w:p>
      <w:pPr>
        <w:rPr>
          <w:lang w:eastAsia="zh-CN"/>
        </w:rPr>
      </w:pPr>
      <w:r>
        <w:rPr>
          <w:rFonts w:hint="eastAsia"/>
          <w:lang w:val="en-US" w:eastAsia="zh-CN"/>
        </w:rPr>
        <w:t>During RAN1#106b-e, the following agreements are made,</w:t>
      </w:r>
    </w:p>
    <w:p>
      <w:pPr>
        <w:rPr>
          <w:sz w:val="20"/>
        </w:rPr>
      </w:pPr>
      <w:r>
        <w:rPr>
          <w:sz w:val="20"/>
        </w:rPr>
        <mc:AlternateContent>
          <mc:Choice Requires="wps">
            <w:drawing>
              <wp:inline distT="0" distB="0" distL="114300" distR="114300">
                <wp:extent cx="6184265" cy="4107180"/>
                <wp:effectExtent l="4445" t="5080" r="21590" b="21590"/>
                <wp:docPr id="2" name="文本框 2"/>
                <wp:cNvGraphicFramePr/>
                <a:graphic xmlns:a="http://schemas.openxmlformats.org/drawingml/2006/main">
                  <a:graphicData uri="http://schemas.microsoft.com/office/word/2010/wordprocessingShape">
                    <wps:wsp>
                      <wps:cNvSpPr txBox="1"/>
                      <wps:spPr>
                        <a:xfrm>
                          <a:off x="728980" y="4699635"/>
                          <a:ext cx="6184265" cy="41071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[38.306, 38.331, TR 38.822</w:t>
                            </w:r>
                            <w:r>
                              <w:rPr>
                                <w:rFonts w:cs="Times"/>
                                <w:color w:val="FF0000"/>
                                <w:szCs w:val="20"/>
                              </w:rPr>
                              <w:t>]</w:t>
                            </w:r>
                          </w:p>
                          <w:p>
                            <w:pPr>
                              <w:jc w:val="both"/>
                              <w:rPr>
                                <w:rFonts w:cs="Times"/>
                                <w:color w:val="000000"/>
                                <w:szCs w:val="20"/>
                                <w:lang w:eastAsia="ja-JP"/>
                              </w:rPr>
                            </w:pPr>
                            <w:r>
                              <w:rPr>
                                <w:rFonts w:cs="Times"/>
                                <w:bCs/>
                                <w:szCs w:val="20"/>
                                <w:lang w:eastAsia="ja-JP"/>
                              </w:rPr>
                              <w:t>FG 28-1 is kept as “RedCap UE” as follows.</w:t>
                            </w:r>
                          </w:p>
                          <w:tbl>
                            <w:tblPr>
                              <w:tblStyle w:val="49"/>
                              <w:tblW w:w="5000" w:type="pct"/>
                              <w:tblInd w:w="0" w:type="dxa"/>
                              <w:tblLayout w:type="autofit"/>
                              <w:tblCellMar>
                                <w:top w:w="0" w:type="dxa"/>
                                <w:left w:w="0" w:type="dxa"/>
                                <w:bottom w:w="0" w:type="dxa"/>
                                <w:right w:w="0" w:type="dxa"/>
                              </w:tblCellMar>
                            </w:tblPr>
                            <w:tblGrid>
                              <w:gridCol w:w="754"/>
                              <w:gridCol w:w="457"/>
                              <w:gridCol w:w="613"/>
                              <w:gridCol w:w="692"/>
                              <w:gridCol w:w="594"/>
                              <w:gridCol w:w="721"/>
                              <w:gridCol w:w="712"/>
                              <w:gridCol w:w="715"/>
                              <w:gridCol w:w="373"/>
                              <w:gridCol w:w="774"/>
                              <w:gridCol w:w="821"/>
                              <w:gridCol w:w="809"/>
                              <w:gridCol w:w="811"/>
                              <w:gridCol w:w="811"/>
                            </w:tblGrid>
                            <w:tr>
                              <w:tblPrEx>
                                <w:tblCellMar>
                                  <w:top w:w="0" w:type="dxa"/>
                                  <w:left w:w="0" w:type="dxa"/>
                                  <w:bottom w:w="0" w:type="dxa"/>
                                  <w:right w:w="0" w:type="dxa"/>
                                </w:tblCellMar>
                              </w:tblPrEx>
                              <w:trPr>
                                <w:trHeight w:val="20" w:hRule="atLeast"/>
                              </w:trPr>
                              <w:tc>
                                <w:tcPr>
                                  <w:tcW w:w="391" w:type="pct"/>
                                  <w:tcBorders>
                                    <w:top w:val="single" w:color="auto" w:sz="8" w:space="0"/>
                                    <w:left w:val="single" w:color="auto" w:sz="8" w:space="0"/>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sz w:val="10"/>
                                      <w:szCs w:val="20"/>
                                    </w:rPr>
                                    <w:t>28. NR_redcap</w:t>
                                  </w:r>
                                </w:p>
                              </w:tc>
                              <w:tc>
                                <w:tcPr>
                                  <w:tcW w:w="237"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sz w:val="10"/>
                                      <w:szCs w:val="20"/>
                                    </w:rPr>
                                    <w:t>28-1</w:t>
                                  </w:r>
                                </w:p>
                              </w:tc>
                              <w:tc>
                                <w:tcPr>
                                  <w:tcW w:w="31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sz w:val="10"/>
                                      <w:szCs w:val="20"/>
                                      <w:lang w:eastAsia="zh-CN"/>
                                    </w:rPr>
                                    <w:t>RedCap UE</w:t>
                                  </w:r>
                                </w:p>
                              </w:tc>
                              <w:tc>
                                <w:tcPr>
                                  <w:tcW w:w="35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autoSpaceDE w:val="0"/>
                                    <w:autoSpaceDN w:val="0"/>
                                    <w:snapToGrid w:val="0"/>
                                    <w:spacing w:line="252" w:lineRule="auto"/>
                                    <w:jc w:val="both"/>
                                    <w:rPr>
                                      <w:rFonts w:ascii="Arial" w:hAnsi="Arial" w:cs="Arial"/>
                                      <w:sz w:val="10"/>
                                      <w:szCs w:val="20"/>
                                      <w:lang w:eastAsia="ko-KR"/>
                                    </w:rPr>
                                  </w:pPr>
                                  <w:r>
                                    <w:rPr>
                                      <w:rFonts w:ascii="Arial" w:hAnsi="Arial" w:cs="Arial"/>
                                      <w:sz w:val="10"/>
                                      <w:szCs w:val="20"/>
                                    </w:rPr>
                                    <w:t>1. Maximum FR1 RedCap UE bandwidth is 20 MHz.</w:t>
                                  </w:r>
                                </w:p>
                                <w:p>
                                  <w:pPr>
                                    <w:autoSpaceDE w:val="0"/>
                                    <w:autoSpaceDN w:val="0"/>
                                    <w:snapToGrid w:val="0"/>
                                    <w:spacing w:line="252" w:lineRule="auto"/>
                                    <w:jc w:val="both"/>
                                    <w:rPr>
                                      <w:rFonts w:ascii="Arial" w:hAnsi="Arial" w:cs="Arial"/>
                                      <w:sz w:val="10"/>
                                      <w:szCs w:val="20"/>
                                    </w:rPr>
                                  </w:pPr>
                                  <w:r>
                                    <w:rPr>
                                      <w:rFonts w:ascii="Arial" w:hAnsi="Arial" w:cs="Arial"/>
                                      <w:sz w:val="10"/>
                                      <w:szCs w:val="20"/>
                                    </w:rPr>
                                    <w:t>2. Maximum FR2 RedCap UE bandwidth is 100 MHz.</w:t>
                                  </w:r>
                                </w:p>
                                <w:p>
                                  <w:pPr>
                                    <w:autoSpaceDE w:val="0"/>
                                    <w:autoSpaceDN w:val="0"/>
                                    <w:snapToGrid w:val="0"/>
                                    <w:spacing w:line="252" w:lineRule="auto"/>
                                    <w:jc w:val="both"/>
                                    <w:rPr>
                                      <w:rFonts w:ascii="Arial" w:hAnsi="Arial" w:cs="Arial"/>
                                      <w:sz w:val="10"/>
                                      <w:szCs w:val="20"/>
                                    </w:rPr>
                                  </w:pPr>
                                  <w:r>
                                    <w:rPr>
                                      <w:rFonts w:ascii="Arial" w:hAnsi="Arial" w:cs="Arial"/>
                                      <w:sz w:val="10"/>
                                      <w:szCs w:val="20"/>
                                      <w:highlight w:val="yellow"/>
                                    </w:rPr>
                                    <w:t>FFS whether to add any other basic features for RedCap UE</w:t>
                                  </w:r>
                                </w:p>
                              </w:tc>
                              <w:tc>
                                <w:tcPr>
                                  <w:tcW w:w="30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highlight w:val="yellow"/>
                                    </w:rPr>
                                  </w:pPr>
                                </w:p>
                              </w:tc>
                              <w:tc>
                                <w:tcPr>
                                  <w:tcW w:w="374"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sz w:val="10"/>
                                      <w:szCs w:val="20"/>
                                      <w:lang w:eastAsia="zh-CN"/>
                                    </w:rPr>
                                    <w:t>Yes</w:t>
                                  </w:r>
                                </w:p>
                              </w:tc>
                              <w:tc>
                                <w:tcPr>
                                  <w:tcW w:w="36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p>
                              </w:tc>
                              <w:tc>
                                <w:tcPr>
                                  <w:tcW w:w="370"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val="en-US" w:eastAsia="zh-CN"/>
                                    </w:rPr>
                                  </w:pPr>
                                  <w:r>
                                    <w:rPr>
                                      <w:rFonts w:ascii="Arial" w:hAnsi="Arial" w:cs="Arial"/>
                                      <w:color w:val="000000"/>
                                      <w:sz w:val="10"/>
                                      <w:szCs w:val="20"/>
                                      <w:lang w:eastAsia="zh-CN"/>
                                    </w:rPr>
                                    <w:t>Impact on UE complexity</w:t>
                                  </w:r>
                                </w:p>
                              </w:tc>
                              <w:tc>
                                <w:tcPr>
                                  <w:tcW w:w="189"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color w:val="000000"/>
                                      <w:sz w:val="10"/>
                                      <w:szCs w:val="20"/>
                                      <w:lang w:eastAsia="zh-CN"/>
                                    </w:rPr>
                                    <w:t>Per UE</w:t>
                                  </w:r>
                                </w:p>
                              </w:tc>
                              <w:tc>
                                <w:tcPr>
                                  <w:tcW w:w="401"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color w:val="000000"/>
                                      <w:sz w:val="10"/>
                                      <w:szCs w:val="20"/>
                                    </w:rPr>
                                    <w:t>No</w:t>
                                  </w:r>
                                </w:p>
                              </w:tc>
                              <w:tc>
                                <w:tcPr>
                                  <w:tcW w:w="425"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strike/>
                                      <w:color w:val="FF0000"/>
                                      <w:sz w:val="10"/>
                                      <w:szCs w:val="20"/>
                                    </w:rPr>
                                    <w:t>[</w:t>
                                  </w:r>
                                  <w:r>
                                    <w:rPr>
                                      <w:rFonts w:ascii="Arial" w:hAnsi="Arial" w:cs="Arial"/>
                                      <w:color w:val="000000"/>
                                      <w:sz w:val="10"/>
                                      <w:szCs w:val="20"/>
                                    </w:rPr>
                                    <w:t>No</w:t>
                                  </w:r>
                                  <w:r>
                                    <w:rPr>
                                      <w:rFonts w:ascii="Arial" w:hAnsi="Arial" w:cs="Arial"/>
                                      <w:strike/>
                                      <w:color w:val="FF0000"/>
                                      <w:sz w:val="10"/>
                                      <w:szCs w:val="20"/>
                                    </w:rPr>
                                    <w:t>]</w:t>
                                  </w:r>
                                </w:p>
                              </w:tc>
                              <w:tc>
                                <w:tcPr>
                                  <w:tcW w:w="41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rPr>
                                  </w:pPr>
                                </w:p>
                              </w:tc>
                              <w:tc>
                                <w:tcPr>
                                  <w:tcW w:w="420"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color w:val="000000"/>
                                      <w:sz w:val="10"/>
                                      <w:szCs w:val="20"/>
                                    </w:rPr>
                                    <w:t>RedCap UEs do not support carrier aggregation or dual connectivity.</w:t>
                                  </w:r>
                                </w:p>
                              </w:tc>
                              <w:tc>
                                <w:tcPr>
                                  <w:tcW w:w="421"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color w:val="000000"/>
                                      <w:sz w:val="10"/>
                                      <w:szCs w:val="20"/>
                                    </w:rPr>
                                    <w:t>Optional with capability signaling</w:t>
                                  </w:r>
                                </w:p>
                              </w:tc>
                            </w:tr>
                          </w:tbl>
                          <w:p>
                            <w:pPr>
                              <w:rPr>
                                <w:rFonts w:eastAsia="Yu Gothic" w:cs="Times"/>
                                <w:szCs w:val="20"/>
                                <w:lang w:val="en-US" w:eastAsia="ja-JP"/>
                              </w:rPr>
                            </w:pPr>
                            <w:r>
                              <w:rPr>
                                <w:rFonts w:eastAsia="Yu Gothic" w:cs="Times"/>
                                <w:szCs w:val="20"/>
                                <w:lang w:val="en-US" w:eastAsia="ja-JP"/>
                              </w:rPr>
                              <w:t>Note that yellow highlight means FFS and to be discussed further. These parts are provided as placeholders.</w:t>
                            </w:r>
                          </w:p>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[38.306, 38.331, TR 38.822</w:t>
                            </w:r>
                            <w:r>
                              <w:rPr>
                                <w:rFonts w:cs="Times"/>
                                <w:color w:val="FF0000"/>
                                <w:szCs w:val="20"/>
                              </w:rPr>
                              <w:t>]</w:t>
                            </w:r>
                          </w:p>
                          <w:p>
                            <w:r>
                              <w:t>FG 28-1 is supported as a basic FG for RedCap UE</w:t>
                            </w:r>
                          </w:p>
                          <w:p>
                            <w:pPr>
                              <w:numPr>
                                <w:ilvl w:val="0"/>
                                <w:numId w:val="7"/>
                              </w:numPr>
                            </w:pPr>
                            <w:r>
                              <w:t>It is clarified in the column of “Mandatory/Optional”</w:t>
                            </w:r>
                          </w:p>
                          <w:p>
                            <w:pPr>
                              <w:rPr>
                                <w:rFonts w:eastAsia="Yu Gothic" w:cs="Times"/>
                                <w:szCs w:val="20"/>
                                <w:lang w:val="en-US" w:eastAsia="ja-JP"/>
                              </w:rPr>
                            </w:pP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323.4pt;width:486.95pt;" fillcolor="#FFFFFF [3201]" filled="t" stroked="t" coordsize="21600,21600" o:gfxdata="UEsDBAoAAAAAAIdO4kAAAAAAAAAAAAAAAAAEAAAAZHJzL1BLAwQUAAAACACHTuJAesWdCdQAAAAF&#10;AQAADwAAAGRycy9kb3ducmV2LnhtbE2PwWrDMBBE74X8g9hAb42cuLiJ63UggULprYkvvSnWxjaV&#10;VkZS4vTvq/bSXhaGGWbeVtubNeJKPgyOEZaLDARx6/TAHUJzfHlYgwhRsVbGMSF8UYBtPburVKnd&#10;xO90PcROpBIOpULoYxxLKUPbk1Vh4Ubi5J2dtyom6TupvZpSuTVylWWFtGrgtNCrkfY9tZ+Hi0V4&#10;LXbxgxr9pvNV7qZGtv5sAuL9fJk9g4h0i39h+MFP6FAnppO7sA7CIKRH4u9N3uYp34A4IRSPxRpk&#10;Xcn/9PU3UEsDBBQAAAAIAIdO4kDwJBciZAIAAMMEAAAOAAAAZHJzL2Uyb0RvYy54bWytVM1u2zAM&#10;vg/YOwi6r47dJE2COEXWIsOAYi2QDTsrshwLk0VNUmJ3D7C9wU677L7nynOMkp3+7tDDclAo8cNH&#10;8iPp+XlbK7IX1knQOU1PBpQIzaGQepvTTx9XbyaUOM90wRRokdNb4ej54vWreWNmIoMKVCEsQRLt&#10;Zo3JaeW9mSWJ45WomTsBIzQ6S7A183i126SwrEH2WiXZYDBOGrCFscCFc/h62Tlpz2hfQghlKbm4&#10;BL6rhfYdqxWKeSzJVdI4uojZlqXg/rosnfBE5RQr9fHEIGhvwpks5my2tcxUkvcpsJek8KSmmkmN&#10;Qe+oLplnZGflM6pacgsOSn/CoU66QqIiWEU6eKLNumJGxFpQamfuRHf/j5Z/2N9YIoucZpRoVmPD&#10;Dz9/HH79Ofz+TrIgT2PcDFFrgzjfvoUWh+b47vAxVN2Wtg7/WA9B/1k2mU5Q4ducDsfT6fh01Oks&#10;Wk84+sfpZJiNR5TwgEgHZymiMVRyz2Ss8+8E1CQYObXYyKgv218530GPkBDYgZLFSioVL3a7uVCW&#10;7Bk2fRV/PfsjmNKkwVxOR4PI/MgXuO8oNorxL88ZMFulMekgUCdEsHy7aXvVNlDcomgWuqlzhq8k&#10;8l4x52+YxTFDiXAR/TUepQJMBnqLkgrst3+9Bzx2H72UNDi2OXVfd8wKStR7jXMxTYfDMOfxMhyd&#10;ZXixDz2bhx69qy8ARUpx5Q2PZsB7dTRLC/Vn3NdliIoupjnGzqk/mhe+Wybcdy6WywjCyTbMX+m1&#10;4YE6tETDcuehlLF1QaZOm149nO3Y/H4Pw/I8vEfU/bdn8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6xZ0J1AAAAAUBAAAPAAAAAAAAAAEAIAAAACIAAABkcnMvZG93bnJldi54bWxQSwECFAAUAAAA&#10;CACHTuJA8CQXImQCAADDBAAADgAAAAAAAAABACAAAAAjAQAAZHJzL2Uyb0RvYy54bWxQSwUGAAAA&#10;AAYABgBZAQAA+QUAAAAA&#10;">
                <v:fill on="t" focussize="0,0"/>
                <v:stroke weight="0.5pt" color="#000000 [3204]" joinstyle="round"/>
                <v:imagedata o:title=""/>
                <o:lock v:ext="edit" aspectratio="f"/>
                <v:textbo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[38.306, 38.331, TR 38.822</w:t>
                      </w:r>
                      <w:r>
                        <w:rPr>
                          <w:rFonts w:cs="Times"/>
                          <w:color w:val="FF0000"/>
                          <w:szCs w:val="20"/>
                        </w:rPr>
                        <w:t>]</w:t>
                      </w:r>
                    </w:p>
                    <w:p>
                      <w:pPr>
                        <w:jc w:val="both"/>
                        <w:rPr>
                          <w:rFonts w:cs="Times"/>
                          <w:color w:val="000000"/>
                          <w:szCs w:val="20"/>
                          <w:lang w:eastAsia="ja-JP"/>
                        </w:rPr>
                      </w:pPr>
                      <w:r>
                        <w:rPr>
                          <w:rFonts w:cs="Times"/>
                          <w:bCs/>
                          <w:szCs w:val="20"/>
                          <w:lang w:eastAsia="ja-JP"/>
                        </w:rPr>
                        <w:t>FG 28-1 is kept as “RedCap UE” as follows.</w:t>
                      </w:r>
                    </w:p>
                    <w:tbl>
                      <w:tblPr>
                        <w:tblStyle w:val="49"/>
                        <w:tblW w:w="5000" w:type="pct"/>
                        <w:tblInd w:w="0" w:type="dxa"/>
                        <w:tblLayout w:type="autofit"/>
                        <w:tblCellMar>
                          <w:top w:w="0" w:type="dxa"/>
                          <w:left w:w="0" w:type="dxa"/>
                          <w:bottom w:w="0" w:type="dxa"/>
                          <w:right w:w="0" w:type="dxa"/>
                        </w:tblCellMar>
                      </w:tblPr>
                      <w:tblGrid>
                        <w:gridCol w:w="754"/>
                        <w:gridCol w:w="457"/>
                        <w:gridCol w:w="613"/>
                        <w:gridCol w:w="692"/>
                        <w:gridCol w:w="594"/>
                        <w:gridCol w:w="721"/>
                        <w:gridCol w:w="712"/>
                        <w:gridCol w:w="715"/>
                        <w:gridCol w:w="373"/>
                        <w:gridCol w:w="774"/>
                        <w:gridCol w:w="821"/>
                        <w:gridCol w:w="809"/>
                        <w:gridCol w:w="811"/>
                        <w:gridCol w:w="811"/>
                      </w:tblGrid>
                      <w:tr>
                        <w:tblPrEx>
                          <w:tblCellMar>
                            <w:top w:w="0" w:type="dxa"/>
                            <w:left w:w="0" w:type="dxa"/>
                            <w:bottom w:w="0" w:type="dxa"/>
                            <w:right w:w="0" w:type="dxa"/>
                          </w:tblCellMar>
                        </w:tblPrEx>
                        <w:trPr>
                          <w:trHeight w:val="20" w:hRule="atLeast"/>
                        </w:trPr>
                        <w:tc>
                          <w:tcPr>
                            <w:tcW w:w="391" w:type="pct"/>
                            <w:tcBorders>
                              <w:top w:val="single" w:color="auto" w:sz="8" w:space="0"/>
                              <w:left w:val="single" w:color="auto" w:sz="8" w:space="0"/>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sz w:val="10"/>
                                <w:szCs w:val="20"/>
                              </w:rPr>
                              <w:t>28. NR_redcap</w:t>
                            </w:r>
                          </w:p>
                        </w:tc>
                        <w:tc>
                          <w:tcPr>
                            <w:tcW w:w="237"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sz w:val="10"/>
                                <w:szCs w:val="20"/>
                              </w:rPr>
                              <w:t>28-1</w:t>
                            </w:r>
                          </w:p>
                        </w:tc>
                        <w:tc>
                          <w:tcPr>
                            <w:tcW w:w="31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sz w:val="10"/>
                                <w:szCs w:val="20"/>
                                <w:lang w:eastAsia="zh-CN"/>
                              </w:rPr>
                              <w:t>RedCap UE</w:t>
                            </w:r>
                          </w:p>
                        </w:tc>
                        <w:tc>
                          <w:tcPr>
                            <w:tcW w:w="35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autoSpaceDE w:val="0"/>
                              <w:autoSpaceDN w:val="0"/>
                              <w:snapToGrid w:val="0"/>
                              <w:spacing w:line="252" w:lineRule="auto"/>
                              <w:jc w:val="both"/>
                              <w:rPr>
                                <w:rFonts w:ascii="Arial" w:hAnsi="Arial" w:cs="Arial"/>
                                <w:sz w:val="10"/>
                                <w:szCs w:val="20"/>
                                <w:lang w:eastAsia="ko-KR"/>
                              </w:rPr>
                            </w:pPr>
                            <w:r>
                              <w:rPr>
                                <w:rFonts w:ascii="Arial" w:hAnsi="Arial" w:cs="Arial"/>
                                <w:sz w:val="10"/>
                                <w:szCs w:val="20"/>
                              </w:rPr>
                              <w:t>1. Maximum FR1 RedCap UE bandwidth is 20 MHz.</w:t>
                            </w:r>
                          </w:p>
                          <w:p>
                            <w:pPr>
                              <w:autoSpaceDE w:val="0"/>
                              <w:autoSpaceDN w:val="0"/>
                              <w:snapToGrid w:val="0"/>
                              <w:spacing w:line="252" w:lineRule="auto"/>
                              <w:jc w:val="both"/>
                              <w:rPr>
                                <w:rFonts w:ascii="Arial" w:hAnsi="Arial" w:cs="Arial"/>
                                <w:sz w:val="10"/>
                                <w:szCs w:val="20"/>
                              </w:rPr>
                            </w:pPr>
                            <w:r>
                              <w:rPr>
                                <w:rFonts w:ascii="Arial" w:hAnsi="Arial" w:cs="Arial"/>
                                <w:sz w:val="10"/>
                                <w:szCs w:val="20"/>
                              </w:rPr>
                              <w:t>2. Maximum FR2 RedCap UE bandwidth is 100 MHz.</w:t>
                            </w:r>
                          </w:p>
                          <w:p>
                            <w:pPr>
                              <w:autoSpaceDE w:val="0"/>
                              <w:autoSpaceDN w:val="0"/>
                              <w:snapToGrid w:val="0"/>
                              <w:spacing w:line="252" w:lineRule="auto"/>
                              <w:jc w:val="both"/>
                              <w:rPr>
                                <w:rFonts w:ascii="Arial" w:hAnsi="Arial" w:cs="Arial"/>
                                <w:sz w:val="10"/>
                                <w:szCs w:val="20"/>
                              </w:rPr>
                            </w:pPr>
                            <w:r>
                              <w:rPr>
                                <w:rFonts w:ascii="Arial" w:hAnsi="Arial" w:cs="Arial"/>
                                <w:sz w:val="10"/>
                                <w:szCs w:val="20"/>
                                <w:highlight w:val="yellow"/>
                              </w:rPr>
                              <w:t>FFS whether to add any other basic features for RedCap UE</w:t>
                            </w:r>
                          </w:p>
                        </w:tc>
                        <w:tc>
                          <w:tcPr>
                            <w:tcW w:w="30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highlight w:val="yellow"/>
                              </w:rPr>
                            </w:pPr>
                          </w:p>
                        </w:tc>
                        <w:tc>
                          <w:tcPr>
                            <w:tcW w:w="374"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sz w:val="10"/>
                                <w:szCs w:val="20"/>
                                <w:lang w:eastAsia="zh-CN"/>
                              </w:rPr>
                              <w:t>Yes</w:t>
                            </w:r>
                          </w:p>
                        </w:tc>
                        <w:tc>
                          <w:tcPr>
                            <w:tcW w:w="36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p>
                        </w:tc>
                        <w:tc>
                          <w:tcPr>
                            <w:tcW w:w="370"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val="en-US" w:eastAsia="zh-CN"/>
                              </w:rPr>
                            </w:pPr>
                            <w:r>
                              <w:rPr>
                                <w:rFonts w:ascii="Arial" w:hAnsi="Arial" w:cs="Arial"/>
                                <w:color w:val="000000"/>
                                <w:sz w:val="10"/>
                                <w:szCs w:val="20"/>
                                <w:lang w:eastAsia="zh-CN"/>
                              </w:rPr>
                              <w:t>Impact on UE complexity</w:t>
                            </w:r>
                          </w:p>
                        </w:tc>
                        <w:tc>
                          <w:tcPr>
                            <w:tcW w:w="189"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zh-CN"/>
                              </w:rPr>
                            </w:pPr>
                            <w:r>
                              <w:rPr>
                                <w:rFonts w:ascii="Arial" w:hAnsi="Arial" w:cs="Arial"/>
                                <w:color w:val="000000"/>
                                <w:sz w:val="10"/>
                                <w:szCs w:val="20"/>
                                <w:lang w:eastAsia="zh-CN"/>
                              </w:rPr>
                              <w:t>Per UE</w:t>
                            </w:r>
                          </w:p>
                        </w:tc>
                        <w:tc>
                          <w:tcPr>
                            <w:tcW w:w="401"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color w:val="000000"/>
                                <w:sz w:val="10"/>
                                <w:szCs w:val="20"/>
                              </w:rPr>
                              <w:t>No</w:t>
                            </w:r>
                          </w:p>
                        </w:tc>
                        <w:tc>
                          <w:tcPr>
                            <w:tcW w:w="425"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strike/>
                                <w:color w:val="FF0000"/>
                                <w:sz w:val="10"/>
                                <w:szCs w:val="20"/>
                              </w:rPr>
                              <w:t>[</w:t>
                            </w:r>
                            <w:r>
                              <w:rPr>
                                <w:rFonts w:ascii="Arial" w:hAnsi="Arial" w:cs="Arial"/>
                                <w:color w:val="000000"/>
                                <w:sz w:val="10"/>
                                <w:szCs w:val="20"/>
                              </w:rPr>
                              <w:t>No</w:t>
                            </w:r>
                            <w:r>
                              <w:rPr>
                                <w:rFonts w:ascii="Arial" w:hAnsi="Arial" w:cs="Arial"/>
                                <w:strike/>
                                <w:color w:val="FF0000"/>
                                <w:sz w:val="10"/>
                                <w:szCs w:val="20"/>
                              </w:rPr>
                              <w:t>]</w:t>
                            </w:r>
                          </w:p>
                        </w:tc>
                        <w:tc>
                          <w:tcPr>
                            <w:tcW w:w="419"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top"/>
                          </w:tcPr>
                          <w:p>
                            <w:pPr>
                              <w:keepNext/>
                              <w:spacing w:after="160" w:line="252" w:lineRule="auto"/>
                              <w:rPr>
                                <w:rFonts w:ascii="Arial" w:hAnsi="Arial" w:cs="Arial"/>
                                <w:sz w:val="10"/>
                                <w:szCs w:val="20"/>
                              </w:rPr>
                            </w:pPr>
                          </w:p>
                        </w:tc>
                        <w:tc>
                          <w:tcPr>
                            <w:tcW w:w="420"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rPr>
                            </w:pPr>
                            <w:r>
                              <w:rPr>
                                <w:rFonts w:ascii="Arial" w:hAnsi="Arial" w:cs="Arial"/>
                                <w:color w:val="000000"/>
                                <w:sz w:val="10"/>
                                <w:szCs w:val="20"/>
                              </w:rPr>
                              <w:t>RedCap UEs do not support carrier aggregation or dual connectivity.</w:t>
                            </w:r>
                          </w:p>
                        </w:tc>
                        <w:tc>
                          <w:tcPr>
                            <w:tcW w:w="421" w:type="pct"/>
                            <w:tcBorders>
                              <w:top w:val="single" w:color="auto" w:sz="8" w:space="0"/>
                              <w:left w:val="nil"/>
                              <w:bottom w:val="single" w:color="auto" w:sz="8" w:space="0"/>
                              <w:right w:val="single" w:color="auto" w:sz="8" w:space="0"/>
                            </w:tcBorders>
                            <w:shd w:val="clear" w:color="auto" w:fill="FFFF00"/>
                            <w:noWrap w:val="0"/>
                            <w:tcMar>
                              <w:top w:w="0" w:type="dxa"/>
                              <w:left w:w="108" w:type="dxa"/>
                              <w:bottom w:w="0" w:type="dxa"/>
                              <w:right w:w="108" w:type="dxa"/>
                            </w:tcMar>
                            <w:vAlign w:val="top"/>
                          </w:tcPr>
                          <w:p>
                            <w:pPr>
                              <w:keepNext/>
                              <w:spacing w:after="160" w:line="252" w:lineRule="auto"/>
                              <w:rPr>
                                <w:rFonts w:ascii="Arial" w:hAnsi="Arial" w:cs="Arial"/>
                                <w:sz w:val="10"/>
                                <w:szCs w:val="20"/>
                                <w:lang w:eastAsia="ko-KR"/>
                              </w:rPr>
                            </w:pPr>
                            <w:r>
                              <w:rPr>
                                <w:rFonts w:ascii="Arial" w:hAnsi="Arial" w:cs="Arial"/>
                                <w:color w:val="000000"/>
                                <w:sz w:val="10"/>
                                <w:szCs w:val="20"/>
                              </w:rPr>
                              <w:t>Optional with capability signaling</w:t>
                            </w:r>
                          </w:p>
                        </w:tc>
                      </w:tr>
                    </w:tbl>
                    <w:p>
                      <w:pPr>
                        <w:rPr>
                          <w:rFonts w:eastAsia="Yu Gothic" w:cs="Times"/>
                          <w:szCs w:val="20"/>
                          <w:lang w:val="en-US" w:eastAsia="ja-JP"/>
                        </w:rPr>
                      </w:pPr>
                      <w:r>
                        <w:rPr>
                          <w:rFonts w:eastAsia="Yu Gothic" w:cs="Times"/>
                          <w:szCs w:val="20"/>
                          <w:lang w:val="en-US" w:eastAsia="ja-JP"/>
                        </w:rPr>
                        <w:t>Note that yellow highlight means FFS and to be discussed further. These parts are provided as placeholders.</w:t>
                      </w:r>
                    </w:p>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[38.306, 38.331, TR 38.822</w:t>
                      </w:r>
                      <w:r>
                        <w:rPr>
                          <w:rFonts w:cs="Times"/>
                          <w:color w:val="FF0000"/>
                          <w:szCs w:val="20"/>
                        </w:rPr>
                        <w:t>]</w:t>
                      </w:r>
                    </w:p>
                    <w:p>
                      <w:r>
                        <w:t>FG 28-1 is supported as a basic FG for RedCap UE</w:t>
                      </w:r>
                    </w:p>
                    <w:p>
                      <w:pPr>
                        <w:numPr>
                          <w:ilvl w:val="0"/>
                          <w:numId w:val="7"/>
                        </w:numPr>
                      </w:pPr>
                      <w:r>
                        <w:t>It is clarified in the column of “Mandatory/Optional”</w:t>
                      </w:r>
                    </w:p>
                    <w:p>
                      <w:pPr>
                        <w:rPr>
                          <w:rFonts w:eastAsia="Yu Gothic" w:cs="Times"/>
                          <w:szCs w:val="20"/>
                          <w:lang w:val="en-US" w:eastAsia="ja-JP"/>
                        </w:rPr>
                      </w:pPr>
                    </w:p>
                    <w:p/>
                  </w:txbxContent>
                </v:textbox>
                <w10:wrap type="none"/>
                <w10:anchorlock/>
              </v:shape>
            </w:pict>
          </mc:Fallback>
        </mc:AlternateContent>
      </w:r>
    </w:p>
    <w:p>
      <w:pPr>
        <w:rPr>
          <w:rFonts w:hint="default"/>
          <w:lang w:val="en-US" w:eastAsia="zh-CN"/>
        </w:rPr>
      </w:pPr>
      <w:r>
        <w:rPr>
          <w:rFonts w:hint="eastAsia"/>
          <w:sz w:val="20"/>
          <w:lang w:val="en-US" w:eastAsia="zh-CN"/>
        </w:rPr>
        <w:t xml:space="preserve">According to the agreements, </w:t>
      </w:r>
      <w:r>
        <w:t>FG 28-1 is supported as a basic FG for RedCap UE</w:t>
      </w:r>
      <w:r>
        <w:rPr>
          <w:rFonts w:hint="eastAsia"/>
          <w:lang w:val="en-US" w:eastAsia="zh-CN"/>
        </w:rPr>
        <w:t>. And during the email discussion in RAN1#106b-e under AI 8.6.2, the following proposals are also made, and most of the companies can accept the proposal.</w:t>
      </w:r>
    </w:p>
    <w:p>
      <w:pPr>
        <w:tabs>
          <w:tab w:val="left" w:pos="1410"/>
        </w:tabs>
        <w:spacing w:after="0"/>
        <w:rPr>
          <w:b/>
          <w:bCs/>
          <w:lang w:val="en-US"/>
        </w:rPr>
      </w:pPr>
      <w:r>
        <w:rPr>
          <w:b/>
          <w:highlight w:val="yellow"/>
          <w:lang w:val="en-US"/>
        </w:rPr>
        <w:t>FL2 High Priority Proposal 5-1:</w:t>
      </w:r>
      <w:r>
        <w:rPr>
          <w:b/>
          <w:bCs/>
          <w:lang w:val="en-US"/>
        </w:rPr>
        <w:t xml:space="preserve"> </w:t>
      </w:r>
    </w:p>
    <w:p>
      <w:pPr>
        <w:pStyle w:val="134"/>
        <w:numPr>
          <w:ilvl w:val="1"/>
          <w:numId w:val="8"/>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Alt.2: Leave ‘Redcap Device Type’ definition to UE features of Redcap AI. </w:t>
      </w:r>
    </w:p>
    <w:p>
      <w:pPr>
        <w:pStyle w:val="134"/>
        <w:numPr>
          <w:ilvl w:val="2"/>
          <w:numId w:val="8"/>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that: UE features that are defined as part of ‘Basic feature group’ for Redcap are included in the ‘Redcap Device Type’ definition. </w:t>
      </w:r>
    </w:p>
    <w:p>
      <w:pPr>
        <w:rPr>
          <w:rFonts w:hint="default"/>
          <w:lang w:val="en-US" w:eastAsia="zh-CN"/>
        </w:rPr>
      </w:pPr>
    </w:p>
    <w:p>
      <w:pPr>
        <w:rPr>
          <w:rFonts w:hint="default"/>
          <w:lang w:val="en-US" w:eastAsia="zh-CN"/>
        </w:rPr>
      </w:pPr>
      <w:r>
        <w:rPr>
          <w:rFonts w:hint="eastAsia"/>
          <w:lang w:val="en-US" w:eastAsia="zh-CN"/>
        </w:rPr>
        <w:t xml:space="preserve">So as the Note says, the content of fourth column of FG28-1 will be included in the </w:t>
      </w:r>
      <w:r>
        <w:rPr>
          <w:rFonts w:hint="default"/>
          <w:lang w:val="en-US" w:eastAsia="zh-CN"/>
        </w:rPr>
        <w:t>‘</w:t>
      </w:r>
      <w:r>
        <w:rPr>
          <w:rFonts w:hint="eastAsia"/>
          <w:lang w:val="en-US" w:eastAsia="zh-CN"/>
        </w:rPr>
        <w:t>Redcap Device Type</w:t>
      </w:r>
      <w:r>
        <w:rPr>
          <w:rFonts w:hint="default"/>
          <w:lang w:val="en-US" w:eastAsia="zh-CN"/>
        </w:rPr>
        <w:t>’</w:t>
      </w:r>
      <w:r>
        <w:rPr>
          <w:rFonts w:hint="eastAsia"/>
          <w:lang w:val="en-US" w:eastAsia="zh-CN"/>
        </w:rPr>
        <w:t xml:space="preserve"> definition,</w:t>
      </w:r>
    </w:p>
    <w:p>
      <w:pPr>
        <w:numPr>
          <w:ilvl w:val="0"/>
          <w:numId w:val="9"/>
        </w:numPr>
        <w:ind w:left="420" w:leftChars="0" w:hanging="420" w:firstLineChars="0"/>
        <w:rPr>
          <w:rFonts w:hint="default"/>
          <w:lang w:val="en-US" w:eastAsia="zh-CN"/>
        </w:rPr>
      </w:pPr>
      <w:r>
        <w:rPr>
          <w:rFonts w:hint="default"/>
          <w:lang w:val="en-US" w:eastAsia="zh-CN"/>
        </w:rPr>
        <w:t>1. Maximum FR1 RedCap UE bandwidth is 20 MHz.</w:t>
      </w:r>
    </w:p>
    <w:p>
      <w:pPr>
        <w:numPr>
          <w:ilvl w:val="0"/>
          <w:numId w:val="9"/>
        </w:numPr>
        <w:ind w:left="420" w:leftChars="0" w:hanging="420" w:firstLineChars="0"/>
        <w:rPr>
          <w:rFonts w:hint="default"/>
          <w:lang w:val="en-US" w:eastAsia="zh-CN"/>
        </w:rPr>
      </w:pPr>
      <w:r>
        <w:rPr>
          <w:rFonts w:hint="default"/>
          <w:lang w:val="en-US" w:eastAsia="zh-CN"/>
        </w:rPr>
        <w:t>2. Maximum FR2 RedCap UE bandwidth is 100 MHz.</w:t>
      </w:r>
    </w:p>
    <w:p>
      <w:pPr>
        <w:numPr>
          <w:ilvl w:val="0"/>
          <w:numId w:val="9"/>
        </w:numPr>
        <w:ind w:left="420" w:leftChars="0" w:hanging="420" w:firstLineChars="0"/>
        <w:rPr>
          <w:rFonts w:hint="default"/>
          <w:lang w:val="en-US" w:eastAsia="zh-CN"/>
        </w:rPr>
      </w:pPr>
      <w:r>
        <w:rPr>
          <w:rFonts w:hint="default"/>
          <w:lang w:val="en-US" w:eastAsia="zh-CN"/>
        </w:rPr>
        <w:t>FFS whether to add any other basic features for RedCap UE</w:t>
      </w:r>
    </w:p>
    <w:p>
      <w:pPr>
        <w:rPr>
          <w:rFonts w:hint="default"/>
          <w:lang w:val="en-US" w:eastAsia="zh-CN"/>
        </w:rPr>
      </w:pPr>
      <w:r>
        <w:rPr>
          <w:rFonts w:hint="eastAsia"/>
          <w:lang w:val="en-US" w:eastAsia="zh-CN"/>
        </w:rPr>
        <w:t xml:space="preserve">The RedCap Device type related agreements were made in RAN1#106e as following. </w:t>
      </w:r>
    </w:p>
    <w:p>
      <w:pPr>
        <w:rPr>
          <w:sz w:val="20"/>
        </w:rPr>
      </w:pPr>
      <w:r>
        <w:rPr>
          <w:sz w:val="20"/>
        </w:rPr>
        <mc:AlternateContent>
          <mc:Choice Requires="wps">
            <w:drawing>
              <wp:inline distT="0" distB="0" distL="114300" distR="114300">
                <wp:extent cx="6019800" cy="1731645"/>
                <wp:effectExtent l="5080" t="4445" r="13970" b="16510"/>
                <wp:docPr id="3" name="文本框 3"/>
                <wp:cNvGraphicFramePr/>
                <a:graphic xmlns:a="http://schemas.openxmlformats.org/drawingml/2006/main">
                  <a:graphicData uri="http://schemas.microsoft.com/office/word/2010/wordprocessingShape">
                    <wps:wsp>
                      <wps:cNvSpPr txBox="1"/>
                      <wps:spPr>
                        <a:xfrm>
                          <a:off x="721995" y="2839720"/>
                          <a:ext cx="6019800" cy="17316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[38.304, 38.306, 38.331</w:t>
                            </w:r>
                            <w:r>
                              <w:rPr>
                                <w:rFonts w:cs="Times"/>
                                <w:color w:val="FF0000"/>
                                <w:szCs w:val="20"/>
                              </w:rPr>
                              <w:t>]</w:t>
                            </w:r>
                          </w:p>
                          <w:p>
                            <w:pPr>
                              <w:numPr>
                                <w:ilvl w:val="0"/>
                                <w:numId w:val="10"/>
                              </w:numPr>
                              <w:spacing w:line="252" w:lineRule="auto"/>
                              <w:contextualSpacing/>
                              <w:rPr>
                                <w:rFonts w:ascii="Times New Roman" w:hAnsi="Times New Roman"/>
                                <w:szCs w:val="20"/>
                                <w:lang w:val="en-US"/>
                              </w:rPr>
                            </w:pPr>
                            <w:r>
                              <w:rPr>
                                <w:rFonts w:ascii="Times New Roman" w:hAnsi="Times New Roman"/>
                                <w:szCs w:val="20"/>
                                <w:lang w:val="en-US"/>
                              </w:rPr>
                              <w:t>A RedCap UE type from RAN1 point of view supports a maximum bandwidth of 20MHz for FR1 and 100MHz for FR2</w:t>
                            </w:r>
                          </w:p>
                          <w:p>
                            <w:pPr>
                              <w:numPr>
                                <w:ilvl w:val="0"/>
                                <w:numId w:val="10"/>
                              </w:numPr>
                              <w:spacing w:line="252" w:lineRule="auto"/>
                              <w:contextualSpacing/>
                              <w:rPr>
                                <w:rFonts w:ascii="Times New Roman" w:hAnsi="Times New Roman"/>
                                <w:szCs w:val="20"/>
                                <w:lang w:val="en-US"/>
                              </w:rPr>
                            </w:pPr>
                            <w:r>
                              <w:rPr>
                                <w:rFonts w:ascii="Times New Roman" w:hAnsi="Times New Roman"/>
                                <w:szCs w:val="20"/>
                                <w:lang w:val="en-US"/>
                              </w:rPr>
                              <w:t>Further discuss whether to capture also one or more of the following capabilities to RedCap UE type description</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1 or 2 Rx branches and corresponding maximum DL MIMO layers</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FD-FDD or Type A HD-FDD operation for FR1 FDD bands</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DL up to 64 QAM or up to 256 QAM for FR1</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Does not support CA/DC</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36.35pt;width:474pt;" fillcolor="#FFFFFF [3201]" filled="t" stroked="t" coordsize="21600,21600" o:gfxdata="UEsDBAoAAAAAAIdO4kAAAAAAAAAAAAAAAAAEAAAAZHJzL1BLAwQUAAAACACHTuJALTc/YNMAAAAF&#10;AQAADwAAAGRycy9kb3ducmV2LnhtbE2PwW7CMBBE75X4B2uReisOoQKaxkECqRLqrZBLbyZekqj2&#10;OrINgb/vtpf2MtJoVjNvy83NWXHFEHtPCuazDARS401PrYL6+Pa0BhGTJqOtJ1RwxwibavJQ6sL4&#10;kT7wekit4BKKhVbQpTQUUsamQ6fjzA9InJ19cDqxDa00QY9c7qzMs2wpne6JFzo94K7D5utwcQr2&#10;y236xNq8m0W+8GMtm3C2UanH6Tx7BZHwlv6O4Qef0aFippO/kInCKuBH0q9y9vK8ZntSkK/yFciq&#10;lP/pq29QSwMEFAAAAAgAh07iQCp4K6NkAgAAwwQAAA4AAABkcnMvZTJvRG9jLnhtbK1US27bMBDd&#10;F+gdCO4bSf4ksRE5cBO4KBA0AdKia5qiLKIkhyVpS+kB2ht01U33PVfO0SEl59tFFvWCHnIe3sy8&#10;mdHJaacV2QnnJZiSFgc5JcJwqKTZlPTTx9WbY0p8YKZiCowo6Y3w9HTx+tVJa+diBA2oSjiCJMbP&#10;W1vSJgQ7zzLPG6GZPwArDDprcJoFvLpNVjnWIrtW2SjPD7MWXGUdcOE9vp73TjowupcQQl1LLs6B&#10;b7UwoWd1QrGAJflGWk8XKdu6Fjxc1rUXgaiSYqUhnRgE7XU8s8UJm28cs43kQwrsJSk8qUkzaTDo&#10;HdU5C4xsnXxGpSV34KEOBxx01heSFMEqivyJNtcNsyLVglJ7eye6/3+0/MPuyhFZlXRMiWEaG377&#10;88ftrz+3v7+TcZSntX6OqGuLuNC9hQ6HZv/u8TFW3dVOx3+sh6D/aFTMZlNKbko6Oh7PjkaDzqIL&#10;hKP/MC9mxzm2gCOiOBoXh5NppMzumazz4Z0ATaJRUoeNTPqy3YUPPXQPiYE9KFmtpFLp4jbrM+XI&#10;jmHTV+k3sD+CKUNazGU8zRPzI1/kvqNYK8a/PGfAbJXBpKNAvRDRCt26G1RbQ3WDojnop85bvpLI&#10;e8F8uGIOxwwVwEUMl3jUCjAZGCxKGnDf/vUe8dh99FLS4tiW1H/dMicoUe8NzsWsmEzinKfLZBql&#10;J+6hZ/3QY7b6DFCkAlfe8mRGfFB7s3agP+O+LmNUdDHDMXZJw948C/0y4b5zsVwmEE62ZeHCXFse&#10;qWNLDCy3AWqZWhdl6rUZ1MPZTs0f9jAuz8N7Qt1/ex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03P2DTAAAABQEAAA8AAAAAAAAAAQAgAAAAIgAAAGRycy9kb3ducmV2LnhtbFBLAQIUABQAAAAI&#10;AIdO4kAqeCujZAIAAMMEAAAOAAAAAAAAAAEAIAAAACIBAABkcnMvZTJvRG9jLnhtbFBLBQYAAAAA&#10;BgAGAFkBAAD4BQAAAAA=&#10;">
                <v:fill on="t" focussize="0,0"/>
                <v:stroke weight="0.5pt" color="#000000 [3204]" joinstyle="round"/>
                <v:imagedata o:title=""/>
                <o:lock v:ext="edit" aspectratio="f"/>
                <v:textbo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[38.304, 38.306, 38.331</w:t>
                      </w:r>
                      <w:r>
                        <w:rPr>
                          <w:rFonts w:cs="Times"/>
                          <w:color w:val="FF0000"/>
                          <w:szCs w:val="20"/>
                        </w:rPr>
                        <w:t>]</w:t>
                      </w:r>
                    </w:p>
                    <w:p>
                      <w:pPr>
                        <w:numPr>
                          <w:ilvl w:val="0"/>
                          <w:numId w:val="10"/>
                        </w:numPr>
                        <w:spacing w:line="252" w:lineRule="auto"/>
                        <w:contextualSpacing/>
                        <w:rPr>
                          <w:rFonts w:ascii="Times New Roman" w:hAnsi="Times New Roman"/>
                          <w:szCs w:val="20"/>
                          <w:lang w:val="en-US"/>
                        </w:rPr>
                      </w:pPr>
                      <w:r>
                        <w:rPr>
                          <w:rFonts w:ascii="Times New Roman" w:hAnsi="Times New Roman"/>
                          <w:szCs w:val="20"/>
                          <w:lang w:val="en-US"/>
                        </w:rPr>
                        <w:t>A RedCap UE type from RAN1 point of view supports a maximum bandwidth of 20MHz for FR1 and 100MHz for FR2</w:t>
                      </w:r>
                    </w:p>
                    <w:p>
                      <w:pPr>
                        <w:numPr>
                          <w:ilvl w:val="0"/>
                          <w:numId w:val="10"/>
                        </w:numPr>
                        <w:spacing w:line="252" w:lineRule="auto"/>
                        <w:contextualSpacing/>
                        <w:rPr>
                          <w:rFonts w:ascii="Times New Roman" w:hAnsi="Times New Roman"/>
                          <w:szCs w:val="20"/>
                          <w:lang w:val="en-US"/>
                        </w:rPr>
                      </w:pPr>
                      <w:r>
                        <w:rPr>
                          <w:rFonts w:ascii="Times New Roman" w:hAnsi="Times New Roman"/>
                          <w:szCs w:val="20"/>
                          <w:lang w:val="en-US"/>
                        </w:rPr>
                        <w:t>Further discuss whether to capture also one or more of the following capabilities to RedCap UE type description</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1 or 2 Rx branches and corresponding maximum DL MIMO layers</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FD-FDD or Type A HD-FDD operation for FR1 FDD bands</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Supports either DL up to 64 QAM or up to 256 QAM for FR1</w:t>
                      </w:r>
                    </w:p>
                    <w:p>
                      <w:pPr>
                        <w:numPr>
                          <w:ilvl w:val="1"/>
                          <w:numId w:val="10"/>
                        </w:numPr>
                        <w:spacing w:line="252" w:lineRule="auto"/>
                        <w:contextualSpacing/>
                        <w:rPr>
                          <w:rFonts w:ascii="Times New Roman" w:hAnsi="Times New Roman"/>
                          <w:szCs w:val="20"/>
                          <w:lang w:val="en-US"/>
                        </w:rPr>
                      </w:pPr>
                      <w:r>
                        <w:rPr>
                          <w:rFonts w:ascii="Times New Roman" w:hAnsi="Times New Roman"/>
                          <w:szCs w:val="20"/>
                          <w:lang w:val="en-US"/>
                        </w:rPr>
                        <w:t>Does not support CA/DC</w:t>
                      </w:r>
                    </w:p>
                    <w:p/>
                  </w:txbxContent>
                </v:textbox>
                <w10:wrap type="none"/>
                <w10:anchorlock/>
              </v:shape>
            </w:pict>
          </mc:Fallback>
        </mc:AlternateContent>
      </w:r>
    </w:p>
    <w:p>
      <w:pPr>
        <w:rPr>
          <w:rFonts w:hint="eastAsia" w:eastAsia="等线"/>
          <w:highlight w:val="none"/>
          <w:lang w:val="en-US" w:eastAsia="zh-CN"/>
        </w:rPr>
      </w:pPr>
      <w:r>
        <w:rPr>
          <w:rFonts w:hint="eastAsia"/>
          <w:lang w:val="en-US" w:eastAsia="zh-CN"/>
        </w:rPr>
        <w:t>To our understanding, t</w:t>
      </w:r>
      <w:r>
        <w:rPr>
          <w:lang w:eastAsia="zh-CN"/>
        </w:rPr>
        <w:t xml:space="preserve">he definition of RedCap UE type </w:t>
      </w:r>
      <w:r>
        <w:rPr>
          <w:rFonts w:hint="eastAsia"/>
          <w:lang w:val="en-US" w:eastAsia="zh-CN"/>
        </w:rPr>
        <w:t xml:space="preserve">is to </w:t>
      </w:r>
      <w:r>
        <w:rPr>
          <w:lang w:eastAsia="zh-CN"/>
        </w:rPr>
        <w:t xml:space="preserve">differentiate it from non-RedCap devices, and give a picture of key capabilities that RedCap devices support. </w:t>
      </w:r>
      <w:r>
        <w:rPr>
          <w:rFonts w:hint="eastAsia"/>
          <w:lang w:val="en-US" w:eastAsia="zh-CN"/>
        </w:rPr>
        <w:t xml:space="preserve">As the WID describes, the motivation for RedCap UE type definition is </w:t>
      </w:r>
      <w:r>
        <w:rPr>
          <w:rFonts w:hint="default"/>
          <w:lang w:val="en-US" w:eastAsia="zh-CN"/>
        </w:rPr>
        <w:t>”</w:t>
      </w:r>
      <w:r>
        <w:rPr>
          <w:rFonts w:eastAsia="宋体"/>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r>
        <w:rPr>
          <w:rFonts w:eastAsia="宋体"/>
          <w:bCs/>
          <w:lang w:val="en-US" w:eastAsia="ja-JP"/>
        </w:rPr>
        <w:t>.</w:t>
      </w:r>
      <w:r>
        <w:rPr>
          <w:rFonts w:hint="default"/>
          <w:bCs/>
          <w:lang w:val="en-US" w:eastAsia="zh-CN"/>
        </w:rPr>
        <w:t>”</w:t>
      </w:r>
      <w:r>
        <w:rPr>
          <w:rFonts w:hint="eastAsia"/>
          <w:bCs/>
          <w:lang w:val="en-US" w:eastAsia="zh-CN"/>
        </w:rPr>
        <w:t xml:space="preserve"> </w:t>
      </w:r>
      <w:r>
        <w:rPr>
          <w:rFonts w:hint="eastAsia" w:eastAsia="等线"/>
          <w:highlight w:val="none"/>
          <w:lang w:val="en-US" w:eastAsia="zh-CN"/>
        </w:rPr>
        <w:t>T</w:t>
      </w:r>
      <w:r>
        <w:rPr>
          <w:rFonts w:eastAsia="等线"/>
          <w:highlight w:val="none"/>
          <w:lang w:eastAsia="zh-CN"/>
        </w:rPr>
        <w:t>o constrain the use of those RedCap capabilities only for RedCap UEs</w:t>
      </w:r>
      <w:r>
        <w:rPr>
          <w:rFonts w:hint="eastAsia" w:eastAsia="等线"/>
          <w:highlight w:val="none"/>
          <w:lang w:val="en-US" w:eastAsia="zh-CN"/>
        </w:rPr>
        <w:t xml:space="preserve"> and prevent </w:t>
      </w:r>
      <w:r>
        <w:rPr>
          <w:rFonts w:eastAsia="等线"/>
          <w:highlight w:val="none"/>
          <w:lang w:eastAsia="zh-CN"/>
        </w:rPr>
        <w:t>RedCap UEs</w:t>
      </w:r>
      <w:r>
        <w:rPr>
          <w:rFonts w:hint="eastAsia" w:eastAsia="等线"/>
          <w:highlight w:val="none"/>
          <w:lang w:val="en-US" w:eastAsia="zh-CN"/>
        </w:rPr>
        <w:t xml:space="preserve"> from using capabilities not intented for them</w:t>
      </w:r>
      <w:r>
        <w:rPr>
          <w:rFonts w:eastAsia="等线"/>
          <w:highlight w:val="none"/>
          <w:lang w:eastAsia="zh-CN"/>
        </w:rPr>
        <w:t>, it should be clear enough that what RedCap capabilities they are supposed to use</w:t>
      </w:r>
      <w:r>
        <w:rPr>
          <w:rFonts w:hint="eastAsia" w:eastAsia="等线"/>
          <w:highlight w:val="none"/>
          <w:lang w:val="en-US" w:eastAsia="zh-CN"/>
        </w:rPr>
        <w:t xml:space="preserve"> for </w:t>
      </w:r>
      <w:r>
        <w:rPr>
          <w:rFonts w:eastAsia="等线"/>
          <w:highlight w:val="none"/>
          <w:lang w:eastAsia="zh-CN"/>
        </w:rPr>
        <w:t xml:space="preserve">RedCap </w:t>
      </w:r>
      <w:r>
        <w:rPr>
          <w:rFonts w:hint="eastAsia" w:eastAsia="等线"/>
          <w:highlight w:val="none"/>
          <w:lang w:val="en-US" w:eastAsia="zh-CN"/>
        </w:rPr>
        <w:t>UEs. So the minimum set of the reduced capabilities that characterize RedCap devices should be included in the type definition.</w:t>
      </w:r>
    </w:p>
    <w:p>
      <w:pPr>
        <w:rPr>
          <w:rFonts w:hint="default" w:ascii="Times New Roman" w:hAnsi="Times New Roman"/>
          <w:szCs w:val="20"/>
          <w:lang w:val="en-US" w:eastAsia="zh-CN"/>
        </w:rPr>
      </w:pPr>
      <w:r>
        <w:rPr>
          <w:rFonts w:hint="eastAsia" w:eastAsia="等线"/>
          <w:highlight w:val="none"/>
          <w:lang w:val="en-US" w:eastAsia="zh-CN"/>
        </w:rPr>
        <w:t xml:space="preserve">Among the capabilities listed in the above agreements, </w:t>
      </w:r>
      <w:r>
        <w:rPr>
          <w:rFonts w:hint="eastAsia" w:ascii="Times New Roman" w:hAnsi="Times New Roman" w:eastAsia="等线"/>
          <w:szCs w:val="20"/>
          <w:lang w:val="en-US" w:eastAsia="zh-CN"/>
        </w:rPr>
        <w:t>d</w:t>
      </w:r>
      <w:r>
        <w:rPr>
          <w:rFonts w:ascii="Times New Roman" w:hAnsi="Times New Roman"/>
          <w:szCs w:val="20"/>
          <w:lang w:val="en-US"/>
        </w:rPr>
        <w:t>oes not support CA/DC</w:t>
      </w:r>
      <w:r>
        <w:rPr>
          <w:rFonts w:hint="eastAsia" w:ascii="Times New Roman" w:hAnsi="Times New Roman"/>
          <w:szCs w:val="20"/>
          <w:lang w:val="en-US" w:eastAsia="zh-CN"/>
        </w:rPr>
        <w:t xml:space="preserve"> has been captured in FG28-1. At least the number of Rx branches should also be captured in the fourth column of FG28-1. Otherwise, a RedCap UE may not indicate its support of FG28-2, then this will not align with the RedCap capability.</w:t>
      </w:r>
    </w:p>
    <w:p>
      <w:pPr>
        <w:rPr>
          <w:rFonts w:hint="default" w:ascii="Times New Roman" w:hAnsi="Times New Roman"/>
          <w:b/>
          <w:bCs/>
          <w:szCs w:val="20"/>
          <w:lang w:val="en-US" w:eastAsia="zh-CN"/>
        </w:rPr>
      </w:pPr>
      <w:r>
        <w:rPr>
          <w:rFonts w:hint="eastAsia" w:ascii="Times New Roman" w:hAnsi="Times New Roman"/>
          <w:b/>
          <w:bCs/>
          <w:szCs w:val="20"/>
          <w:lang w:val="en-US" w:eastAsia="zh-CN"/>
        </w:rPr>
        <w:t>Proposal 1: Add the following component in the fourth column of FG28-1,</w:t>
      </w:r>
    </w:p>
    <w:p>
      <w:pPr>
        <w:numPr>
          <w:ilvl w:val="0"/>
          <w:numId w:val="11"/>
        </w:numPr>
        <w:ind w:left="420" w:leftChars="0" w:hanging="420" w:firstLineChars="0"/>
        <w:rPr>
          <w:rFonts w:hint="default" w:ascii="Times New Roman" w:hAnsi="Times New Roman"/>
          <w:b/>
          <w:bCs/>
          <w:szCs w:val="20"/>
          <w:lang w:val="en-US" w:eastAsia="zh-CN"/>
        </w:rPr>
      </w:pPr>
      <w:r>
        <w:rPr>
          <w:rFonts w:ascii="Times New Roman" w:hAnsi="Times New Roman"/>
          <w:b/>
          <w:bCs/>
          <w:szCs w:val="20"/>
          <w:lang w:val="en-US"/>
        </w:rPr>
        <w:t>Supports either 1 or 2 Rx branches and corresponding maximum DL MIMO layers</w:t>
      </w:r>
      <w:r>
        <w:rPr>
          <w:rFonts w:hint="eastAsia" w:ascii="Times New Roman" w:hAnsi="Times New Roman"/>
          <w:b/>
          <w:bCs/>
          <w:szCs w:val="20"/>
          <w:lang w:val="en-US" w:eastAsia="zh-CN"/>
        </w:rPr>
        <w:t>.</w:t>
      </w:r>
    </w:p>
    <w:p>
      <w:pPr>
        <w:overflowPunct w:val="0"/>
        <w:autoSpaceDE w:val="0"/>
        <w:autoSpaceDN w:val="0"/>
        <w:adjustRightInd w:val="0"/>
        <w:spacing w:before="120" w:after="180"/>
        <w:textAlignment w:val="baseline"/>
        <w:rPr>
          <w:rFonts w:hint="eastAsia"/>
          <w:lang w:val="en-US" w:eastAsia="zh-CN"/>
        </w:rPr>
      </w:pPr>
    </w:p>
    <w:p>
      <w:pPr>
        <w:overflowPunct w:val="0"/>
        <w:autoSpaceDE w:val="0"/>
        <w:autoSpaceDN w:val="0"/>
        <w:adjustRightInd w:val="0"/>
        <w:spacing w:before="120" w:after="180"/>
        <w:textAlignment w:val="baseline"/>
        <w:rPr>
          <w:rFonts w:hint="default"/>
          <w:sz w:val="20"/>
          <w:lang w:val="en-US" w:eastAsia="zh-CN"/>
        </w:rPr>
      </w:pPr>
      <w:r>
        <w:rPr>
          <w:rFonts w:hint="eastAsia"/>
          <w:lang w:val="en-US" w:eastAsia="zh-CN"/>
        </w:rPr>
        <w:t>Besides this, we think separate initial UL/DL BWP and early identification are also basic UE features.</w:t>
      </w: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numPr>
          <w:ilvl w:val="0"/>
          <w:numId w:val="12"/>
        </w:numPr>
        <w:ind w:left="420" w:leftChars="0" w:hanging="420" w:firstLineChars="0"/>
        <w:rPr>
          <w:rFonts w:hint="default" w:ascii="Times New Roman" w:hAnsi="Times New Roman" w:cs="Times New Roman"/>
          <w:lang w:eastAsia="zh-CN"/>
        </w:rPr>
      </w:pPr>
      <w:r>
        <w:rPr>
          <w:rFonts w:hint="eastAsia" w:cs="Times New Roman"/>
          <w:lang w:val="en-US" w:eastAsia="zh-CN"/>
        </w:rPr>
        <w:t>Separate initial UL/DL BWP</w:t>
      </w:r>
    </w:p>
    <w:p>
      <w:pPr>
        <w:overflowPunct w:val="0"/>
        <w:autoSpaceDE w:val="0"/>
        <w:autoSpaceDN w:val="0"/>
        <w:adjustRightInd w:val="0"/>
        <w:spacing w:before="120" w:after="180"/>
        <w:textAlignment w:val="baseline"/>
        <w:rPr>
          <w:rFonts w:hint="default"/>
          <w:lang w:val="en-US" w:eastAsia="zh-CN"/>
        </w:rPr>
      </w:pPr>
      <w:r>
        <w:rPr>
          <w:rFonts w:hint="eastAsia"/>
          <w:lang w:val="en-US" w:eastAsia="zh-CN"/>
        </w:rPr>
        <w:t xml:space="preserve">According to agreements made in RAN1#106b-e, network can configure separate initial UL/DL BWP for RedCap UEs by SIB which is before UE capability signaling, so RedCap should always support separate initial DL/DL BWP configuration, this should be a basic feature for RedCap UE. </w:t>
      </w:r>
    </w:p>
    <w:p>
      <w:pPr>
        <w:overflowPunct w:val="0"/>
        <w:autoSpaceDE w:val="0"/>
        <w:autoSpaceDN w:val="0"/>
        <w:adjustRightInd w:val="0"/>
        <w:spacing w:before="120" w:after="180"/>
        <w:textAlignment w:val="baseline"/>
        <w:rPr>
          <w:rFonts w:hint="eastAsia"/>
          <w:lang w:val="en-US" w:eastAsia="zh-CN"/>
        </w:rPr>
      </w:pPr>
      <w:r>
        <w:rPr>
          <w:sz w:val="20"/>
        </w:rPr>
        <mc:AlternateContent>
          <mc:Choice Requires="wps">
            <w:drawing>
              <wp:inline distT="0" distB="0" distL="114300" distR="114300">
                <wp:extent cx="6020435" cy="3573780"/>
                <wp:effectExtent l="4445" t="4445" r="13970" b="22225"/>
                <wp:docPr id="4" name="文本框 4"/>
                <wp:cNvGraphicFramePr/>
                <a:graphic xmlns:a="http://schemas.openxmlformats.org/drawingml/2006/main">
                  <a:graphicData uri="http://schemas.microsoft.com/office/word/2010/wordprocessingShape">
                    <wps:wsp>
                      <wps:cNvSpPr txBox="1"/>
                      <wps:spPr>
                        <a:xfrm>
                          <a:off x="715645" y="2623185"/>
                          <a:ext cx="6020435" cy="35737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highlight w:val="green"/>
                              </w:rPr>
                            </w:pPr>
                            <w:r>
                              <w:rPr>
                                <w:highlight w:val="green"/>
                              </w:rPr>
                              <w:t>Agreement:</w:t>
                            </w:r>
                            <w:r>
                              <w:rPr>
                                <w:rFonts w:cs="Times"/>
                                <w:color w:val="FF0000"/>
                                <w:szCs w:val="20"/>
                              </w:rPr>
                              <w:t xml:space="preserve"> [38.213, 38.331]</w:t>
                            </w:r>
                          </w:p>
                          <w:p>
                            <w:pPr>
                              <w:numPr>
                                <w:ilvl w:val="0"/>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UL BWP for RedCap UEs in SIB</w:t>
                            </w:r>
                          </w:p>
                          <w:p>
                            <w:pPr>
                              <w:numPr>
                                <w:ilvl w:val="1"/>
                                <w:numId w:val="10"/>
                              </w:numPr>
                              <w:autoSpaceDN w:val="0"/>
                              <w:spacing w:line="252" w:lineRule="auto"/>
                              <w:contextualSpacing/>
                            </w:pPr>
                            <w:r>
                              <w:t>It can be used both during and after initial access.</w:t>
                            </w:r>
                          </w:p>
                          <w:p>
                            <w:pPr>
                              <w:numPr>
                                <w:ilvl w:val="1"/>
                                <w:numId w:val="10"/>
                              </w:numPr>
                              <w:autoSpaceDN w:val="0"/>
                              <w:spacing w:line="252" w:lineRule="auto"/>
                              <w:contextualSpacing/>
                            </w:pPr>
                            <w:r>
                              <w:t>It is no wider than the maximum RedCap UE bandwidth.</w:t>
                            </w:r>
                          </w:p>
                          <w:p>
                            <w:pPr>
                              <w:numPr>
                                <w:ilvl w:val="1"/>
                                <w:numId w:val="10"/>
                              </w:numPr>
                              <w:autoSpaceDN w:val="0"/>
                              <w:spacing w:line="252" w:lineRule="auto"/>
                              <w:contextualSpacing/>
                            </w:pPr>
                            <w:r>
                              <w:t>It is always configured if the initial UL BWP for non-RedCap UEs is wider than the maximum RedCap UE bandwidth</w:t>
                            </w:r>
                          </w:p>
                          <w:p>
                            <w:pPr>
                              <w:numPr>
                                <w:ilvl w:val="1"/>
                                <w:numId w:val="10"/>
                              </w:numPr>
                              <w:autoSpaceDN w:val="0"/>
                              <w:spacing w:line="252" w:lineRule="auto"/>
                              <w:contextualSpacing/>
                            </w:pPr>
                            <w:r>
                              <w:t>This applies to both TDD and FDD (including FD FDD and HD FDD) cases</w:t>
                            </w:r>
                          </w:p>
                          <w:p>
                            <w:pPr>
                              <w:autoSpaceDN w:val="0"/>
                              <w:spacing w:line="252" w:lineRule="auto"/>
                              <w:contextualSpacing/>
                            </w:pPr>
                          </w:p>
                          <w:p>
                            <w:pPr>
                              <w:rPr>
                                <w:highlight w:val="darkYellow"/>
                              </w:rPr>
                            </w:pPr>
                            <w:r>
                              <w:rPr>
                                <w:highlight w:val="darkYellow"/>
                              </w:rPr>
                              <w:t>Working Assumption:</w:t>
                            </w:r>
                            <w:r>
                              <w:t xml:space="preserve"> </w:t>
                            </w:r>
                            <w:r>
                              <w:rPr>
                                <w:rFonts w:cs="Times"/>
                                <w:color w:val="FF0000"/>
                                <w:szCs w:val="20"/>
                              </w:rPr>
                              <w:t>[38.213, 38.331]</w:t>
                            </w:r>
                          </w:p>
                          <w:p>
                            <w:pPr>
                              <w:numPr>
                                <w:ilvl w:val="0"/>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DL BWP for RedCap UEs in SIB.</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xml:space="preserve"> It can be used during initial access</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rPr>
                              <w:t>It can be used after initial access.</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lang w:val="en-US"/>
                              </w:rPr>
                              <w:t>It is no wider than the maximum RedCap UE bandwidth.</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rPr>
                              <w:t>FFS: It is always configured if the initial DL BWP for non-RedCap UEs is wider than the maximum RedCap UE bandwidth.</w:t>
                            </w:r>
                          </w:p>
                          <w:p>
                            <w:pPr>
                              <w:numPr>
                                <w:ilvl w:val="1"/>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This applies to both TDD and FDD (including FD FDD and HD FDD) cases.</w:t>
                            </w:r>
                          </w:p>
                          <w:p>
                            <w:pPr>
                              <w:numPr>
                                <w:ilvl w:val="1"/>
                                <w:numId w:val="10"/>
                              </w:numPr>
                              <w:autoSpaceDN w:val="0"/>
                              <w:spacing w:line="252" w:lineRule="auto"/>
                              <w:contextualSpacing/>
                              <w:rPr>
                                <w:rFonts w:ascii="Times New Roman" w:hAnsi="Times New Roman"/>
                                <w:szCs w:val="20"/>
                                <w:lang w:val="en-US"/>
                              </w:rPr>
                            </w:pPr>
                            <w:r>
                              <w:rPr>
                                <w:rFonts w:ascii="Times New Roman" w:hAnsi="Times New Roman"/>
                                <w:szCs w:val="20"/>
                                <w:highlight w:val="darkYellow"/>
                              </w:rPr>
                              <w:t>Working assumption:</w:t>
                            </w:r>
                            <w:r>
                              <w:rPr>
                                <w:rFonts w:ascii="Times New Roman" w:hAnsi="Times New Roman"/>
                                <w:szCs w:val="20"/>
                              </w:rPr>
                              <w:t xml:space="preserve"> </w:t>
                            </w:r>
                            <w:r>
                              <w:rPr>
                                <w:rFonts w:hint="eastAsia" w:ascii="Times New Roman" w:hAnsi="Times New Roman" w:eastAsia="等线"/>
                                <w:szCs w:val="20"/>
                                <w:lang w:val="en-US" w:eastAsia="zh-CN"/>
                              </w:rPr>
                              <w:t>I</w:t>
                            </w:r>
                            <w:r>
                              <w:rPr>
                                <w:rFonts w:ascii="Times New Roman" w:hAnsi="Times New Roman" w:eastAsia="等线"/>
                                <w:szCs w:val="20"/>
                                <w:lang w:val="en-US" w:eastAsia="zh-CN"/>
                              </w:rPr>
                              <w:t>t applies at least after initial access for FR1 when MIB configured CORESET#0 is included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81.4pt;width:474.05pt;" fillcolor="#FFFFFF [3201]" filled="t" stroked="t" coordsize="21600,21600" o:gfxdata="UEsDBAoAAAAAAIdO4kAAAAAAAAAAAAAAAAAEAAAAZHJzL1BLAwQUAAAACACHTuJAIOEW2NQAAAAF&#10;AQAADwAAAGRycy9kb3ducmV2LnhtbE2PwU7DMBBE70j8g7WVuFEnKUQhxKkEEhLiRsmF2zbeJlHt&#10;dWS7Tfl7DBe4rDSa0czbZnuxRpzJh8mxgnydgSDunZ54UNB9vNxWIEJE1mgck4IvCrBtr68arLVb&#10;+J3OuziIVMKhRgVjjHMtZehHshjWbiZO3sF5izFJP0jtcUnl1sgiy0ppceK0MOJMzyP1x93JKngt&#10;n+IndfpNb4qNWzrZ+4MJSt2s8uwRRKRL/AvDD35ChzYx7d2JdRBGQXok/t7kPdxVOYi9gvuyqEC2&#10;jfxP334DUEsDBBQAAAAIAIdO4kCACs0MZwIAAMMEAAAOAAAAZHJzL2Uyb0RvYy54bWytVM1uEzEQ&#10;viPxDpbvdDfJ5oeomyq0CkKqaKWCODteb9bC9hjbyW55APoGnLhw57n6HIy9SX859EAOztjz5ZuZ&#10;b2ZyfNJpRXbCeQmmpIOjnBJhOFTSbEr6+dPqzYwSH5ipmAIjSnotPD1ZvH513Nq5GEIDqhKOIInx&#10;89aWtAnBzrPM80Zo5o/ACoPOGpxmAa9uk1WOtciuVTbM80nWgqusAy68x9ez3kn3jO4lhFDXkosz&#10;4FstTOhZnVAsYEm+kdbTRcq2rgUPF3XtRSCqpFhpSCcGQXsdz2xxzOYbx2wj+T4F9pIUntSkmTQY&#10;9I7qjAVGtk4+o9KSO/BQhyMOOusLSYpgFYP8iTZXDbMi1YJSe3snuv9/tPzj7tIRWZW0oMQwjQ2/&#10;/Xlz++vP7e8fpIjytNbPEXVlERe6d9Dh0BzePT7Gqrva6fiN9RD0TwfjSTGm5Lqkw8lwNJiNe51F&#10;FwhH/yQf5sUIARwRo/F0NJ2lTmT3TNb58F6AJtEoqcNGJn3Z7twHzAqhB0gM7EHJaiWVShe3WZ8q&#10;R3YMm75Knxgff/IIpgxpMZfROE/Mj3yR+45irRj/+pwB+ZRB2ihQL0S0Qrfu9qqtobpG0Rz0U+ct&#10;X0nkPWc+XDKHY4ZDiIsYLvCoFWAysLcoacB9/9d7xGP30UtJi2NbUv9ty5ygRH0wOBdvB0UR5zxd&#10;ivF0iBf30LN+6DFbfQoo0gBX3vJkRnxQB7N2oL/gvi5jVHQxwzF2ScPBPA39MuG+c7FcJhBOtmXh&#10;3FxZHqljSwwstwFqmVoXZeq12auHs53as9/DuDwP7wl1/9+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g4RbY1AAAAAUBAAAPAAAAAAAAAAEAIAAAACIAAABkcnMvZG93bnJldi54bWxQSwECFAAU&#10;AAAACACHTuJAgArNDGcCAADDBAAADgAAAAAAAAABACAAAAAjAQAAZHJzL2Uyb0RvYy54bWxQSwUG&#10;AAAAAAYABgBZAQAA/AUAAAAA&#10;">
                <v:fill on="t" focussize="0,0"/>
                <v:stroke weight="0.5pt" color="#000000 [3204]" joinstyle="round"/>
                <v:imagedata o:title=""/>
                <o:lock v:ext="edit" aspectratio="f"/>
                <v:textbox>
                  <w:txbxContent>
                    <w:p>
                      <w:pPr>
                        <w:rPr>
                          <w:highlight w:val="green"/>
                        </w:rPr>
                      </w:pPr>
                      <w:r>
                        <w:rPr>
                          <w:highlight w:val="green"/>
                        </w:rPr>
                        <w:t>Agreement:</w:t>
                      </w:r>
                      <w:r>
                        <w:rPr>
                          <w:rFonts w:cs="Times"/>
                          <w:color w:val="FF0000"/>
                          <w:szCs w:val="20"/>
                        </w:rPr>
                        <w:t xml:space="preserve"> [38.213, 38.331]</w:t>
                      </w:r>
                    </w:p>
                    <w:p>
                      <w:pPr>
                        <w:numPr>
                          <w:ilvl w:val="0"/>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UL BWP for RedCap UEs in SIB</w:t>
                      </w:r>
                    </w:p>
                    <w:p>
                      <w:pPr>
                        <w:numPr>
                          <w:ilvl w:val="1"/>
                          <w:numId w:val="10"/>
                        </w:numPr>
                        <w:autoSpaceDN w:val="0"/>
                        <w:spacing w:line="252" w:lineRule="auto"/>
                        <w:contextualSpacing/>
                      </w:pPr>
                      <w:r>
                        <w:t>It can be used both during and after initial access.</w:t>
                      </w:r>
                    </w:p>
                    <w:p>
                      <w:pPr>
                        <w:numPr>
                          <w:ilvl w:val="1"/>
                          <w:numId w:val="10"/>
                        </w:numPr>
                        <w:autoSpaceDN w:val="0"/>
                        <w:spacing w:line="252" w:lineRule="auto"/>
                        <w:contextualSpacing/>
                      </w:pPr>
                      <w:r>
                        <w:t>It is no wider than the maximum RedCap UE bandwidth.</w:t>
                      </w:r>
                    </w:p>
                    <w:p>
                      <w:pPr>
                        <w:numPr>
                          <w:ilvl w:val="1"/>
                          <w:numId w:val="10"/>
                        </w:numPr>
                        <w:autoSpaceDN w:val="0"/>
                        <w:spacing w:line="252" w:lineRule="auto"/>
                        <w:contextualSpacing/>
                      </w:pPr>
                      <w:r>
                        <w:t>It is always configured if the initial UL BWP for non-RedCap UEs is wider than the maximum RedCap UE bandwidth</w:t>
                      </w:r>
                    </w:p>
                    <w:p>
                      <w:pPr>
                        <w:numPr>
                          <w:ilvl w:val="1"/>
                          <w:numId w:val="10"/>
                        </w:numPr>
                        <w:autoSpaceDN w:val="0"/>
                        <w:spacing w:line="252" w:lineRule="auto"/>
                        <w:contextualSpacing/>
                      </w:pPr>
                      <w:r>
                        <w:t>This applies to both TDD and FDD (including FD FDD and HD FDD) cases</w:t>
                      </w:r>
                    </w:p>
                    <w:p>
                      <w:pPr>
                        <w:autoSpaceDN w:val="0"/>
                        <w:spacing w:line="252" w:lineRule="auto"/>
                        <w:contextualSpacing/>
                      </w:pPr>
                    </w:p>
                    <w:p>
                      <w:pPr>
                        <w:rPr>
                          <w:highlight w:val="darkYellow"/>
                        </w:rPr>
                      </w:pPr>
                      <w:r>
                        <w:rPr>
                          <w:highlight w:val="darkYellow"/>
                        </w:rPr>
                        <w:t>Working Assumption:</w:t>
                      </w:r>
                      <w:r>
                        <w:t xml:space="preserve"> </w:t>
                      </w:r>
                      <w:r>
                        <w:rPr>
                          <w:rFonts w:cs="Times"/>
                          <w:color w:val="FF0000"/>
                          <w:szCs w:val="20"/>
                        </w:rPr>
                        <w:t>[38.213, 38.331]</w:t>
                      </w:r>
                    </w:p>
                    <w:p>
                      <w:pPr>
                        <w:numPr>
                          <w:ilvl w:val="0"/>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For a cell that allows a RedCap UE to access, network can configure a separate initial DL BWP for RedCap UEs in SIB.</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xml:space="preserve"> It can be used during initial access</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rPr>
                        <w:t>It can be used after initial access.</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lang w:val="en-US"/>
                        </w:rPr>
                        <w:t>It is no wider than the maximum RedCap UE bandwidth.</w:t>
                      </w:r>
                    </w:p>
                    <w:p>
                      <w:pPr>
                        <w:numPr>
                          <w:ilvl w:val="1"/>
                          <w:numId w:val="10"/>
                        </w:numPr>
                        <w:autoSpaceDN w:val="0"/>
                        <w:spacing w:line="252" w:lineRule="auto"/>
                        <w:contextualSpacing/>
                        <w:rPr>
                          <w:rFonts w:ascii="Times New Roman" w:hAnsi="Times New Roman"/>
                          <w:szCs w:val="20"/>
                        </w:rPr>
                      </w:pPr>
                      <w:r>
                        <w:rPr>
                          <w:rFonts w:ascii="Times New Roman" w:hAnsi="Times New Roman"/>
                          <w:szCs w:val="20"/>
                        </w:rPr>
                        <w:t>FFS: It is always configured if the initial DL BWP for non-RedCap UEs is wider than the maximum RedCap UE bandwidth.</w:t>
                      </w:r>
                    </w:p>
                    <w:p>
                      <w:pPr>
                        <w:numPr>
                          <w:ilvl w:val="1"/>
                          <w:numId w:val="10"/>
                        </w:numPr>
                        <w:autoSpaceDN w:val="0"/>
                        <w:spacing w:line="252" w:lineRule="auto"/>
                        <w:contextualSpacing/>
                        <w:rPr>
                          <w:rFonts w:ascii="Times New Roman" w:hAnsi="Times New Roman"/>
                          <w:szCs w:val="20"/>
                          <w:lang w:val="en-US"/>
                        </w:rPr>
                      </w:pPr>
                      <w:r>
                        <w:rPr>
                          <w:rFonts w:ascii="Times New Roman" w:hAnsi="Times New Roman"/>
                          <w:szCs w:val="20"/>
                          <w:lang w:val="en-US"/>
                        </w:rPr>
                        <w:t>This applies to both TDD and FDD (including FD FDD and HD FDD) cases.</w:t>
                      </w:r>
                    </w:p>
                    <w:p>
                      <w:pPr>
                        <w:numPr>
                          <w:ilvl w:val="1"/>
                          <w:numId w:val="10"/>
                        </w:numPr>
                        <w:autoSpaceDN w:val="0"/>
                        <w:spacing w:line="252" w:lineRule="auto"/>
                        <w:contextualSpacing/>
                        <w:rPr>
                          <w:rFonts w:ascii="Times New Roman" w:hAnsi="Times New Roman"/>
                          <w:szCs w:val="20"/>
                          <w:lang w:val="en-US"/>
                        </w:rPr>
                      </w:pPr>
                      <w:r>
                        <w:rPr>
                          <w:rFonts w:ascii="Times New Roman" w:hAnsi="Times New Roman"/>
                          <w:szCs w:val="20"/>
                          <w:highlight w:val="darkYellow"/>
                        </w:rPr>
                        <w:t>Working assumption:</w:t>
                      </w:r>
                      <w:r>
                        <w:rPr>
                          <w:rFonts w:ascii="Times New Roman" w:hAnsi="Times New Roman"/>
                          <w:szCs w:val="20"/>
                        </w:rPr>
                        <w:t xml:space="preserve"> </w:t>
                      </w:r>
                      <w:r>
                        <w:rPr>
                          <w:rFonts w:hint="eastAsia" w:ascii="Times New Roman" w:hAnsi="Times New Roman" w:eastAsia="等线"/>
                          <w:szCs w:val="20"/>
                          <w:lang w:val="en-US" w:eastAsia="zh-CN"/>
                        </w:rPr>
                        <w:t>I</w:t>
                      </w:r>
                      <w:r>
                        <w:rPr>
                          <w:rFonts w:ascii="Times New Roman" w:hAnsi="Times New Roman" w:eastAsia="等线"/>
                          <w:szCs w:val="20"/>
                          <w:lang w:val="en-US" w:eastAsia="zh-CN"/>
                        </w:rPr>
                        <w:t>t applies at least after initial access for FR1 when MIB configured CORESET#0 is included</w:t>
                      </w:r>
                    </w:p>
                    <w:p/>
                  </w:txbxContent>
                </v:textbox>
                <w10:wrap type="none"/>
                <w10:anchorlock/>
              </v:shape>
            </w:pict>
          </mc:Fallback>
        </mc:AlternateContent>
      </w:r>
    </w:p>
    <w:p>
      <w:pPr>
        <w:overflowPunct w:val="0"/>
        <w:autoSpaceDE w:val="0"/>
        <w:autoSpaceDN w:val="0"/>
        <w:adjustRightInd w:val="0"/>
        <w:spacing w:before="120" w:after="180"/>
        <w:textAlignment w:val="baseline"/>
        <w:rPr>
          <w:rFonts w:hint="default"/>
          <w:b/>
          <w:bCs/>
          <w:i w:val="0"/>
          <w:iCs w:val="0"/>
          <w:lang w:val="en-US" w:eastAsia="zh-CN"/>
        </w:rPr>
      </w:pPr>
      <w:r>
        <w:rPr>
          <w:rFonts w:hint="eastAsia"/>
          <w:b/>
          <w:bCs/>
          <w:i w:val="0"/>
          <w:iCs w:val="0"/>
          <w:lang w:val="en-US" w:eastAsia="zh-CN"/>
        </w:rPr>
        <w:t xml:space="preserve">Proposal 2: </w:t>
      </w:r>
      <w:r>
        <w:rPr>
          <w:rFonts w:eastAsia="宋体"/>
          <w:b/>
          <w:bCs/>
          <w:i w:val="0"/>
          <w:iCs w:val="0"/>
          <w:lang w:val="en-US" w:eastAsia="zh-CN"/>
        </w:rPr>
        <w:t>Separate</w:t>
      </w:r>
      <w:r>
        <w:rPr>
          <w:rFonts w:hint="eastAsia" w:eastAsia="宋体"/>
          <w:b/>
          <w:bCs/>
          <w:i w:val="0"/>
          <w:iCs w:val="0"/>
          <w:lang w:val="en-US" w:eastAsia="zh-CN"/>
        </w:rPr>
        <w:t xml:space="preserve"> UL</w:t>
      </w:r>
      <w:r>
        <w:rPr>
          <w:rFonts w:hint="eastAsia"/>
          <w:b/>
          <w:bCs/>
          <w:i w:val="0"/>
          <w:iCs w:val="0"/>
          <w:lang w:val="en-US" w:eastAsia="zh-CN"/>
        </w:rPr>
        <w:t>/DL</w:t>
      </w:r>
      <w:r>
        <w:rPr>
          <w:rFonts w:hint="eastAsia" w:eastAsia="宋体"/>
          <w:b/>
          <w:bCs/>
          <w:i w:val="0"/>
          <w:iCs w:val="0"/>
          <w:lang w:val="en-US" w:eastAsia="zh-CN"/>
        </w:rPr>
        <w:t xml:space="preserve"> initial BWP</w:t>
      </w:r>
      <w:r>
        <w:rPr>
          <w:rFonts w:eastAsia="宋体"/>
          <w:b/>
          <w:bCs/>
          <w:i w:val="0"/>
          <w:iCs w:val="0"/>
          <w:lang w:val="en-US" w:eastAsia="zh-CN"/>
        </w:rPr>
        <w:t xml:space="preserve"> is a basic </w:t>
      </w:r>
      <w:r>
        <w:rPr>
          <w:rFonts w:hint="eastAsia"/>
          <w:b/>
          <w:bCs/>
          <w:i w:val="0"/>
          <w:iCs w:val="0"/>
          <w:lang w:val="en-US" w:eastAsia="zh-CN"/>
        </w:rPr>
        <w:t>component that should be included in FG28-1.</w:t>
      </w:r>
    </w:p>
    <w:p>
      <w:pPr>
        <w:numPr>
          <w:ilvl w:val="0"/>
          <w:numId w:val="12"/>
        </w:numPr>
        <w:ind w:left="420" w:leftChars="0" w:hanging="420" w:firstLineChars="0"/>
        <w:rPr>
          <w:rFonts w:eastAsia="宋体"/>
          <w:szCs w:val="21"/>
          <w:lang w:val="en-US" w:eastAsia="zh-CN"/>
        </w:rPr>
      </w:pPr>
      <w:r>
        <w:rPr>
          <w:rFonts w:hint="eastAsia"/>
          <w:szCs w:val="21"/>
          <w:lang w:val="en-US" w:eastAsia="zh-CN"/>
        </w:rPr>
        <w:t>Early identification of RedCap UEs</w:t>
      </w:r>
    </w:p>
    <w:p>
      <w:pPr>
        <w:numPr>
          <w:ilvl w:val="0"/>
          <w:numId w:val="0"/>
        </w:numPr>
        <w:ind w:leftChars="0"/>
        <w:rPr>
          <w:rFonts w:hint="default" w:eastAsia="宋体"/>
          <w:szCs w:val="21"/>
          <w:lang w:val="en-US" w:eastAsia="zh-CN"/>
        </w:rPr>
      </w:pPr>
      <w:r>
        <w:rPr>
          <w:rFonts w:hint="eastAsia"/>
          <w:szCs w:val="21"/>
          <w:lang w:val="en-US" w:eastAsia="zh-CN"/>
        </w:rPr>
        <w:t xml:space="preserve">According to related agreements made in RAN1#106e, RedCap UEs should support early identification at least in Msg1, and RAN2 has also agreed to support </w:t>
      </w:r>
      <w:r>
        <w:rPr>
          <w:rFonts w:ascii="Times New Roman" w:hAnsi="Times New Roman"/>
          <w:bCs/>
          <w:szCs w:val="20"/>
        </w:rPr>
        <w:t>early indication of RedCap UEs in Msg3</w:t>
      </w:r>
      <w:r>
        <w:rPr>
          <w:rFonts w:hint="eastAsia" w:ascii="Times New Roman" w:hAnsi="Times New Roman"/>
          <w:bCs/>
          <w:szCs w:val="20"/>
          <w:lang w:val="en-US" w:eastAsia="zh-CN"/>
        </w:rPr>
        <w:t>. So early identification related function should also be included in FG28-1 as basic UE feature.</w:t>
      </w:r>
    </w:p>
    <w:p>
      <w:pPr>
        <w:numPr>
          <w:ilvl w:val="0"/>
          <w:numId w:val="0"/>
        </w:numPr>
        <w:ind w:leftChars="0"/>
        <w:rPr>
          <w:rFonts w:hint="default"/>
          <w:szCs w:val="21"/>
          <w:lang w:val="en-US" w:eastAsia="zh-CN"/>
        </w:rPr>
      </w:pPr>
      <w:r>
        <w:rPr>
          <w:sz w:val="20"/>
        </w:rPr>
        <mc:AlternateContent>
          <mc:Choice Requires="wps">
            <w:drawing>
              <wp:inline distT="0" distB="0" distL="114300" distR="114300">
                <wp:extent cx="6000750" cy="2976245"/>
                <wp:effectExtent l="4445" t="4445" r="14605" b="10160"/>
                <wp:docPr id="5" name="文本框 5"/>
                <wp:cNvGraphicFramePr/>
                <a:graphic xmlns:a="http://schemas.openxmlformats.org/drawingml/2006/main">
                  <a:graphicData uri="http://schemas.microsoft.com/office/word/2010/wordprocessingShape">
                    <wps:wsp>
                      <wps:cNvSpPr txBox="1"/>
                      <wps:spPr>
                        <a:xfrm>
                          <a:off x="728980" y="5434965"/>
                          <a:ext cx="6000750" cy="29762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[38.331]</w:t>
                            </w:r>
                          </w:p>
                          <w:p>
                            <w:pPr>
                              <w:spacing w:line="252" w:lineRule="auto"/>
                              <w:contextualSpacing/>
                              <w:rPr>
                                <w:rFonts w:ascii="Times New Roman" w:hAnsi="Times New Roman"/>
                                <w:szCs w:val="20"/>
                                <w:lang w:val="en-US"/>
                              </w:rPr>
                            </w:pPr>
                            <w:r>
                              <w:rPr>
                                <w:rFonts w:ascii="Times New Roman" w:hAnsi="Times New Roman"/>
                                <w:bCs/>
                                <w:szCs w:val="20"/>
                              </w:rPr>
                              <w:t>Confirm the following working assumption with the modifications in red:</w:t>
                            </w:r>
                          </w:p>
                          <w:p>
                            <w:pPr>
                              <w:numPr>
                                <w:ilvl w:val="0"/>
                                <w:numId w:val="10"/>
                              </w:numPr>
                              <w:spacing w:line="252" w:lineRule="auto"/>
                              <w:contextualSpacing/>
                              <w:rPr>
                                <w:rFonts w:ascii="Times New Roman" w:hAnsi="Times New Roman"/>
                                <w:szCs w:val="20"/>
                                <w:lang w:val="en-US"/>
                              </w:rPr>
                            </w:pPr>
                            <w:r>
                              <w:rPr>
                                <w:rFonts w:ascii="Times New Roman" w:hAnsi="Times New Roman"/>
                                <w:szCs w:val="20"/>
                              </w:rPr>
                              <w:t>For 4-step RACH, support the early indication of RedCap UEs at least in Msg1.</w:t>
                            </w:r>
                          </w:p>
                          <w:p>
                            <w:pPr>
                              <w:numPr>
                                <w:ilvl w:val="1"/>
                                <w:numId w:val="10"/>
                              </w:numPr>
                              <w:spacing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pPr>
                              <w:numPr>
                                <w:ilvl w:val="2"/>
                                <w:numId w:val="10"/>
                              </w:numPr>
                              <w:spacing w:line="252" w:lineRule="auto"/>
                              <w:jc w:val="both"/>
                              <w:rPr>
                                <w:rFonts w:eastAsia="Times New Roman"/>
                                <w:strike/>
                              </w:rPr>
                            </w:pPr>
                            <w:r>
                              <w:rPr>
                                <w:rFonts w:eastAsia="Times New Roman"/>
                                <w:strike/>
                                <w:color w:val="FF0000"/>
                              </w:rPr>
                              <w:t>FFS how to support enable/disable the early indication</w:t>
                            </w:r>
                          </w:p>
                          <w:p>
                            <w:pPr>
                              <w:numPr>
                                <w:ilvl w:val="1"/>
                                <w:numId w:val="10"/>
                              </w:numPr>
                              <w:spacing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pPr>
                              <w:numPr>
                                <w:ilvl w:val="2"/>
                                <w:numId w:val="10"/>
                              </w:numPr>
                              <w:spacing w:line="252" w:lineRule="auto"/>
                              <w:jc w:val="both"/>
                              <w:rPr>
                                <w:rFonts w:eastAsia="Times New Roman"/>
                              </w:rPr>
                            </w:pPr>
                            <w:r>
                              <w:rPr>
                                <w:rFonts w:eastAsia="Times New Roman"/>
                              </w:rPr>
                              <w:t>separate PRACH resource</w:t>
                            </w:r>
                          </w:p>
                          <w:p>
                            <w:pPr>
                              <w:numPr>
                                <w:ilvl w:val="2"/>
                                <w:numId w:val="10"/>
                              </w:numPr>
                              <w:spacing w:line="252" w:lineRule="auto"/>
                              <w:jc w:val="both"/>
                              <w:rPr>
                                <w:rFonts w:eastAsia="Times New Roman"/>
                              </w:rPr>
                            </w:pPr>
                            <w:r>
                              <w:rPr>
                                <w:rFonts w:eastAsia="Times New Roman"/>
                              </w:rPr>
                              <w:t>PRACH preamble partitioning</w:t>
                            </w:r>
                          </w:p>
                          <w:p>
                            <w:pPr>
                              <w:numPr>
                                <w:ilvl w:val="2"/>
                                <w:numId w:val="10"/>
                              </w:numPr>
                              <w:spacing w:line="252" w:lineRule="auto"/>
                              <w:jc w:val="both"/>
                              <w:rPr>
                                <w:rFonts w:eastAsia="Times New Roman"/>
                                <w:strike/>
                                <w:color w:val="FF0000"/>
                                <w:u w:val="single"/>
                              </w:rPr>
                            </w:pPr>
                            <w:r>
                              <w:rPr>
                                <w:rFonts w:eastAsia="Yu Mincho"/>
                                <w:strike/>
                                <w:color w:val="FF0000"/>
                                <w:u w:val="single"/>
                                <w:lang w:eastAsia="ja-JP"/>
                              </w:rPr>
                              <w:t>FFS: whether/how to address RA-RNTI overlapping issue</w:t>
                            </w:r>
                          </w:p>
                          <w:p>
                            <w:pPr>
                              <w:numPr>
                                <w:ilvl w:val="1"/>
                                <w:numId w:val="10"/>
                              </w:numPr>
                              <w:spacing w:line="252" w:lineRule="auto"/>
                              <w:jc w:val="both"/>
                              <w:rPr>
                                <w:rFonts w:eastAsia="Times New Roman"/>
                                <w:strike/>
                                <w:color w:val="FF0000"/>
                              </w:rPr>
                            </w:pPr>
                            <w:r>
                              <w:rPr>
                                <w:rFonts w:eastAsia="Times New Roman"/>
                                <w:strike/>
                                <w:color w:val="FF0000"/>
                              </w:rPr>
                              <w:t xml:space="preserve">FFS the possibility of supporting Msg3 for the early indication </w:t>
                            </w:r>
                          </w:p>
                          <w:p>
                            <w:r>
                              <w:rPr>
                                <w:rFonts w:ascii="Times New Roman" w:hAnsi="Times New Roman"/>
                                <w:bCs/>
                                <w:szCs w:val="20"/>
                              </w:rPr>
                              <w:t>Whether/how to support early indication of RedCap UEs in Msg3 in Rel-17 is up to RAN2.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34.35pt;width:472.5pt;" fillcolor="#FFFFFF [3201]" filled="t" stroked="t" coordsize="21600,21600" o:gfxdata="UEsDBAoAAAAAAIdO4kAAAAAAAAAAAAAAAAAEAAAAZHJzL1BLAwQUAAAACACHTuJAWjC0QNQAAAAF&#10;AQAADwAAAGRycy9kb3ducmV2LnhtbE2PzU7DMBCE70i8g7VIvVGnP4QS4lSiUiXUGyUXbm68TSLs&#10;dWS7Tfv2bLnAZaTRrGa+LdcXZ8UZQ+w9KZhNMxBIjTc9tQrqz+3jCkRMmoy2nlDBFSOsq/u7UhfG&#10;j/SB531qBZdQLLSCLqWhkDI2HTodp35A4uzog9OJbWilCXrkcmflPMty6XRPvNDpATcdNt/7k1Pw&#10;nr+lL6zNzizmCz/WsglHG5WaPMyyVxAJL+nvGG74jA4VMx38iUwUVgE/kn6Vs5flE9uDgmW+egZZ&#10;lfI/ffUDUEsDBBQAAAAIAIdO4kDTIeD7ZAIAAMMEAAAOAAAAZHJzL2Uyb0RvYy54bWytVM1uEzEQ&#10;viPxDpbvdDchP03UTRVaBSFVtFJBnB2vN2vhtY3tZLc8ALwBJy7cea4+B5+9SVtaDj2QgzP2fPlm&#10;5puZnJx2jSI74bw0uqCDo5wSobkppd4U9OOH1atjSnxgumTKaFHQG+Hp6eLli5PWzsXQ1EaVwhGQ&#10;aD9vbUHrEOw8yzyvRcP8kbFCw1kZ17CAq9tkpWMt2BuVDfN8krXGldYZLrzH63nvpHtG9xxCU1WS&#10;i3PDt43QoWd1QrGAknwtraeLlG1VCR4uq8qLQFRBUWlIJ4LAXsczW5yw+cYxW0u+T4E9J4VHNTVM&#10;agS9ozpngZGtk0+oGsmd8aYKR9w0WV9IUgRVDPJH2lzXzIpUC6T29k50//9o+fvdlSOyLOiYEs0a&#10;NPz2x/fbn79vf30j4yhPa/0cqGsLXOjemA5Dc3j3eIxVd5Vr4jfqIfBPh8ezYyh8A9bR69FskojY&#10;XHSBcPgneZ5PxwBwIIaz6WQ4Sojsnsk6H94K05BoFNShkUlftrvwAVkBeoDEwN4oWa6kUuniNusz&#10;5ciOoemr9IkJ4yd/wZQmLXJ5jUSeUETuO4q1YvzzUwbwKQ3aKFAvRLRCt+72qq1NeQPRnOmnzlu+&#10;kuC9YD5cMYcxgwJYxHCJo1IGyZi9RUlt3Nd/vUc8ug8vJS3GtqD+y5Y5QYl6pzEXs8FoBNqQLqPx&#10;dIiLe+hZP/TobXNmINIAK295MiM+qINZOdN8wr4uY1S4mOaIXdBwMM9Cv0zYdy6WywTCZFsWLvS1&#10;5ZE6iqvNchtMJVProky9Nnv1MNupPfs9jMvz8J5Q9/89i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aMLRA1AAAAAUBAAAPAAAAAAAAAAEAIAAAACIAAABkcnMvZG93bnJldi54bWxQSwECFAAUAAAA&#10;CACHTuJA0yHg+2QCAADDBAAADgAAAAAAAAABACAAAAAjAQAAZHJzL2Uyb0RvYy54bWxQSwUGAAAA&#10;AAYABgBZAQAA+QUAAAAA&#10;">
                <v:fill on="t" focussize="0,0"/>
                <v:stroke weight="0.5pt" color="#000000 [3204]" joinstyle="round"/>
                <v:imagedata o:title=""/>
                <o:lock v:ext="edit" aspectratio="f"/>
                <v:textbox>
                  <w:txbxContent>
                    <w:p>
                      <w:pPr>
                        <w:jc w:val="both"/>
                        <w:rPr>
                          <w:rFonts w:ascii="Times New Roman" w:hAnsi="Times New Roman"/>
                          <w:szCs w:val="20"/>
                          <w:highlight w:val="green"/>
                          <w:lang w:eastAsia="ja-JP"/>
                        </w:rPr>
                      </w:pPr>
                      <w:r>
                        <w:rPr>
                          <w:szCs w:val="20"/>
                          <w:highlight w:val="green"/>
                          <w:lang w:eastAsia="ja-JP"/>
                        </w:rPr>
                        <w:t>Agreements:</w:t>
                      </w:r>
                      <w:r>
                        <w:rPr>
                          <w:color w:val="FF0000"/>
                        </w:rPr>
                        <w:t xml:space="preserve"> [38.331]</w:t>
                      </w:r>
                    </w:p>
                    <w:p>
                      <w:pPr>
                        <w:spacing w:line="252" w:lineRule="auto"/>
                        <w:contextualSpacing/>
                        <w:rPr>
                          <w:rFonts w:ascii="Times New Roman" w:hAnsi="Times New Roman"/>
                          <w:szCs w:val="20"/>
                          <w:lang w:val="en-US"/>
                        </w:rPr>
                      </w:pPr>
                      <w:r>
                        <w:rPr>
                          <w:rFonts w:ascii="Times New Roman" w:hAnsi="Times New Roman"/>
                          <w:bCs/>
                          <w:szCs w:val="20"/>
                        </w:rPr>
                        <w:t>Confirm the following working assumption with the modifications in red:</w:t>
                      </w:r>
                    </w:p>
                    <w:p>
                      <w:pPr>
                        <w:numPr>
                          <w:ilvl w:val="0"/>
                          <w:numId w:val="10"/>
                        </w:numPr>
                        <w:spacing w:line="252" w:lineRule="auto"/>
                        <w:contextualSpacing/>
                        <w:rPr>
                          <w:rFonts w:ascii="Times New Roman" w:hAnsi="Times New Roman"/>
                          <w:szCs w:val="20"/>
                          <w:lang w:val="en-US"/>
                        </w:rPr>
                      </w:pPr>
                      <w:r>
                        <w:rPr>
                          <w:rFonts w:ascii="Times New Roman" w:hAnsi="Times New Roman"/>
                          <w:szCs w:val="20"/>
                        </w:rPr>
                        <w:t>For 4-step RACH, support the early indication of RedCap UEs at least in Msg1.</w:t>
                      </w:r>
                    </w:p>
                    <w:p>
                      <w:pPr>
                        <w:numPr>
                          <w:ilvl w:val="1"/>
                          <w:numId w:val="10"/>
                        </w:numPr>
                        <w:spacing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pPr>
                        <w:numPr>
                          <w:ilvl w:val="2"/>
                          <w:numId w:val="10"/>
                        </w:numPr>
                        <w:spacing w:line="252" w:lineRule="auto"/>
                        <w:jc w:val="both"/>
                        <w:rPr>
                          <w:rFonts w:eastAsia="Times New Roman"/>
                          <w:strike/>
                        </w:rPr>
                      </w:pPr>
                      <w:r>
                        <w:rPr>
                          <w:rFonts w:eastAsia="Times New Roman"/>
                          <w:strike/>
                          <w:color w:val="FF0000"/>
                        </w:rPr>
                        <w:t>FFS how to support enable/disable the early indication</w:t>
                      </w:r>
                    </w:p>
                    <w:p>
                      <w:pPr>
                        <w:numPr>
                          <w:ilvl w:val="1"/>
                          <w:numId w:val="10"/>
                        </w:numPr>
                        <w:spacing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pPr>
                        <w:numPr>
                          <w:ilvl w:val="2"/>
                          <w:numId w:val="10"/>
                        </w:numPr>
                        <w:spacing w:line="252" w:lineRule="auto"/>
                        <w:jc w:val="both"/>
                        <w:rPr>
                          <w:rFonts w:eastAsia="Times New Roman"/>
                        </w:rPr>
                      </w:pPr>
                      <w:r>
                        <w:rPr>
                          <w:rFonts w:eastAsia="Times New Roman"/>
                        </w:rPr>
                        <w:t>separate PRACH resource</w:t>
                      </w:r>
                    </w:p>
                    <w:p>
                      <w:pPr>
                        <w:numPr>
                          <w:ilvl w:val="2"/>
                          <w:numId w:val="10"/>
                        </w:numPr>
                        <w:spacing w:line="252" w:lineRule="auto"/>
                        <w:jc w:val="both"/>
                        <w:rPr>
                          <w:rFonts w:eastAsia="Times New Roman"/>
                        </w:rPr>
                      </w:pPr>
                      <w:r>
                        <w:rPr>
                          <w:rFonts w:eastAsia="Times New Roman"/>
                        </w:rPr>
                        <w:t>PRACH preamble partitioning</w:t>
                      </w:r>
                    </w:p>
                    <w:p>
                      <w:pPr>
                        <w:numPr>
                          <w:ilvl w:val="2"/>
                          <w:numId w:val="10"/>
                        </w:numPr>
                        <w:spacing w:line="252" w:lineRule="auto"/>
                        <w:jc w:val="both"/>
                        <w:rPr>
                          <w:rFonts w:eastAsia="Times New Roman"/>
                          <w:strike/>
                          <w:color w:val="FF0000"/>
                          <w:u w:val="single"/>
                        </w:rPr>
                      </w:pPr>
                      <w:r>
                        <w:rPr>
                          <w:rFonts w:eastAsia="Yu Mincho"/>
                          <w:strike/>
                          <w:color w:val="FF0000"/>
                          <w:u w:val="single"/>
                          <w:lang w:eastAsia="ja-JP"/>
                        </w:rPr>
                        <w:t>FFS: whether/how to address RA-RNTI overlapping issue</w:t>
                      </w:r>
                    </w:p>
                    <w:p>
                      <w:pPr>
                        <w:numPr>
                          <w:ilvl w:val="1"/>
                          <w:numId w:val="10"/>
                        </w:numPr>
                        <w:spacing w:line="252" w:lineRule="auto"/>
                        <w:jc w:val="both"/>
                        <w:rPr>
                          <w:rFonts w:eastAsia="Times New Roman"/>
                          <w:strike/>
                          <w:color w:val="FF0000"/>
                        </w:rPr>
                      </w:pPr>
                      <w:r>
                        <w:rPr>
                          <w:rFonts w:eastAsia="Times New Roman"/>
                          <w:strike/>
                          <w:color w:val="FF0000"/>
                        </w:rPr>
                        <w:t xml:space="preserve">FFS the possibility of supporting Msg3 for the early indication </w:t>
                      </w:r>
                    </w:p>
                    <w:p>
                      <w:r>
                        <w:rPr>
                          <w:rFonts w:ascii="Times New Roman" w:hAnsi="Times New Roman"/>
                          <w:bCs/>
                          <w:szCs w:val="20"/>
                        </w:rPr>
                        <w:t>Whether/how to support early indication of RedCap UEs in Msg3 in Rel-17 is up to RAN2.</w:t>
                      </w:r>
                    </w:p>
                  </w:txbxContent>
                </v:textbox>
                <w10:wrap type="none"/>
                <w10:anchorlock/>
              </v:shape>
            </w:pict>
          </mc:Fallback>
        </mc:AlternateContent>
      </w:r>
    </w:p>
    <w:p>
      <w:pPr>
        <w:rPr>
          <w:rFonts w:hint="eastAsia"/>
          <w:szCs w:val="21"/>
          <w:lang w:val="en-US" w:eastAsia="zh-CN"/>
        </w:rPr>
      </w:pPr>
      <w:r>
        <w:rPr>
          <w:rFonts w:hint="eastAsia"/>
          <w:szCs w:val="21"/>
          <w:lang w:val="en-US" w:eastAsia="zh-CN"/>
        </w:rPr>
        <w:t xml:space="preserve">To realize early identification in Msg1, RedCap UE should be able to determine its separate PRACH resource or PRACH preambles, so as to initiate random access on shared initial UL BWP or separate initial UL BWP. Taking 2-step RACH as reference, </w:t>
      </w:r>
      <w:r>
        <w:rPr>
          <w:rFonts w:hint="default"/>
          <w:szCs w:val="21"/>
          <w:lang w:val="en-US" w:eastAsia="zh-CN"/>
        </w:rPr>
        <w:t>“2.</w:t>
      </w:r>
      <w:r>
        <w:rPr>
          <w:rFonts w:hint="default"/>
          <w:szCs w:val="21"/>
          <w:lang w:val="en-US" w:eastAsia="zh-CN"/>
        </w:rPr>
        <w:tab/>
      </w:r>
      <w:r>
        <w:rPr>
          <w:rFonts w:hint="default"/>
          <w:szCs w:val="21"/>
          <w:lang w:val="en-US" w:eastAsia="zh-CN"/>
        </w:rPr>
        <w:t>msgA PRACH resource and format determination”</w:t>
      </w:r>
      <w:r>
        <w:rPr>
          <w:rFonts w:hint="eastAsia"/>
          <w:szCs w:val="21"/>
          <w:lang w:val="en-US" w:eastAsia="zh-CN"/>
        </w:rPr>
        <w:t xml:space="preserve"> is included in its FG9-1, may be it can include </w:t>
      </w:r>
      <w:r>
        <w:rPr>
          <w:rFonts w:hint="default"/>
          <w:szCs w:val="21"/>
          <w:lang w:val="en-US" w:eastAsia="zh-CN"/>
        </w:rPr>
        <w:t>“</w:t>
      </w:r>
      <w:r>
        <w:rPr>
          <w:rFonts w:hint="eastAsia"/>
          <w:szCs w:val="21"/>
          <w:lang w:val="en-US" w:eastAsia="zh-CN"/>
        </w:rPr>
        <w:t>RedCap dedicated PRACH resource or PRACH preamble determination</w:t>
      </w:r>
      <w:r>
        <w:rPr>
          <w:rFonts w:hint="default"/>
          <w:szCs w:val="21"/>
          <w:lang w:val="en-US" w:eastAsia="zh-CN"/>
        </w:rPr>
        <w:t>”</w:t>
      </w:r>
      <w:r>
        <w:rPr>
          <w:rFonts w:hint="eastAsia"/>
          <w:szCs w:val="21"/>
          <w:lang w:val="en-US" w:eastAsia="zh-CN"/>
        </w:rPr>
        <w:t xml:space="preserve"> in FG28-1. It also need to receive RACH related downlink channels in separated initial DL BWP if configured.</w:t>
      </w:r>
    </w:p>
    <w:p>
      <w:pPr>
        <w:rPr>
          <w:rFonts w:hint="eastAsia" w:ascii="Times New Roman" w:hAnsi="Times New Roman"/>
          <w:b/>
          <w:bCs/>
          <w:szCs w:val="20"/>
          <w:lang w:val="en-US" w:eastAsia="zh-CN"/>
        </w:rPr>
      </w:pPr>
      <w:r>
        <w:rPr>
          <w:rFonts w:hint="eastAsia"/>
          <w:b/>
          <w:bCs/>
          <w:szCs w:val="21"/>
          <w:lang w:val="en-US" w:eastAsia="zh-CN"/>
        </w:rPr>
        <w:t xml:space="preserve">Proposal 3: </w:t>
      </w:r>
      <w:r>
        <w:rPr>
          <w:rFonts w:hint="eastAsia" w:ascii="Times New Roman" w:hAnsi="Times New Roman"/>
          <w:b/>
          <w:bCs/>
          <w:szCs w:val="20"/>
          <w:lang w:val="en-US" w:eastAsia="zh-CN"/>
        </w:rPr>
        <w:t>Add the following components into the fourth column of FG28-1,</w:t>
      </w:r>
    </w:p>
    <w:p>
      <w:pPr>
        <w:numPr>
          <w:ilvl w:val="0"/>
          <w:numId w:val="11"/>
        </w:numPr>
        <w:ind w:left="420" w:leftChars="0" w:hanging="420" w:firstLineChars="0"/>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RedCap dedicated PRACH resource or PRACH preamble determination;</w:t>
      </w:r>
    </w:p>
    <w:p>
      <w:pPr>
        <w:numPr>
          <w:ilvl w:val="0"/>
          <w:numId w:val="11"/>
        </w:numPr>
        <w:ind w:left="420" w:leftChars="0" w:hanging="420" w:firstLineChars="0"/>
        <w:rPr>
          <w:rFonts w:hint="default" w:ascii="Times New Roman" w:hAnsi="Times New Roman"/>
          <w:b/>
          <w:bCs/>
          <w:szCs w:val="20"/>
          <w:lang w:val="en-US" w:eastAsia="zh-CN"/>
        </w:rPr>
      </w:pPr>
      <w:r>
        <w:rPr>
          <w:rFonts w:hint="eastAsia" w:ascii="Times New Roman" w:hAnsi="Times New Roman" w:cs="Times New Roman"/>
          <w:b/>
          <w:bCs/>
          <w:szCs w:val="21"/>
          <w:lang w:val="en-US" w:eastAsia="zh-CN"/>
        </w:rPr>
        <w:t>Receiving RACH related downlink channels in separated initial DL BWP if RACH related CSS/CORESET is configured</w:t>
      </w:r>
      <w:bookmarkStart w:id="5" w:name="_GoBack"/>
      <w:bookmarkEnd w:id="5"/>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eastAsia"/>
          <w:lang w:val="en-US" w:eastAsia="zh-CN"/>
        </w:rPr>
        <w:t xml:space="preserve">considerations on basic UE feature </w:t>
      </w:r>
      <w:r>
        <w:rPr>
          <w:rFonts w:hint="eastAsia"/>
          <w:bCs/>
          <w:lang w:eastAsia="zh-CN"/>
        </w:rPr>
        <w:t xml:space="preserve">associated with the Rel-17 </w:t>
      </w:r>
      <w:r>
        <w:rPr>
          <w:rFonts w:hint="eastAsia"/>
          <w:bCs/>
          <w:lang w:val="en-US" w:eastAsia="zh-CN"/>
        </w:rPr>
        <w:t xml:space="preserve">RedCap </w:t>
      </w:r>
      <w:r>
        <w:rPr>
          <w:rFonts w:hint="eastAsia"/>
          <w:bCs/>
          <w:lang w:eastAsia="zh-CN"/>
        </w:rPr>
        <w:t>WI</w:t>
      </w:r>
      <w:r>
        <w:rPr>
          <w:rFonts w:hint="eastAsia"/>
          <w:bCs/>
          <w:lang w:val="en-US" w:eastAsia="zh-CN"/>
        </w:rPr>
        <w:t xml:space="preserve"> are discussed, the following proposals are made</w:t>
      </w:r>
      <w:r>
        <w:rPr>
          <w:lang w:eastAsia="zh-CN"/>
        </w:rPr>
        <w:t>,</w:t>
      </w:r>
    </w:p>
    <w:p>
      <w:pPr>
        <w:rPr>
          <w:rFonts w:hint="default" w:ascii="Times New Roman" w:hAnsi="Times New Roman"/>
          <w:b/>
          <w:bCs/>
          <w:szCs w:val="20"/>
          <w:lang w:val="en-US" w:eastAsia="zh-CN"/>
        </w:rPr>
      </w:pPr>
      <w:r>
        <w:rPr>
          <w:rFonts w:hint="eastAsia" w:ascii="Times New Roman" w:hAnsi="Times New Roman"/>
          <w:b/>
          <w:bCs/>
          <w:szCs w:val="20"/>
          <w:lang w:val="en-US" w:eastAsia="zh-CN"/>
        </w:rPr>
        <w:t>Proposal 1: Add the following component in the fourth column of FG28-1,</w:t>
      </w:r>
    </w:p>
    <w:p>
      <w:pPr>
        <w:numPr>
          <w:ilvl w:val="0"/>
          <w:numId w:val="11"/>
        </w:numPr>
        <w:ind w:left="420" w:leftChars="0" w:hanging="420" w:firstLineChars="0"/>
        <w:rPr>
          <w:rFonts w:hint="default" w:ascii="Times New Roman" w:hAnsi="Times New Roman"/>
          <w:b/>
          <w:bCs/>
          <w:szCs w:val="20"/>
          <w:lang w:val="en-US" w:eastAsia="zh-CN"/>
        </w:rPr>
      </w:pPr>
      <w:r>
        <w:rPr>
          <w:rFonts w:ascii="Times New Roman" w:hAnsi="Times New Roman"/>
          <w:b/>
          <w:bCs/>
          <w:szCs w:val="20"/>
          <w:lang w:val="en-US"/>
        </w:rPr>
        <w:t>Supports either 1 or 2 Rx branches and corresponding maximum DL MIMO layers</w:t>
      </w:r>
      <w:r>
        <w:rPr>
          <w:rFonts w:hint="eastAsia" w:ascii="Times New Roman" w:hAnsi="Times New Roman"/>
          <w:b/>
          <w:bCs/>
          <w:szCs w:val="20"/>
          <w:lang w:val="en-US" w:eastAsia="zh-CN"/>
        </w:rPr>
        <w:t>.</w:t>
      </w:r>
    </w:p>
    <w:p>
      <w:pPr>
        <w:overflowPunct w:val="0"/>
        <w:autoSpaceDE w:val="0"/>
        <w:autoSpaceDN w:val="0"/>
        <w:adjustRightInd w:val="0"/>
        <w:spacing w:before="120" w:after="180"/>
        <w:textAlignment w:val="baseline"/>
        <w:rPr>
          <w:rFonts w:hint="default"/>
          <w:b/>
          <w:bCs/>
          <w:i w:val="0"/>
          <w:iCs w:val="0"/>
          <w:lang w:val="en-US" w:eastAsia="zh-CN"/>
        </w:rPr>
      </w:pPr>
      <w:r>
        <w:rPr>
          <w:rFonts w:hint="eastAsia"/>
          <w:b/>
          <w:bCs/>
          <w:i w:val="0"/>
          <w:iCs w:val="0"/>
          <w:lang w:val="en-US" w:eastAsia="zh-CN"/>
        </w:rPr>
        <w:t xml:space="preserve">Proposal 2: </w:t>
      </w:r>
      <w:r>
        <w:rPr>
          <w:rFonts w:eastAsia="宋体"/>
          <w:b/>
          <w:bCs/>
          <w:i w:val="0"/>
          <w:iCs w:val="0"/>
          <w:lang w:val="en-US" w:eastAsia="zh-CN"/>
        </w:rPr>
        <w:t>Separate</w:t>
      </w:r>
      <w:r>
        <w:rPr>
          <w:rFonts w:hint="eastAsia" w:eastAsia="宋体"/>
          <w:b/>
          <w:bCs/>
          <w:i w:val="0"/>
          <w:iCs w:val="0"/>
          <w:lang w:val="en-US" w:eastAsia="zh-CN"/>
        </w:rPr>
        <w:t xml:space="preserve"> UL</w:t>
      </w:r>
      <w:r>
        <w:rPr>
          <w:rFonts w:hint="eastAsia"/>
          <w:b/>
          <w:bCs/>
          <w:i w:val="0"/>
          <w:iCs w:val="0"/>
          <w:lang w:val="en-US" w:eastAsia="zh-CN"/>
        </w:rPr>
        <w:t>/DL</w:t>
      </w:r>
      <w:r>
        <w:rPr>
          <w:rFonts w:hint="eastAsia" w:eastAsia="宋体"/>
          <w:b/>
          <w:bCs/>
          <w:i w:val="0"/>
          <w:iCs w:val="0"/>
          <w:lang w:val="en-US" w:eastAsia="zh-CN"/>
        </w:rPr>
        <w:t xml:space="preserve"> initial BWP</w:t>
      </w:r>
      <w:r>
        <w:rPr>
          <w:rFonts w:eastAsia="宋体"/>
          <w:b/>
          <w:bCs/>
          <w:i w:val="0"/>
          <w:iCs w:val="0"/>
          <w:lang w:val="en-US" w:eastAsia="zh-CN"/>
        </w:rPr>
        <w:t xml:space="preserve"> is a basic </w:t>
      </w:r>
      <w:r>
        <w:rPr>
          <w:rFonts w:hint="eastAsia"/>
          <w:b/>
          <w:bCs/>
          <w:i w:val="0"/>
          <w:iCs w:val="0"/>
          <w:lang w:val="en-US" w:eastAsia="zh-CN"/>
        </w:rPr>
        <w:t>component that should be included in FG28-1.</w:t>
      </w:r>
    </w:p>
    <w:p>
      <w:pPr>
        <w:rPr>
          <w:rFonts w:hint="eastAsia" w:ascii="Times New Roman" w:hAnsi="Times New Roman"/>
          <w:b/>
          <w:bCs/>
          <w:szCs w:val="20"/>
          <w:lang w:val="en-US" w:eastAsia="zh-CN"/>
        </w:rPr>
      </w:pPr>
      <w:r>
        <w:rPr>
          <w:rFonts w:hint="eastAsia"/>
          <w:b/>
          <w:bCs/>
          <w:szCs w:val="21"/>
          <w:lang w:val="en-US" w:eastAsia="zh-CN"/>
        </w:rPr>
        <w:t xml:space="preserve">Proposal 3: </w:t>
      </w:r>
      <w:r>
        <w:rPr>
          <w:rFonts w:hint="eastAsia" w:ascii="Times New Roman" w:hAnsi="Times New Roman"/>
          <w:b/>
          <w:bCs/>
          <w:szCs w:val="20"/>
          <w:lang w:val="en-US" w:eastAsia="zh-CN"/>
        </w:rPr>
        <w:t>Add the following components into the fourth column of FG28-1,</w:t>
      </w:r>
    </w:p>
    <w:p>
      <w:pPr>
        <w:numPr>
          <w:ilvl w:val="0"/>
          <w:numId w:val="11"/>
        </w:numPr>
        <w:ind w:left="420" w:leftChars="0" w:hanging="420" w:firstLineChars="0"/>
        <w:rPr>
          <w:rFonts w:hint="eastAsia"/>
          <w:b/>
          <w:bCs/>
          <w:szCs w:val="21"/>
          <w:lang w:val="en-US" w:eastAsia="zh-CN"/>
        </w:rPr>
      </w:pPr>
      <w:r>
        <w:rPr>
          <w:rFonts w:hint="eastAsia"/>
          <w:b/>
          <w:bCs/>
          <w:szCs w:val="21"/>
          <w:lang w:val="en-US" w:eastAsia="zh-CN"/>
        </w:rPr>
        <w:t>RedCap dedicated PRACH resource or PRACH preamble determination;</w:t>
      </w:r>
    </w:p>
    <w:p>
      <w:pPr>
        <w:numPr>
          <w:ilvl w:val="0"/>
          <w:numId w:val="11"/>
        </w:numPr>
        <w:ind w:left="420" w:leftChars="0" w:hanging="420" w:firstLineChars="0"/>
        <w:rPr>
          <w:rFonts w:hint="default"/>
          <w:b/>
          <w:bCs/>
          <w:szCs w:val="21"/>
          <w:lang w:val="en-US" w:eastAsia="zh-CN"/>
        </w:rPr>
      </w:pPr>
      <w:r>
        <w:rPr>
          <w:rFonts w:hint="eastAsia"/>
          <w:b/>
          <w:bCs/>
          <w:szCs w:val="21"/>
          <w:lang w:val="en-US" w:eastAsia="zh-CN"/>
        </w:rPr>
        <w:t>Receiving RACH related downlink channels in separated initial DL BWP if RACH related CSS/CORESET is configured</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3"/>
        </w:numPr>
        <w:outlineLvl w:val="0"/>
        <w:rPr>
          <w:rFonts w:hint="eastAsia"/>
          <w:lang w:val="en-US" w:eastAsia="zh-CN"/>
        </w:rPr>
      </w:pPr>
      <w:r>
        <w:rPr>
          <w:rFonts w:hint="eastAsia"/>
          <w:lang w:val="en-US"/>
        </w:rPr>
        <w:t>R1-2110669</w:t>
      </w:r>
      <w:r>
        <w:rPr>
          <w:rFonts w:hint="eastAsia"/>
          <w:lang w:val="en-US" w:eastAsia="zh-CN"/>
        </w:rPr>
        <w:t>, RAN1 agreements for Rel-17 NR RedCap.</w:t>
      </w:r>
    </w:p>
    <w:p>
      <w:pPr>
        <w:numPr>
          <w:ilvl w:val="0"/>
          <w:numId w:val="13"/>
        </w:numPr>
        <w:outlineLvl w:val="0"/>
        <w:rPr>
          <w:rFonts w:hint="default"/>
          <w:lang w:val="en-US" w:eastAsia="zh-CN"/>
        </w:rPr>
      </w:pPr>
      <w:r>
        <w:rPr>
          <w:rFonts w:hint="default"/>
          <w:lang w:val="en-US" w:eastAsia="zh-CN"/>
        </w:rPr>
        <w:t>R1-2110587</w:t>
      </w:r>
      <w:r>
        <w:rPr>
          <w:rFonts w:hint="eastAsia"/>
          <w:lang w:val="en-US" w:eastAsia="zh-CN"/>
        </w:rPr>
        <w:t>, Updated RAN1 UE features list for Rel-17 NR after RAN1 #106bis-e.</w:t>
      </w:r>
    </w:p>
    <w:p>
      <w:pPr>
        <w:bidi w:val="0"/>
        <w:rPr>
          <w:rFonts w:ascii="Times New Roman" w:hAnsi="Times New Roman" w:eastAsia="宋体" w:cs="Times New Roman"/>
          <w:lang w:val="zh-CN" w:eastAsia="zh-CN" w:bidi="ar-SA"/>
        </w:rPr>
      </w:pPr>
    </w:p>
    <w:p>
      <w:pPr>
        <w:pStyle w:val="2"/>
        <w:numPr>
          <w:ilvl w:val="0"/>
          <w:numId w:val="6"/>
        </w:numPr>
        <w:rPr>
          <w:rFonts w:ascii="Times New Roman" w:hAnsi="Times New Roman" w:cs="Times New Roman" w:eastAsiaTheme="minorEastAsia"/>
          <w:lang w:eastAsia="en-GB"/>
        </w:rPr>
      </w:pPr>
      <w:r>
        <w:rPr>
          <w:rFonts w:ascii="Times New Roman" w:hAnsi="Times New Roman" w:cs="Times New Roman" w:eastAsiaTheme="minorEastAsia"/>
          <w:lang w:eastAsia="en-GB"/>
        </w:rPr>
        <w:t>Appendix</w:t>
      </w:r>
    </w:p>
    <w:p>
      <w:pPr>
        <w:rPr>
          <w:rFonts w:ascii="Arial" w:hAnsi="Arial" w:eastAsia="Batang" w:cs="Arial"/>
          <w:sz w:val="32"/>
        </w:rPr>
      </w:pPr>
      <w:r>
        <w:rPr>
          <w:rFonts w:ascii="Arial" w:hAnsi="Arial" w:eastAsia="Batang" w:cs="Arial"/>
          <w:sz w:val="32"/>
        </w:rPr>
        <w:t>28. NR_redcap</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451"/>
        <w:gridCol w:w="650"/>
        <w:gridCol w:w="970"/>
        <w:gridCol w:w="650"/>
        <w:gridCol w:w="610"/>
        <w:gridCol w:w="630"/>
        <w:gridCol w:w="810"/>
        <w:gridCol w:w="750"/>
        <w:gridCol w:w="670"/>
        <w:gridCol w:w="560"/>
        <w:gridCol w:w="658"/>
        <w:gridCol w:w="94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Features</w:t>
            </w:r>
          </w:p>
        </w:tc>
        <w:tc>
          <w:tcPr>
            <w:tcW w:w="228"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Index</w:t>
            </w:r>
          </w:p>
        </w:tc>
        <w:tc>
          <w:tcPr>
            <w:tcW w:w="329"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Feature group</w:t>
            </w:r>
          </w:p>
        </w:tc>
        <w:tc>
          <w:tcPr>
            <w:tcW w:w="492"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Components</w:t>
            </w:r>
          </w:p>
        </w:tc>
        <w:tc>
          <w:tcPr>
            <w:tcW w:w="329"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Prerequisite feature groups</w:t>
            </w:r>
          </w:p>
        </w:tc>
        <w:tc>
          <w:tcPr>
            <w:tcW w:w="309"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Need for the gNB to know if the feature is supported</w:t>
            </w:r>
          </w:p>
        </w:tc>
        <w:tc>
          <w:tcPr>
            <w:tcW w:w="319"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eastAsia="Gulim" w:asciiTheme="majorHAnsi" w:hAnsiTheme="majorHAnsi" w:cstheme="majorHAnsi"/>
                <w:color w:val="000000" w:themeColor="text1"/>
                <w:sz w:val="11"/>
                <w:szCs w:val="11"/>
                <w14:textFill>
                  <w14:solidFill>
                    <w14:schemeClr w14:val="tx1"/>
                  </w14:solidFill>
                </w14:textFill>
              </w:rPr>
              <w:t xml:space="preserve">Applicable to </w:t>
            </w:r>
            <w:r>
              <w:rPr>
                <w:rFonts w:asciiTheme="majorHAnsi" w:hAnsiTheme="majorHAnsi" w:cstheme="majorHAnsi"/>
                <w:color w:val="000000" w:themeColor="text1"/>
                <w:sz w:val="11"/>
                <w:szCs w:val="11"/>
                <w14:textFill>
                  <w14:solidFill>
                    <w14:schemeClr w14:val="tx1"/>
                  </w14:solidFill>
                </w14:textFill>
              </w:rPr>
              <w:t>the capability signalling exchange between UEs (Sidelink WI only)”.</w:t>
            </w:r>
          </w:p>
        </w:tc>
        <w:tc>
          <w:tcPr>
            <w:tcW w:w="410" w:type="pct"/>
            <w:tcBorders>
              <w:top w:val="single" w:color="auto" w:sz="4" w:space="0"/>
              <w:left w:val="single" w:color="auto" w:sz="4" w:space="0"/>
              <w:bottom w:val="single" w:color="auto" w:sz="4" w:space="0"/>
              <w:right w:val="single" w:color="auto" w:sz="4" w:space="0"/>
            </w:tcBorders>
          </w:tcPr>
          <w:p>
            <w:pPr>
              <w:pStyle w:val="88"/>
              <w:ind w:left="0" w:firstLine="0"/>
              <w:rPr>
                <w:rFonts w:asciiTheme="majorHAnsi" w:hAnsiTheme="majorHAnsi" w:cstheme="majorHAnsi"/>
                <w:b/>
                <w:sz w:val="11"/>
                <w:szCs w:val="11"/>
                <w:lang w:eastAsia="ja-JP"/>
              </w:rPr>
            </w:pPr>
            <w:r>
              <w:rPr>
                <w:rFonts w:asciiTheme="majorHAnsi" w:hAnsiTheme="majorHAnsi" w:cstheme="majorHAnsi"/>
                <w:b/>
                <w:sz w:val="11"/>
                <w:szCs w:val="11"/>
                <w:lang w:eastAsia="ja-JP"/>
              </w:rPr>
              <w:t>Consequence if the feature is not supported by the UE</w:t>
            </w:r>
          </w:p>
        </w:tc>
        <w:tc>
          <w:tcPr>
            <w:tcW w:w="380" w:type="pct"/>
            <w:tcBorders>
              <w:top w:val="single" w:color="auto" w:sz="4" w:space="0"/>
              <w:left w:val="single" w:color="auto" w:sz="4" w:space="0"/>
              <w:bottom w:val="single" w:color="auto" w:sz="4" w:space="0"/>
              <w:right w:val="single" w:color="auto" w:sz="4" w:space="0"/>
            </w:tcBorders>
          </w:tcPr>
          <w:p>
            <w:pPr>
              <w:pStyle w:val="88"/>
              <w:ind w:left="0" w:firstLine="0"/>
              <w:rPr>
                <w:rFonts w:asciiTheme="majorHAnsi" w:hAnsiTheme="majorHAnsi" w:cstheme="majorHAnsi"/>
                <w:b/>
                <w:sz w:val="11"/>
                <w:szCs w:val="11"/>
                <w:lang w:eastAsia="ja-JP"/>
              </w:rPr>
            </w:pPr>
            <w:r>
              <w:rPr>
                <w:rFonts w:asciiTheme="majorHAnsi" w:hAnsiTheme="majorHAnsi" w:cstheme="majorHAnsi"/>
                <w:b/>
                <w:sz w:val="11"/>
                <w:szCs w:val="11"/>
                <w:lang w:eastAsia="ja-JP"/>
              </w:rPr>
              <w:t>Type</w:t>
            </w:r>
          </w:p>
          <w:p>
            <w:pPr>
              <w:pStyle w:val="88"/>
              <w:ind w:left="0" w:firstLine="0"/>
              <w:rPr>
                <w:rFonts w:asciiTheme="majorHAnsi" w:hAnsiTheme="majorHAnsi" w:cstheme="majorHAnsi"/>
                <w:b/>
                <w:sz w:val="11"/>
                <w:szCs w:val="11"/>
                <w:lang w:eastAsia="ja-JP"/>
              </w:rPr>
            </w:pPr>
            <w:r>
              <w:rPr>
                <w:rFonts w:asciiTheme="majorHAnsi" w:hAnsiTheme="majorHAnsi" w:cstheme="majorHAnsi"/>
                <w:b/>
                <w:sz w:val="11"/>
                <w:szCs w:val="11"/>
                <w:lang w:eastAsia="ja-JP"/>
              </w:rPr>
              <w:t>(the ‘type’ definition from UE features should be based on the granularity of 1) Per UE or 2) Per Band or 3) Per BC or 4) Per FS or 5) Per FSPC)</w:t>
            </w:r>
          </w:p>
        </w:tc>
        <w:tc>
          <w:tcPr>
            <w:tcW w:w="339"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Need of FDD/TDD differentiation</w:t>
            </w:r>
          </w:p>
        </w:tc>
        <w:tc>
          <w:tcPr>
            <w:tcW w:w="284"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Need of FR1/FR2 differentiation</w:t>
            </w:r>
          </w:p>
        </w:tc>
        <w:tc>
          <w:tcPr>
            <w:tcW w:w="333"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Capability interpretation for mixture of FDD/TDD and/or FR1/FR2</w:t>
            </w:r>
          </w:p>
        </w:tc>
        <w:tc>
          <w:tcPr>
            <w:tcW w:w="478"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Note</w:t>
            </w:r>
          </w:p>
        </w:tc>
        <w:tc>
          <w:tcPr>
            <w:tcW w:w="513" w:type="pct"/>
            <w:tcBorders>
              <w:top w:val="single" w:color="auto" w:sz="4" w:space="0"/>
              <w:left w:val="single" w:color="auto" w:sz="4" w:space="0"/>
              <w:bottom w:val="single" w:color="auto" w:sz="4" w:space="0"/>
              <w:right w:val="single" w:color="auto" w:sz="4" w:space="0"/>
            </w:tcBorders>
          </w:tcPr>
          <w:p>
            <w:pPr>
              <w:pStyle w:val="73"/>
              <w:rPr>
                <w:rFonts w:asciiTheme="majorHAnsi" w:hAnsiTheme="majorHAnsi" w:cstheme="majorHAnsi"/>
                <w:sz w:val="11"/>
                <w:szCs w:val="11"/>
              </w:rPr>
            </w:pPr>
            <w:r>
              <w:rPr>
                <w:rFonts w:asciiTheme="majorHAnsi" w:hAnsiTheme="majorHAnsi" w:cstheme="majorHAns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 xml:space="preserve"> 28.</w:t>
            </w:r>
            <w:r>
              <w:rPr>
                <w:sz w:val="11"/>
                <w:szCs w:val="11"/>
              </w:rPr>
              <w:t xml:space="preserve"> </w:t>
            </w:r>
            <w:r>
              <w:rPr>
                <w:rFonts w:asciiTheme="majorHAnsi" w:hAnsiTheme="majorHAnsi" w:cstheme="majorHAnsi"/>
                <w:sz w:val="11"/>
                <w:szCs w:val="11"/>
                <w:lang w:eastAsia="ja-JP"/>
              </w:rPr>
              <w:t>NR_redcap</w:t>
            </w:r>
          </w:p>
        </w:tc>
        <w:tc>
          <w:tcPr>
            <w:tcW w:w="228"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28-1</w:t>
            </w:r>
          </w:p>
        </w:tc>
        <w:tc>
          <w:tcPr>
            <w:tcW w:w="329" w:type="pct"/>
            <w:tcBorders>
              <w:top w:val="single" w:color="auto" w:sz="4" w:space="0"/>
              <w:left w:val="single" w:color="auto" w:sz="4" w:space="0"/>
              <w:bottom w:val="single" w:color="auto" w:sz="4" w:space="0"/>
              <w:right w:val="single" w:color="auto" w:sz="4" w:space="0"/>
            </w:tcBorders>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RedCap UE</w:t>
            </w:r>
          </w:p>
        </w:tc>
        <w:tc>
          <w:tcPr>
            <w:tcW w:w="492" w:type="pct"/>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Maximum FR1 RedCap UE bandwidth is 20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2. Maximum FR2 RedCap UE bandwidth is 100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highlight w:val="yellow"/>
              </w:rPr>
              <w:t>FFS whether to add any other basic features for RedCap UE</w:t>
            </w:r>
          </w:p>
        </w:tc>
        <w:tc>
          <w:tcPr>
            <w:tcW w:w="329" w:type="pct"/>
            <w:tcBorders>
              <w:top w:val="single" w:color="auto" w:sz="4" w:space="0"/>
              <w:left w:val="single" w:color="auto" w:sz="4" w:space="0"/>
              <w:bottom w:val="single" w:color="auto" w:sz="4" w:space="0"/>
              <w:right w:val="single" w:color="auto" w:sz="4" w:space="0"/>
            </w:tcBorders>
          </w:tcPr>
          <w:p>
            <w:pPr>
              <w:pStyle w:val="75"/>
              <w:rPr>
                <w:rFonts w:eastAsia="MS Mincho" w:asciiTheme="majorHAnsi" w:hAnsiTheme="majorHAnsi" w:cstheme="majorHAnsi"/>
                <w:sz w:val="11"/>
                <w:szCs w:val="11"/>
                <w:highlight w:val="yellow"/>
                <w:lang w:eastAsia="ja-JP"/>
              </w:rPr>
            </w:pPr>
          </w:p>
        </w:tc>
        <w:tc>
          <w:tcPr>
            <w:tcW w:w="309" w:type="pct"/>
            <w:tcBorders>
              <w:top w:val="single" w:color="auto" w:sz="4" w:space="0"/>
              <w:left w:val="single" w:color="auto" w:sz="4" w:space="0"/>
              <w:bottom w:val="single" w:color="auto" w:sz="4" w:space="0"/>
              <w:right w:val="single" w:color="auto" w:sz="4" w:space="0"/>
            </w:tcBorders>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Yes</w:t>
            </w:r>
          </w:p>
        </w:tc>
        <w:tc>
          <w:tcPr>
            <w:tcW w:w="319"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p>
        </w:tc>
        <w:tc>
          <w:tcPr>
            <w:tcW w:w="41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val="en-US" w:eastAsia="zh-CN"/>
              </w:rPr>
            </w:pPr>
            <w:r>
              <w:rPr>
                <w:rFonts w:eastAsia="宋体" w:asciiTheme="majorHAnsi" w:hAnsiTheme="majorHAnsi" w:cstheme="majorHAnsi"/>
                <w:sz w:val="11"/>
                <w:szCs w:val="11"/>
                <w:lang w:val="en-US" w:eastAsia="zh-CN"/>
              </w:rPr>
              <w:t>Network assumes the UE is not a RedCap UE</w:t>
            </w:r>
          </w:p>
        </w:tc>
        <w:tc>
          <w:tcPr>
            <w:tcW w:w="38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Per UE</w:t>
            </w:r>
          </w:p>
        </w:tc>
        <w:tc>
          <w:tcPr>
            <w:tcW w:w="33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No</w:t>
            </w:r>
          </w:p>
        </w:tc>
        <w:tc>
          <w:tcPr>
            <w:tcW w:w="284"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No</w:t>
            </w:r>
          </w:p>
        </w:tc>
        <w:tc>
          <w:tcPr>
            <w:tcW w:w="333"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p>
        </w:tc>
        <w:tc>
          <w:tcPr>
            <w:tcW w:w="47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RedCap UEs do not support carrier aggregation or dual connectivity.</w:t>
            </w:r>
          </w:p>
        </w:tc>
        <w:tc>
          <w:tcPr>
            <w:tcW w:w="513"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Optional with capability signaling</w:t>
            </w:r>
          </w:p>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RedCap UE must indicate this FG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 xml:space="preserve"> 28.</w:t>
            </w:r>
            <w:r>
              <w:rPr>
                <w:sz w:val="11"/>
                <w:szCs w:val="11"/>
              </w:rPr>
              <w:t xml:space="preserve"> </w:t>
            </w:r>
            <w:r>
              <w:rPr>
                <w:rFonts w:asciiTheme="majorHAnsi" w:hAnsiTheme="majorHAnsi" w:cstheme="majorHAnsi"/>
                <w:sz w:val="11"/>
                <w:szCs w:val="11"/>
                <w:lang w:eastAsia="ja-JP"/>
              </w:rPr>
              <w:t>NR_redcap</w:t>
            </w:r>
          </w:p>
        </w:tc>
        <w:tc>
          <w:tcPr>
            <w:tcW w:w="22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28-2</w:t>
            </w: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Number of UE Rx branches and DL MIMO layers for RedCap UE</w:t>
            </w:r>
          </w:p>
        </w:tc>
        <w:tc>
          <w:tcPr>
            <w:tcW w:w="492" w:type="pct"/>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For a RedCap UE with 1 Rx branch, 1 DL MIMO layer is supported.</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2. For a RedCap UE with 2 Rx branches, 2 DL MIMO layers are supported.</w:t>
            </w: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28-1</w:t>
            </w:r>
          </w:p>
        </w:tc>
        <w:tc>
          <w:tcPr>
            <w:tcW w:w="30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Yes</w:t>
            </w:r>
          </w:p>
        </w:tc>
        <w:tc>
          <w:tcPr>
            <w:tcW w:w="31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p>
        </w:tc>
        <w:tc>
          <w:tcPr>
            <w:tcW w:w="41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val="en-US" w:eastAsia="zh-CN"/>
              </w:rPr>
              <w:t>Impact on UE complexity</w:t>
            </w:r>
          </w:p>
        </w:tc>
        <w:tc>
          <w:tcPr>
            <w:tcW w:w="38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Per band</w:t>
            </w:r>
          </w:p>
        </w:tc>
        <w:tc>
          <w:tcPr>
            <w:tcW w:w="33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No</w:t>
            </w:r>
          </w:p>
        </w:tc>
        <w:tc>
          <w:tcPr>
            <w:tcW w:w="284"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No</w:t>
            </w:r>
          </w:p>
        </w:tc>
        <w:tc>
          <w:tcPr>
            <w:tcW w:w="333"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p>
        </w:tc>
        <w:tc>
          <w:tcPr>
            <w:tcW w:w="47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 xml:space="preserve">For UE capability signalling, the number of Rx branches for RedCap is implicitly indicated by the corresponding capability parameter </w:t>
            </w:r>
            <w:r>
              <w:rPr>
                <w:rFonts w:asciiTheme="majorHAnsi" w:hAnsiTheme="majorHAnsi" w:cstheme="majorHAnsi"/>
                <w:i/>
                <w:iCs/>
                <w:sz w:val="11"/>
                <w:szCs w:val="11"/>
              </w:rPr>
              <w:t>maxNumberMIMO-LayersPDSCH</w:t>
            </w:r>
            <w:r>
              <w:rPr>
                <w:rFonts w:asciiTheme="majorHAnsi" w:hAnsiTheme="majorHAnsi" w:cstheme="majorHAnsi"/>
                <w:sz w:val="11"/>
                <w:szCs w:val="11"/>
              </w:rPr>
              <w:t xml:space="preserve"> in the existing UE capability framework.</w:t>
            </w:r>
            <w:r>
              <w:rPr>
                <w:sz w:val="11"/>
                <w:szCs w:val="11"/>
              </w:rPr>
              <w:t xml:space="preserve"> </w:t>
            </w:r>
            <w:r>
              <w:rPr>
                <w:rFonts w:asciiTheme="majorHAnsi" w:hAnsiTheme="majorHAnsi" w:cstheme="majorHAnsi"/>
                <w:sz w:val="11"/>
                <w:szCs w:val="11"/>
              </w:rPr>
              <w:t>Detailed signalling is up to RAN2.</w:t>
            </w:r>
          </w:p>
        </w:tc>
        <w:tc>
          <w:tcPr>
            <w:tcW w:w="513"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28. NR_redcap</w:t>
            </w:r>
          </w:p>
        </w:tc>
        <w:tc>
          <w:tcPr>
            <w:tcW w:w="228"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28-3</w:t>
            </w:r>
          </w:p>
        </w:tc>
        <w:tc>
          <w:tcPr>
            <w:tcW w:w="329" w:type="pct"/>
            <w:tcBorders>
              <w:top w:val="single" w:color="auto" w:sz="4" w:space="0"/>
              <w:left w:val="single" w:color="auto" w:sz="4" w:space="0"/>
              <w:bottom w:val="single" w:color="auto" w:sz="4" w:space="0"/>
              <w:right w:val="single" w:color="auto" w:sz="4" w:space="0"/>
            </w:tcBorders>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Half-duplex FDD operation type A for RedCap UE</w:t>
            </w:r>
          </w:p>
        </w:tc>
        <w:tc>
          <w:tcPr>
            <w:tcW w:w="492" w:type="pct"/>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Half-duplex FDD operation (instead of full-duplex FDD operation) type A for RedCap UE</w:t>
            </w:r>
          </w:p>
        </w:tc>
        <w:tc>
          <w:tcPr>
            <w:tcW w:w="329"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rPr>
            </w:pPr>
            <w:r>
              <w:rPr>
                <w:rFonts w:asciiTheme="majorHAnsi" w:hAnsiTheme="majorHAnsi" w:cstheme="majorHAnsi"/>
                <w:sz w:val="11"/>
                <w:szCs w:val="11"/>
              </w:rPr>
              <w:t>28-1</w:t>
            </w:r>
          </w:p>
        </w:tc>
        <w:tc>
          <w:tcPr>
            <w:tcW w:w="309" w:type="pct"/>
            <w:tcBorders>
              <w:top w:val="single" w:color="auto" w:sz="4" w:space="0"/>
              <w:left w:val="single" w:color="auto" w:sz="4" w:space="0"/>
              <w:bottom w:val="single" w:color="auto" w:sz="4" w:space="0"/>
              <w:right w:val="single" w:color="auto" w:sz="4" w:space="0"/>
            </w:tcBorders>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Yes</w:t>
            </w:r>
          </w:p>
        </w:tc>
        <w:tc>
          <w:tcPr>
            <w:tcW w:w="319"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p>
        </w:tc>
        <w:tc>
          <w:tcPr>
            <w:tcW w:w="41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val="en-US" w:eastAsia="zh-CN"/>
              </w:rPr>
            </w:pPr>
            <w:r>
              <w:rPr>
                <w:sz w:val="11"/>
                <w:szCs w:val="11"/>
              </w:rPr>
              <w:t>UE is assumed to support FD-FDD in FDD bands</w:t>
            </w:r>
          </w:p>
        </w:tc>
        <w:tc>
          <w:tcPr>
            <w:tcW w:w="38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Per band</w:t>
            </w:r>
          </w:p>
        </w:tc>
        <w:tc>
          <w:tcPr>
            <w:tcW w:w="33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FDD only</w:t>
            </w:r>
          </w:p>
        </w:tc>
        <w:tc>
          <w:tcPr>
            <w:tcW w:w="284"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FR1 only</w:t>
            </w:r>
          </w:p>
        </w:tc>
        <w:tc>
          <w:tcPr>
            <w:tcW w:w="333"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lang w:eastAsia="ja-JP"/>
              </w:rPr>
            </w:pPr>
          </w:p>
        </w:tc>
        <w:tc>
          <w:tcPr>
            <w:tcW w:w="478"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rPr>
            </w:pPr>
          </w:p>
        </w:tc>
        <w:tc>
          <w:tcPr>
            <w:tcW w:w="513" w:type="pct"/>
            <w:tcBorders>
              <w:top w:val="single" w:color="auto" w:sz="4" w:space="0"/>
              <w:left w:val="single" w:color="auto" w:sz="4" w:space="0"/>
              <w:bottom w:val="single" w:color="auto" w:sz="4" w:space="0"/>
              <w:right w:val="single" w:color="auto" w:sz="4" w:space="0"/>
            </w:tcBorders>
          </w:tcPr>
          <w:p>
            <w:pPr>
              <w:pStyle w:val="75"/>
              <w:rPr>
                <w:rFonts w:asciiTheme="majorHAnsi" w:hAnsiTheme="majorHAnsi" w:cstheme="majorHAnsi"/>
                <w:sz w:val="11"/>
                <w:szCs w:val="11"/>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48" w:type="pct"/>
            <w:tcBorders>
              <w:top w:val="single" w:color="auto" w:sz="4" w:space="0"/>
              <w:left w:val="single" w:color="auto" w:sz="4" w:space="0"/>
              <w:bottom w:val="single" w:color="auto" w:sz="4" w:space="0"/>
              <w:right w:val="single" w:color="auto" w:sz="4" w:space="0"/>
            </w:tcBorders>
          </w:tcPr>
          <w:p>
            <w:pPr>
              <w:rPr>
                <w:sz w:val="11"/>
                <w:szCs w:val="11"/>
              </w:rPr>
            </w:pPr>
          </w:p>
        </w:tc>
        <w:tc>
          <w:tcPr>
            <w:tcW w:w="228" w:type="pct"/>
            <w:tcBorders>
              <w:top w:val="single" w:color="auto" w:sz="4" w:space="0"/>
              <w:left w:val="single" w:color="auto" w:sz="4" w:space="0"/>
              <w:bottom w:val="single" w:color="auto" w:sz="4" w:space="0"/>
              <w:right w:val="single" w:color="auto" w:sz="4" w:space="0"/>
            </w:tcBorders>
          </w:tcPr>
          <w:p>
            <w:pPr>
              <w:rPr>
                <w:sz w:val="11"/>
                <w:szCs w:val="11"/>
              </w:rPr>
            </w:pPr>
          </w:p>
        </w:tc>
        <w:tc>
          <w:tcPr>
            <w:tcW w:w="329" w:type="pct"/>
            <w:tcBorders>
              <w:top w:val="single" w:color="auto" w:sz="4" w:space="0"/>
              <w:left w:val="single" w:color="auto" w:sz="4" w:space="0"/>
              <w:bottom w:val="single" w:color="auto" w:sz="4" w:space="0"/>
              <w:right w:val="single" w:color="auto" w:sz="4" w:space="0"/>
            </w:tcBorders>
          </w:tcPr>
          <w:p>
            <w:pPr>
              <w:rPr>
                <w:sz w:val="11"/>
                <w:szCs w:val="11"/>
              </w:rPr>
            </w:pPr>
          </w:p>
        </w:tc>
        <w:tc>
          <w:tcPr>
            <w:tcW w:w="492" w:type="pct"/>
            <w:tcBorders>
              <w:top w:val="single" w:color="auto" w:sz="4" w:space="0"/>
              <w:left w:val="single" w:color="auto" w:sz="4" w:space="0"/>
              <w:bottom w:val="single" w:color="auto" w:sz="4" w:space="0"/>
              <w:right w:val="single" w:color="auto" w:sz="4" w:space="0"/>
            </w:tcBorders>
          </w:tcPr>
          <w:p>
            <w:pPr>
              <w:rPr>
                <w:sz w:val="11"/>
                <w:szCs w:val="11"/>
              </w:rPr>
            </w:pPr>
          </w:p>
          <w:p>
            <w:pPr>
              <w:rPr>
                <w:sz w:val="11"/>
                <w:szCs w:val="11"/>
              </w:rPr>
            </w:pPr>
          </w:p>
          <w:p>
            <w:pPr>
              <w:rPr>
                <w:sz w:val="11"/>
                <w:szCs w:val="11"/>
              </w:rPr>
            </w:pPr>
          </w:p>
        </w:tc>
        <w:tc>
          <w:tcPr>
            <w:tcW w:w="329" w:type="pct"/>
            <w:tcBorders>
              <w:top w:val="single" w:color="auto" w:sz="4" w:space="0"/>
              <w:left w:val="single" w:color="auto" w:sz="4" w:space="0"/>
              <w:bottom w:val="single" w:color="auto" w:sz="4" w:space="0"/>
              <w:right w:val="single" w:color="auto" w:sz="4" w:space="0"/>
            </w:tcBorders>
          </w:tcPr>
          <w:p>
            <w:pPr>
              <w:rPr>
                <w:sz w:val="11"/>
                <w:szCs w:val="11"/>
              </w:rPr>
            </w:pPr>
          </w:p>
        </w:tc>
        <w:tc>
          <w:tcPr>
            <w:tcW w:w="309" w:type="pct"/>
            <w:tcBorders>
              <w:top w:val="single" w:color="auto" w:sz="4" w:space="0"/>
              <w:left w:val="single" w:color="auto" w:sz="4" w:space="0"/>
              <w:bottom w:val="single" w:color="auto" w:sz="4" w:space="0"/>
              <w:right w:val="single" w:color="auto" w:sz="4" w:space="0"/>
            </w:tcBorders>
          </w:tcPr>
          <w:p>
            <w:pPr>
              <w:rPr>
                <w:sz w:val="11"/>
                <w:szCs w:val="11"/>
              </w:rPr>
            </w:pPr>
          </w:p>
        </w:tc>
        <w:tc>
          <w:tcPr>
            <w:tcW w:w="319" w:type="pct"/>
            <w:tcBorders>
              <w:top w:val="single" w:color="auto" w:sz="4" w:space="0"/>
              <w:left w:val="single" w:color="auto" w:sz="4" w:space="0"/>
              <w:bottom w:val="single" w:color="auto" w:sz="4" w:space="0"/>
              <w:right w:val="single" w:color="auto" w:sz="4" w:space="0"/>
            </w:tcBorders>
          </w:tcPr>
          <w:p>
            <w:pPr>
              <w:rPr>
                <w:sz w:val="11"/>
                <w:szCs w:val="11"/>
              </w:rPr>
            </w:pPr>
          </w:p>
        </w:tc>
        <w:tc>
          <w:tcPr>
            <w:tcW w:w="410" w:type="pct"/>
            <w:tcBorders>
              <w:top w:val="single" w:color="auto" w:sz="4" w:space="0"/>
              <w:left w:val="single" w:color="auto" w:sz="4" w:space="0"/>
              <w:bottom w:val="single" w:color="auto" w:sz="4" w:space="0"/>
              <w:right w:val="single" w:color="auto" w:sz="4" w:space="0"/>
            </w:tcBorders>
          </w:tcPr>
          <w:p>
            <w:pPr>
              <w:rPr>
                <w:sz w:val="11"/>
                <w:szCs w:val="11"/>
              </w:rPr>
            </w:pPr>
          </w:p>
        </w:tc>
        <w:tc>
          <w:tcPr>
            <w:tcW w:w="380" w:type="pct"/>
            <w:tcBorders>
              <w:top w:val="single" w:color="auto" w:sz="4" w:space="0"/>
              <w:left w:val="single" w:color="auto" w:sz="4" w:space="0"/>
              <w:bottom w:val="single" w:color="auto" w:sz="4" w:space="0"/>
              <w:right w:val="single" w:color="auto" w:sz="4" w:space="0"/>
            </w:tcBorders>
          </w:tcPr>
          <w:p>
            <w:pPr>
              <w:rPr>
                <w:sz w:val="11"/>
                <w:szCs w:val="11"/>
              </w:rPr>
            </w:pPr>
          </w:p>
        </w:tc>
        <w:tc>
          <w:tcPr>
            <w:tcW w:w="339" w:type="pct"/>
            <w:tcBorders>
              <w:top w:val="single" w:color="auto" w:sz="4" w:space="0"/>
              <w:left w:val="single" w:color="auto" w:sz="4" w:space="0"/>
              <w:bottom w:val="single" w:color="auto" w:sz="4" w:space="0"/>
              <w:right w:val="single" w:color="auto" w:sz="4" w:space="0"/>
            </w:tcBorders>
          </w:tcPr>
          <w:p>
            <w:pPr>
              <w:rPr>
                <w:sz w:val="11"/>
                <w:szCs w:val="11"/>
              </w:rPr>
            </w:pPr>
          </w:p>
        </w:tc>
        <w:tc>
          <w:tcPr>
            <w:tcW w:w="284" w:type="pct"/>
            <w:tcBorders>
              <w:top w:val="single" w:color="auto" w:sz="4" w:space="0"/>
              <w:left w:val="single" w:color="auto" w:sz="4" w:space="0"/>
              <w:bottom w:val="single" w:color="auto" w:sz="4" w:space="0"/>
              <w:right w:val="single" w:color="auto" w:sz="4" w:space="0"/>
            </w:tcBorders>
          </w:tcPr>
          <w:p>
            <w:pPr>
              <w:rPr>
                <w:sz w:val="11"/>
                <w:szCs w:val="11"/>
              </w:rPr>
            </w:pPr>
          </w:p>
        </w:tc>
        <w:tc>
          <w:tcPr>
            <w:tcW w:w="333" w:type="pct"/>
            <w:tcBorders>
              <w:top w:val="single" w:color="auto" w:sz="4" w:space="0"/>
              <w:left w:val="single" w:color="auto" w:sz="4" w:space="0"/>
              <w:bottom w:val="single" w:color="auto" w:sz="4" w:space="0"/>
              <w:right w:val="single" w:color="auto" w:sz="4" w:space="0"/>
            </w:tcBorders>
          </w:tcPr>
          <w:p>
            <w:pPr>
              <w:rPr>
                <w:sz w:val="11"/>
                <w:szCs w:val="11"/>
              </w:rPr>
            </w:pPr>
          </w:p>
        </w:tc>
        <w:tc>
          <w:tcPr>
            <w:tcW w:w="478" w:type="pct"/>
            <w:tcBorders>
              <w:top w:val="single" w:color="auto" w:sz="4" w:space="0"/>
              <w:left w:val="single" w:color="auto" w:sz="4" w:space="0"/>
              <w:bottom w:val="single" w:color="auto" w:sz="4" w:space="0"/>
              <w:right w:val="single" w:color="auto" w:sz="4" w:space="0"/>
            </w:tcBorders>
          </w:tcPr>
          <w:p>
            <w:pPr>
              <w:rPr>
                <w:sz w:val="11"/>
                <w:szCs w:val="11"/>
              </w:rPr>
            </w:pPr>
          </w:p>
        </w:tc>
        <w:tc>
          <w:tcPr>
            <w:tcW w:w="513" w:type="pct"/>
            <w:tcBorders>
              <w:top w:val="single" w:color="auto" w:sz="4" w:space="0"/>
              <w:left w:val="single" w:color="auto" w:sz="4" w:space="0"/>
              <w:bottom w:val="single" w:color="auto" w:sz="4" w:space="0"/>
              <w:right w:val="single" w:color="auto" w:sz="4" w:space="0"/>
            </w:tcBorders>
          </w:tcPr>
          <w:p>
            <w:pPr>
              <w:rPr>
                <w:sz w:val="11"/>
                <w:szCs w:val="1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 xml:space="preserve"> 28.</w:t>
            </w:r>
            <w:r>
              <w:rPr>
                <w:sz w:val="11"/>
                <w:szCs w:val="11"/>
              </w:rPr>
              <w:t xml:space="preserve"> </w:t>
            </w:r>
            <w:r>
              <w:rPr>
                <w:rFonts w:asciiTheme="majorHAnsi" w:hAnsiTheme="majorHAnsi" w:cstheme="majorHAnsi"/>
                <w:sz w:val="11"/>
                <w:szCs w:val="11"/>
                <w:lang w:eastAsia="ja-JP"/>
              </w:rPr>
              <w:t>NR_redcap</w:t>
            </w:r>
          </w:p>
        </w:tc>
        <w:tc>
          <w:tcPr>
            <w:tcW w:w="22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28-5</w:t>
            </w: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UL 256QAM support for RedCap UE</w:t>
            </w:r>
          </w:p>
        </w:tc>
        <w:tc>
          <w:tcPr>
            <w:tcW w:w="492" w:type="pct"/>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Support of 256QAM for PUSCH for RedCap UE</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2. Support of 256QAM MCS table (Table 5.1.3.1-2 in TS 38.214) for PUSCH for RedCap UE</w:t>
            </w: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28-1</w:t>
            </w:r>
          </w:p>
        </w:tc>
        <w:tc>
          <w:tcPr>
            <w:tcW w:w="30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eastAsia="zh-CN"/>
              </w:rPr>
            </w:pPr>
            <w:r>
              <w:rPr>
                <w:rFonts w:eastAsia="宋体" w:asciiTheme="majorHAnsi" w:hAnsiTheme="majorHAnsi" w:cstheme="majorHAnsi"/>
                <w:sz w:val="11"/>
                <w:szCs w:val="11"/>
                <w:lang w:eastAsia="zh-CN"/>
              </w:rPr>
              <w:t>Yes</w:t>
            </w:r>
          </w:p>
        </w:tc>
        <w:tc>
          <w:tcPr>
            <w:tcW w:w="31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p>
        </w:tc>
        <w:tc>
          <w:tcPr>
            <w:tcW w:w="41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eastAsia="宋体" w:asciiTheme="majorHAnsi" w:hAnsiTheme="majorHAnsi" w:cstheme="majorHAnsi"/>
                <w:sz w:val="11"/>
                <w:szCs w:val="11"/>
                <w:lang w:val="en-US" w:eastAsia="zh-CN"/>
              </w:rPr>
            </w:pPr>
            <w:r>
              <w:rPr>
                <w:rFonts w:eastAsia="宋体" w:asciiTheme="majorHAnsi" w:hAnsiTheme="majorHAnsi" w:cstheme="majorHAnsi"/>
                <w:sz w:val="11"/>
                <w:szCs w:val="11"/>
                <w:lang w:val="en-US" w:eastAsia="zh-CN"/>
              </w:rPr>
              <w:t>Impact on UE complexity and UL link performance at high SNR</w:t>
            </w:r>
          </w:p>
        </w:tc>
        <w:tc>
          <w:tcPr>
            <w:tcW w:w="380"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Per band</w:t>
            </w:r>
          </w:p>
        </w:tc>
        <w:tc>
          <w:tcPr>
            <w:tcW w:w="339"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No</w:t>
            </w:r>
          </w:p>
        </w:tc>
        <w:tc>
          <w:tcPr>
            <w:tcW w:w="284"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No</w:t>
            </w:r>
          </w:p>
        </w:tc>
        <w:tc>
          <w:tcPr>
            <w:tcW w:w="333"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lang w:eastAsia="ja-JP"/>
              </w:rPr>
            </w:pPr>
          </w:p>
        </w:tc>
        <w:tc>
          <w:tcPr>
            <w:tcW w:w="478"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For RedCap UEs, the 256QAM MCS table for PUSCH is only supported if the UE supports 256QAM for PUSCH.</w:t>
            </w:r>
          </w:p>
        </w:tc>
        <w:tc>
          <w:tcPr>
            <w:tcW w:w="513" w:type="pct"/>
            <w:tcBorders>
              <w:top w:val="single" w:color="auto" w:sz="4" w:space="0"/>
              <w:left w:val="single" w:color="auto" w:sz="4" w:space="0"/>
              <w:bottom w:val="single" w:color="auto" w:sz="4" w:space="0"/>
              <w:right w:val="single" w:color="auto" w:sz="4" w:space="0"/>
            </w:tcBorders>
            <w:shd w:val="clear" w:color="auto" w:fill="FFFF00"/>
          </w:tcPr>
          <w:p>
            <w:pPr>
              <w:pStyle w:val="75"/>
              <w:rPr>
                <w:rFonts w:asciiTheme="majorHAnsi" w:hAnsiTheme="majorHAnsi" w:cstheme="majorHAnsi"/>
                <w:sz w:val="11"/>
                <w:szCs w:val="11"/>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bl>
    <w:p>
      <w:pPr>
        <w:bidi w:val="0"/>
        <w:jc w:val="left"/>
        <w:rPr>
          <w:lang w:val="zh-CN"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Gothic">
    <w:panose1 w:val="020B04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4B079"/>
    <w:multiLevelType w:val="singleLevel"/>
    <w:tmpl w:val="AD34B079"/>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5BA4A3D"/>
    <w:multiLevelType w:val="singleLevel"/>
    <w:tmpl w:val="05BA4A3D"/>
    <w:lvl w:ilvl="0" w:tentative="0">
      <w:start w:val="1"/>
      <w:numFmt w:val="bullet"/>
      <w:lvlText w:val="•"/>
      <w:lvlJc w:val="left"/>
      <w:pPr>
        <w:ind w:left="420" w:leftChars="0" w:hanging="420" w:firstLineChars="0"/>
      </w:pPr>
      <w:rPr>
        <w:rFonts w:hint="default" w:ascii="Arial" w:hAnsi="Arial" w:cs="Arial"/>
      </w:rPr>
    </w:lvl>
  </w:abstractNum>
  <w:abstractNum w:abstractNumId="3">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5C5A3C"/>
    <w:multiLevelType w:val="multilevel"/>
    <w:tmpl w:val="2D5C5A3C"/>
    <w:lvl w:ilvl="0" w:tentative="0">
      <w:start w:val="0"/>
      <w:numFmt w:val="bullet"/>
      <w:lvlText w:val="-"/>
      <w:lvlJc w:val="left"/>
      <w:pPr>
        <w:ind w:left="360" w:hanging="360"/>
      </w:pPr>
      <w:rPr>
        <w:rFonts w:hint="default" w:ascii="Times New Roman" w:hAnsi="Times New Roman" w:eastAsia="MS Mincho" w:cs="Times New Roman"/>
      </w:rPr>
    </w:lvl>
    <w:lvl w:ilvl="1" w:tentative="0">
      <w:start w:val="0"/>
      <w:numFmt w:val="bullet"/>
      <w:lvlText w:val="-"/>
      <w:lvlJc w:val="left"/>
      <w:pPr>
        <w:ind w:left="1080" w:hanging="360"/>
      </w:pPr>
      <w:rPr>
        <w:rFonts w:hint="default" w:ascii="Times New Roman" w:hAnsi="Times New Roman" w:eastAsia="MS Mincho"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5E145B7"/>
    <w:multiLevelType w:val="singleLevel"/>
    <w:tmpl w:val="35E145B7"/>
    <w:lvl w:ilvl="0" w:tentative="0">
      <w:start w:val="1"/>
      <w:numFmt w:val="bullet"/>
      <w:lvlText w:val="•"/>
      <w:lvlJc w:val="left"/>
      <w:pPr>
        <w:ind w:left="420" w:leftChars="0" w:hanging="420" w:firstLineChars="0"/>
      </w:pPr>
      <w:rPr>
        <w:rFonts w:hint="default" w:ascii="Arial" w:hAnsi="Arial" w:cs="Arial"/>
      </w:rPr>
    </w:lvl>
  </w:abstractNum>
  <w:abstractNum w:abstractNumId="6">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52B717"/>
    <w:multiLevelType w:val="singleLevel"/>
    <w:tmpl w:val="5C52B717"/>
    <w:lvl w:ilvl="0" w:tentative="0">
      <w:start w:val="1"/>
      <w:numFmt w:val="decimal"/>
      <w:suff w:val="space"/>
      <w:lvlText w:val="[%1]."/>
      <w:lvlJc w:val="left"/>
    </w:lvl>
  </w:abstractNum>
  <w:abstractNum w:abstractNumId="10">
    <w:nsid w:val="71897215"/>
    <w:multiLevelType w:val="multilevel"/>
    <w:tmpl w:val="71897215"/>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
  </w:num>
  <w:num w:numId="3">
    <w:abstractNumId w:val="12"/>
  </w:num>
  <w:num w:numId="4">
    <w:abstractNumId w:val="8"/>
  </w:num>
  <w:num w:numId="5">
    <w:abstractNumId w:val="6"/>
    <w:lvlOverride w:ilvl="0">
      <w:startOverride w:val="1"/>
    </w:lvlOverride>
  </w:num>
  <w:num w:numId="6">
    <w:abstractNumId w:val="7"/>
  </w:num>
  <w:num w:numId="7">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3"/>
  </w:num>
  <w:num w:numId="11">
    <w:abstractNumId w:val="5"/>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B4790"/>
    <w:rsid w:val="02BB41EA"/>
    <w:rsid w:val="04AF36CD"/>
    <w:rsid w:val="05245B99"/>
    <w:rsid w:val="093F2F86"/>
    <w:rsid w:val="0F952D26"/>
    <w:rsid w:val="13F80122"/>
    <w:rsid w:val="1F276CAD"/>
    <w:rsid w:val="21BD18F1"/>
    <w:rsid w:val="25B23E72"/>
    <w:rsid w:val="27B2631F"/>
    <w:rsid w:val="2B5B5919"/>
    <w:rsid w:val="2F045B6C"/>
    <w:rsid w:val="34033C33"/>
    <w:rsid w:val="34B5595F"/>
    <w:rsid w:val="385037F4"/>
    <w:rsid w:val="385D7563"/>
    <w:rsid w:val="3AC2541B"/>
    <w:rsid w:val="3C19060B"/>
    <w:rsid w:val="3D293BFD"/>
    <w:rsid w:val="44297942"/>
    <w:rsid w:val="447E46F5"/>
    <w:rsid w:val="48316ECF"/>
    <w:rsid w:val="4991545C"/>
    <w:rsid w:val="49B57A44"/>
    <w:rsid w:val="4C283C71"/>
    <w:rsid w:val="4EA45AEB"/>
    <w:rsid w:val="51573564"/>
    <w:rsid w:val="525409D0"/>
    <w:rsid w:val="55445EC5"/>
    <w:rsid w:val="5D3C6D21"/>
    <w:rsid w:val="5FF342F4"/>
    <w:rsid w:val="627F6E5D"/>
    <w:rsid w:val="62C85A18"/>
    <w:rsid w:val="639840C8"/>
    <w:rsid w:val="683C1BF6"/>
    <w:rsid w:val="6A5142E6"/>
    <w:rsid w:val="6F6373BD"/>
    <w:rsid w:val="7B6E1F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0</TotalTime>
  <ScaleCrop>false</ScaleCrop>
  <LinksUpToDate>false</LinksUpToDate>
  <CharactersWithSpaces>7131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2021-11-05T08:51:27Z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