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Times New Roman" w:hAnsi="Times New Roman" w:eastAsia="Batang" w:cs="Times New Roman"/>
          <w:b/>
          <w:bCs/>
          <w:lang w:val="en-US" w:eastAsia="zh-CN"/>
        </w:rPr>
      </w:pPr>
      <w:r>
        <w:rPr>
          <w:rFonts w:hint="default" w:ascii="Times New Roman" w:hAnsi="Times New Roman" w:eastAsia="Batang" w:cs="Times New Roman"/>
          <w:b/>
          <w:bCs/>
          <w:lang w:val="en-GB"/>
        </w:rPr>
        <w:t>3GPP TSG RAN WG1 #9</w:t>
      </w:r>
      <w:r>
        <w:rPr>
          <w:rFonts w:hint="default" w:ascii="Times New Roman" w:hAnsi="Times New Roman" w:eastAsia="Batang" w:cs="Times New Roman"/>
          <w:b/>
          <w:bCs/>
          <w:lang w:eastAsia="zh-CN"/>
        </w:rPr>
        <w:t>8</w:t>
      </w:r>
      <w:r>
        <w:rPr>
          <w:rFonts w:hint="default" w:ascii="Times New Roman" w:hAnsi="Times New Roman" w:eastAsia="Batang" w:cs="Times New Roman"/>
          <w:b/>
          <w:bCs/>
          <w:lang w:val="en-GB"/>
        </w:rPr>
        <w:t xml:space="preserve"> </w:t>
      </w:r>
      <w:r>
        <w:rPr>
          <w:rFonts w:hint="default" w:ascii="Times New Roman" w:hAnsi="Times New Roman" w:eastAsia="宋体" w:cs="Times New Roman"/>
          <w:b/>
          <w:bCs/>
          <w:lang w:eastAsia="zh-CN"/>
        </w:rPr>
        <w:t>bis</w:t>
      </w:r>
      <w:r>
        <w:rPr>
          <w:rFonts w:hint="default" w:ascii="Times New Roman" w:hAnsi="Times New Roman" w:eastAsia="Batang" w:cs="Times New Roman"/>
          <w:b/>
          <w:bCs/>
          <w:lang w:val="en-GB"/>
        </w:rPr>
        <w:t xml:space="preserve">                 </w:t>
      </w:r>
      <w:r>
        <w:rPr>
          <w:rFonts w:hint="default" w:ascii="Times New Roman" w:hAnsi="Times New Roman" w:eastAsia="Batang" w:cs="Times New Roman"/>
          <w:b/>
          <w:bCs/>
          <w:lang w:val="en-GB" w:eastAsia="zh-CN"/>
        </w:rPr>
        <w:t xml:space="preserve">                 </w:t>
      </w:r>
      <w:r>
        <w:rPr>
          <w:rFonts w:hint="default" w:ascii="Times New Roman" w:hAnsi="Times New Roman" w:eastAsia="Batang" w:cs="Times New Roman"/>
          <w:b/>
          <w:bCs/>
          <w:lang w:eastAsia="zh-CN"/>
        </w:rPr>
        <w:t xml:space="preserve">                                            </w:t>
      </w:r>
      <w:r>
        <w:rPr>
          <w:rFonts w:hint="default" w:ascii="Times New Roman" w:hAnsi="Times New Roman" w:eastAsia="Batang" w:cs="Times New Roman"/>
          <w:b/>
          <w:bCs/>
          <w:lang w:val="en-GB"/>
        </w:rPr>
        <w:t>R1-</w:t>
      </w:r>
      <w:r>
        <w:rPr>
          <w:rFonts w:hint="default" w:ascii="Times New Roman" w:hAnsi="Times New Roman" w:eastAsia="Batang" w:cs="Times New Roman"/>
          <w:b/>
          <w:bCs/>
          <w:lang w:val="en-GB" w:eastAsia="zh-CN"/>
        </w:rPr>
        <w:t>19</w:t>
      </w:r>
      <w:r>
        <w:rPr>
          <w:rFonts w:hint="eastAsia" w:eastAsia="Batang" w:cs="Times New Roman"/>
          <w:b/>
          <w:bCs/>
          <w:highlight w:val="none"/>
          <w:lang w:val="en-US" w:eastAsia="zh-CN"/>
        </w:rPr>
        <w:t>10166</w:t>
      </w:r>
    </w:p>
    <w:p>
      <w:pPr>
        <w:tabs>
          <w:tab w:val="center" w:pos="4536"/>
          <w:tab w:val="right" w:pos="8280"/>
          <w:tab w:val="right" w:pos="9639"/>
        </w:tabs>
        <w:ind w:right="2"/>
        <w:rPr>
          <w:rFonts w:hint="default" w:ascii="Times New Roman" w:hAnsi="Times New Roman" w:eastAsia="Batang" w:cs="Times New Roman"/>
          <w:b/>
          <w:bCs/>
          <w:lang w:val="en-GB"/>
        </w:rPr>
      </w:pPr>
      <w:r>
        <w:rPr>
          <w:rFonts w:hint="default" w:ascii="Times New Roman" w:hAnsi="Times New Roman" w:eastAsia="宋体" w:cs="Times New Roman"/>
          <w:b/>
          <w:bCs/>
          <w:lang w:eastAsia="zh-CN"/>
        </w:rPr>
        <w:t>Chongqing</w:t>
      </w:r>
      <w:r>
        <w:rPr>
          <w:rFonts w:hint="default" w:ascii="Times New Roman" w:hAnsi="Times New Roman" w:eastAsia="Batang" w:cs="Times New Roman"/>
          <w:b/>
          <w:bCs/>
          <w:lang w:val="en-GB"/>
        </w:rPr>
        <w:t xml:space="preserve">, </w:t>
      </w:r>
      <w:r>
        <w:rPr>
          <w:rFonts w:hint="default" w:ascii="Times New Roman" w:hAnsi="Times New Roman" w:eastAsia="宋体" w:cs="Times New Roman"/>
          <w:b/>
          <w:bCs/>
          <w:lang w:eastAsia="zh-CN"/>
        </w:rPr>
        <w:t>China</w:t>
      </w:r>
      <w:r>
        <w:rPr>
          <w:rFonts w:hint="default" w:ascii="Times New Roman" w:hAnsi="Times New Roman" w:eastAsia="Batang" w:cs="Times New Roman"/>
          <w:b/>
          <w:bCs/>
          <w:lang w:val="en-GB"/>
        </w:rPr>
        <w:t xml:space="preserve">, </w:t>
      </w:r>
      <w:r>
        <w:rPr>
          <w:rFonts w:hint="default" w:ascii="Times New Roman" w:hAnsi="Times New Roman" w:eastAsia="宋体" w:cs="Times New Roman"/>
          <w:b/>
          <w:bCs/>
          <w:lang w:val="en-US" w:eastAsia="zh-CN"/>
        </w:rPr>
        <w:t>O</w:t>
      </w:r>
      <w:r>
        <w:rPr>
          <w:rFonts w:hint="default" w:ascii="Times New Roman" w:hAnsi="Times New Roman" w:eastAsia="宋体" w:cs="Times New Roman"/>
          <w:b/>
          <w:bCs/>
          <w:lang w:eastAsia="zh-CN"/>
        </w:rPr>
        <w:t>ctober 14</w:t>
      </w:r>
      <w:r>
        <w:rPr>
          <w:rFonts w:hint="default" w:ascii="Times New Roman" w:hAnsi="Times New Roman" w:eastAsia="Batang" w:cs="Times New Roman"/>
          <w:b/>
          <w:bCs/>
          <w:lang w:val="en-GB"/>
        </w:rPr>
        <w:t xml:space="preserve">th – </w:t>
      </w:r>
      <w:r>
        <w:rPr>
          <w:rFonts w:hint="default" w:ascii="Times New Roman" w:hAnsi="Times New Roman" w:eastAsia="宋体" w:cs="Times New Roman"/>
          <w:b/>
          <w:bCs/>
          <w:lang w:eastAsia="zh-CN"/>
        </w:rPr>
        <w:t>2</w:t>
      </w:r>
      <w:r>
        <w:rPr>
          <w:rFonts w:hint="default" w:ascii="Times New Roman" w:hAnsi="Times New Roman" w:eastAsia="Batang" w:cs="Times New Roman"/>
          <w:b/>
          <w:bCs/>
          <w:lang w:val="en-GB"/>
        </w:rPr>
        <w:t>0th, 2019</w:t>
      </w:r>
    </w:p>
    <w:p>
      <w:pPr>
        <w:pStyle w:val="16"/>
        <w:tabs>
          <w:tab w:val="left" w:pos="1800"/>
        </w:tabs>
        <w:spacing w:before="156" w:beforeLines="50"/>
        <w:ind w:left="1800" w:hanging="1800"/>
        <w:rPr>
          <w:rFonts w:hint="default" w:ascii="Times New Roman" w:hAnsi="Times New Roman" w:cs="Times New Roman"/>
          <w:sz w:val="22"/>
        </w:rPr>
      </w:pPr>
      <w:r>
        <w:rPr>
          <w:rFonts w:hint="default" w:ascii="Times New Roman" w:hAnsi="Times New Roman" w:cs="Times New Roman"/>
          <w:sz w:val="22"/>
        </w:rPr>
        <w:t>Source:</w:t>
      </w:r>
      <w:r>
        <w:rPr>
          <w:rFonts w:hint="default" w:ascii="Times New Roman" w:hAnsi="Times New Roman" w:cs="Times New Roman"/>
          <w:sz w:val="22"/>
        </w:rPr>
        <w:tab/>
      </w:r>
      <w:r>
        <w:rPr>
          <w:rFonts w:hint="default" w:ascii="Times New Roman" w:hAnsi="Times New Roman" w:cs="Times New Roman"/>
          <w:sz w:val="22"/>
        </w:rPr>
        <w:t>CMCC</w:t>
      </w:r>
    </w:p>
    <w:p>
      <w:pPr>
        <w:pStyle w:val="16"/>
        <w:tabs>
          <w:tab w:val="left" w:pos="1800"/>
        </w:tabs>
        <w:spacing w:before="156" w:beforeLines="50"/>
        <w:rPr>
          <w:rFonts w:hint="default" w:ascii="Times New Roman" w:hAnsi="Times New Roman" w:eastAsia="宋体" w:cs="Times New Roman"/>
          <w:sz w:val="22"/>
          <w:lang w:eastAsia="zh-CN"/>
        </w:rPr>
      </w:pPr>
      <w:r>
        <w:rPr>
          <w:rFonts w:hint="default" w:ascii="Times New Roman" w:hAnsi="Times New Roman" w:cs="Times New Roman"/>
          <w:sz w:val="22"/>
        </w:rPr>
        <w:t>Title:</w:t>
      </w:r>
      <w:r>
        <w:rPr>
          <w:rFonts w:hint="default" w:ascii="Times New Roman" w:hAnsi="Times New Roman" w:cs="Times New Roman"/>
          <w:sz w:val="22"/>
        </w:rPr>
        <w:tab/>
      </w:r>
      <w:r>
        <w:rPr>
          <w:rFonts w:hint="default" w:ascii="Times New Roman" w:hAnsi="Times New Roman" w:cs="Times New Roman"/>
          <w:sz w:val="22"/>
        </w:rPr>
        <w:t>Considerations on HARQ for Non-Terrestrial Networks</w:t>
      </w:r>
    </w:p>
    <w:p>
      <w:pPr>
        <w:pStyle w:val="16"/>
        <w:tabs>
          <w:tab w:val="left" w:pos="1800"/>
        </w:tabs>
        <w:spacing w:before="156" w:beforeLines="50"/>
        <w:ind w:left="1800" w:hanging="1800"/>
        <w:rPr>
          <w:rFonts w:hint="default" w:ascii="Times New Roman" w:hAnsi="Times New Roman" w:eastAsia="宋体" w:cs="Times New Roman"/>
          <w:sz w:val="22"/>
          <w:lang w:eastAsia="zh-CN"/>
        </w:rPr>
      </w:pPr>
      <w:r>
        <w:rPr>
          <w:rFonts w:hint="default" w:ascii="Times New Roman" w:hAnsi="Times New Roman" w:cs="Times New Roman"/>
          <w:sz w:val="22"/>
        </w:rPr>
        <w:t>Agenda Item:</w:t>
      </w:r>
      <w:r>
        <w:rPr>
          <w:rFonts w:hint="default" w:ascii="Times New Roman" w:hAnsi="Times New Roman" w:cs="Times New Roman"/>
          <w:sz w:val="22"/>
        </w:rPr>
        <w:tab/>
      </w:r>
      <w:r>
        <w:rPr>
          <w:rFonts w:hint="default" w:ascii="Times New Roman" w:hAnsi="Times New Roman" w:eastAsia="宋体" w:cs="Times New Roman"/>
          <w:bCs/>
          <w:sz w:val="22"/>
          <w:lang w:eastAsia="zh-CN"/>
        </w:rPr>
        <w:t>7.2.5.4</w:t>
      </w:r>
    </w:p>
    <w:p>
      <w:pPr>
        <w:pStyle w:val="16"/>
        <w:tabs>
          <w:tab w:val="left" w:pos="1800"/>
        </w:tabs>
        <w:spacing w:before="156" w:beforeLines="50"/>
        <w:rPr>
          <w:rFonts w:hint="default" w:ascii="Times New Roman" w:hAnsi="Times New Roman" w:eastAsia="MS Mincho" w:cs="Times New Roman"/>
          <w:bCs/>
          <w:sz w:val="28"/>
          <w:szCs w:val="22"/>
          <w:lang w:eastAsia="ja-JP"/>
        </w:rPr>
      </w:pPr>
      <w:r>
        <w:rPr>
          <w:rFonts w:hint="default" w:ascii="Times New Roman" w:hAnsi="Times New Roman" w:cs="Times New Roman"/>
          <w:sz w:val="22"/>
        </w:rPr>
        <w:t>Document for:</w:t>
      </w:r>
      <w:r>
        <w:rPr>
          <w:rFonts w:hint="default" w:ascii="Times New Roman" w:hAnsi="Times New Roman" w:cs="Times New Roman"/>
          <w:sz w:val="22"/>
        </w:rPr>
        <w:tab/>
      </w:r>
      <w:r>
        <w:rPr>
          <w:rFonts w:hint="default" w:ascii="Times New Roman" w:hAnsi="Times New Roman" w:cs="Times New Roman"/>
          <w:sz w:val="22"/>
        </w:rPr>
        <w:t>Discussion</w:t>
      </w:r>
      <w:r>
        <w:rPr>
          <w:rFonts w:hint="default" w:ascii="Times New Roman" w:hAnsi="Times New Roman" w:eastAsia="宋体" w:cs="Times New Roman"/>
          <w:sz w:val="22"/>
          <w:lang w:eastAsia="zh-CN"/>
        </w:rPr>
        <w:t xml:space="preserve"> and Decision</w:t>
      </w:r>
    </w:p>
    <w:p>
      <w:pPr>
        <w:pStyle w:val="2"/>
        <w:keepLines/>
        <w:numPr>
          <w:ilvl w:val="0"/>
          <w:numId w:val="6"/>
        </w:numPr>
        <w:pBdr>
          <w:top w:val="single" w:color="auto" w:sz="12" w:space="3"/>
        </w:pBdr>
        <w:overflowPunct w:val="0"/>
        <w:autoSpaceDE w:val="0"/>
        <w:autoSpaceDN w:val="0"/>
        <w:adjustRightInd w:val="0"/>
        <w:spacing w:before="156" w:beforeLines="50" w:after="156" w:afterLines="50" w:line="240" w:lineRule="atLeast"/>
        <w:textAlignment w:val="baseline"/>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Introduction</w:t>
      </w:r>
    </w:p>
    <w:p>
      <w:pPr>
        <w:pStyle w:val="4"/>
        <w:spacing w:before="156" w:beforeLines="50" w:after="156" w:afterLines="50" w:line="240" w:lineRule="atLeas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terms of HARQ for NTN</w:t>
      </w:r>
      <w:r>
        <w:rPr>
          <w:rFonts w:hint="default" w:ascii="Times New Roman" w:hAnsi="Times New Roman" w:cs="Times New Roman"/>
          <w:sz w:val="22"/>
          <w:szCs w:val="22"/>
          <w:lang w:val="en-US" w:eastAsia="zh-CN"/>
        </w:rPr>
        <w:t xml:space="preserve"> systems</w:t>
      </w:r>
      <w:r>
        <w:rPr>
          <w:rFonts w:hint="default" w:ascii="Times New Roman" w:hAnsi="Times New Roman" w:cs="Times New Roman"/>
          <w:sz w:val="22"/>
          <w:szCs w:val="22"/>
          <w:lang w:eastAsia="zh-CN"/>
        </w:rPr>
        <w:t>, 3GPP RAN1 #97 meeting made the following agreement[1]:</w:t>
      </w:r>
    </w:p>
    <w:p>
      <w:pPr>
        <w:rPr>
          <w:rFonts w:hint="default" w:ascii="Times New Roman" w:hAnsi="Times New Roman" w:cs="Times New Roman"/>
          <w:sz w:val="22"/>
          <w:szCs w:val="22"/>
        </w:rPr>
      </w:pPr>
      <w:r>
        <w:rPr>
          <w:rFonts w:hint="default" w:ascii="Times New Roman" w:hAnsi="Times New Roman" w:cs="Times New Roman"/>
          <w:sz w:val="22"/>
          <w:szCs w:val="22"/>
          <w:highlight w:val="green"/>
        </w:rPr>
        <w:t>Agreement:</w:t>
      </w:r>
    </w:p>
    <w:p>
      <w:pPr>
        <w:rPr>
          <w:rFonts w:hint="default" w:ascii="Times New Roman" w:hAnsi="Times New Roman" w:cs="Times New Roman"/>
          <w:sz w:val="22"/>
          <w:szCs w:val="22"/>
        </w:rPr>
      </w:pPr>
      <w:r>
        <w:rPr>
          <w:rFonts w:hint="default" w:ascii="Times New Roman" w:hAnsi="Times New Roman" w:cs="Times New Roman"/>
          <w:sz w:val="22"/>
          <w:szCs w:val="22"/>
        </w:rPr>
        <w:t xml:space="preserve">Network disabling of HARQ via RRC configuration should be supported. </w:t>
      </w:r>
    </w:p>
    <w:p>
      <w:pPr>
        <w:numPr>
          <w:ilvl w:val="0"/>
          <w:numId w:val="7"/>
        </w:numPr>
        <w:rPr>
          <w:rFonts w:hint="default" w:ascii="Times New Roman" w:hAnsi="Times New Roman" w:cs="Times New Roman"/>
          <w:sz w:val="22"/>
          <w:szCs w:val="22"/>
        </w:rPr>
      </w:pPr>
      <w:r>
        <w:rPr>
          <w:rFonts w:hint="default" w:ascii="Times New Roman" w:hAnsi="Times New Roman" w:cs="Times New Roman"/>
          <w:sz w:val="22"/>
          <w:szCs w:val="22"/>
        </w:rPr>
        <w:t>FFS: Dynamic disabling of HARQ by gNB.</w:t>
      </w:r>
    </w:p>
    <w:p>
      <w:pPr>
        <w:rPr>
          <w:rFonts w:hint="default" w:ascii="Times New Roman" w:hAnsi="Times New Roman" w:cs="Times New Roman"/>
          <w:sz w:val="22"/>
          <w:szCs w:val="22"/>
        </w:rPr>
      </w:pPr>
    </w:p>
    <w:p>
      <w:pPr>
        <w:rPr>
          <w:rFonts w:hint="default" w:ascii="Times New Roman" w:hAnsi="Times New Roman" w:cs="Times New Roman"/>
          <w:sz w:val="22"/>
          <w:szCs w:val="22"/>
        </w:rPr>
      </w:pPr>
      <w:r>
        <w:rPr>
          <w:rFonts w:hint="default" w:ascii="Times New Roman" w:hAnsi="Times New Roman" w:cs="Times New Roman"/>
          <w:sz w:val="22"/>
          <w:szCs w:val="22"/>
          <w:highlight w:val="green"/>
        </w:rPr>
        <w:t>Agreement:</w:t>
      </w:r>
    </w:p>
    <w:p>
      <w:pPr>
        <w:rPr>
          <w:rFonts w:hint="default" w:ascii="Times New Roman" w:hAnsi="Times New Roman" w:cs="Times New Roman"/>
          <w:sz w:val="22"/>
          <w:szCs w:val="22"/>
        </w:rPr>
      </w:pPr>
      <w:r>
        <w:rPr>
          <w:rFonts w:hint="default" w:ascii="Times New Roman" w:hAnsi="Times New Roman" w:cs="Times New Roman"/>
          <w:sz w:val="22"/>
          <w:szCs w:val="22"/>
        </w:rPr>
        <w:t>Evaluate impact of Satellite RTT when HARQ is enabled and potential solutions if needed</w:t>
      </w:r>
    </w:p>
    <w:p>
      <w:pPr>
        <w:numPr>
          <w:ilvl w:val="0"/>
          <w:numId w:val="7"/>
        </w:numPr>
        <w:rPr>
          <w:rFonts w:hint="default" w:ascii="Times New Roman" w:hAnsi="Times New Roman" w:cs="Times New Roman"/>
          <w:sz w:val="22"/>
          <w:szCs w:val="22"/>
        </w:rPr>
      </w:pPr>
      <w:r>
        <w:rPr>
          <w:rFonts w:hint="default" w:ascii="Times New Roman" w:hAnsi="Times New Roman" w:cs="Times New Roman"/>
          <w:sz w:val="22"/>
          <w:szCs w:val="22"/>
        </w:rPr>
        <w:t>At least the following aspects should be considered if the number of HARQ processes is &gt; 16:</w:t>
      </w:r>
    </w:p>
    <w:p>
      <w:pPr>
        <w:numPr>
          <w:ilvl w:val="1"/>
          <w:numId w:val="7"/>
        </w:numPr>
        <w:rPr>
          <w:rFonts w:hint="default" w:ascii="Times New Roman" w:hAnsi="Times New Roman" w:cs="Times New Roman"/>
          <w:sz w:val="22"/>
          <w:szCs w:val="22"/>
        </w:rPr>
      </w:pPr>
      <w:r>
        <w:rPr>
          <w:rFonts w:hint="default" w:ascii="Times New Roman" w:hAnsi="Times New Roman" w:cs="Times New Roman"/>
          <w:sz w:val="22"/>
          <w:szCs w:val="22"/>
        </w:rPr>
        <w:t>DCI size</w:t>
      </w:r>
    </w:p>
    <w:p>
      <w:pPr>
        <w:numPr>
          <w:ilvl w:val="1"/>
          <w:numId w:val="7"/>
        </w:numPr>
        <w:rPr>
          <w:rFonts w:hint="default" w:ascii="Times New Roman" w:hAnsi="Times New Roman" w:cs="Times New Roman"/>
          <w:sz w:val="22"/>
          <w:szCs w:val="22"/>
        </w:rPr>
      </w:pPr>
      <w:r>
        <w:rPr>
          <w:rFonts w:hint="default" w:ascii="Times New Roman" w:hAnsi="Times New Roman" w:cs="Times New Roman"/>
          <w:sz w:val="22"/>
          <w:szCs w:val="22"/>
        </w:rPr>
        <w:t>HARQ soft buffer size</w:t>
      </w:r>
    </w:p>
    <w:p>
      <w:pPr>
        <w:pStyle w:val="4"/>
        <w:spacing w:before="156" w:beforeLines="50" w:after="156" w:afterLines="50" w:line="240" w:lineRule="atLeas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3GPP RAN1 #98 meeting, the following conclusion is made[2]:</w:t>
      </w:r>
    </w:p>
    <w:p>
      <w:pPr>
        <w:jc w:val="both"/>
        <w:rPr>
          <w:rFonts w:hint="default" w:ascii="Times New Roman" w:hAnsi="Times New Roman" w:cs="Times New Roman"/>
          <w:sz w:val="22"/>
          <w:szCs w:val="22"/>
          <w:u w:val="single"/>
        </w:rPr>
      </w:pPr>
      <w:r>
        <w:rPr>
          <w:rFonts w:hint="default" w:ascii="Times New Roman" w:hAnsi="Times New Roman" w:cs="Times New Roman"/>
          <w:sz w:val="22"/>
          <w:szCs w:val="22"/>
          <w:u w:val="single"/>
        </w:rPr>
        <w:t>Conclusion:</w:t>
      </w:r>
    </w:p>
    <w:p>
      <w:pPr>
        <w:rPr>
          <w:rFonts w:hint="default" w:ascii="Times New Roman" w:hAnsi="Times New Roman" w:cs="Times New Roman"/>
          <w:sz w:val="22"/>
          <w:szCs w:val="22"/>
        </w:rPr>
      </w:pPr>
      <w:r>
        <w:rPr>
          <w:rFonts w:hint="default" w:ascii="Times New Roman" w:hAnsi="Times New Roman" w:cs="Times New Roman"/>
          <w:sz w:val="22"/>
          <w:szCs w:val="22"/>
        </w:rPr>
        <w:t>RAN1 does not need to further discuss dynamic disabling of HARQ by gNB following the RAN2#107 decision stating the following</w:t>
      </w:r>
    </w:p>
    <w:p>
      <w:pPr>
        <w:numPr>
          <w:ilvl w:val="0"/>
          <w:numId w:val="8"/>
        </w:numPr>
        <w:rPr>
          <w:rFonts w:hint="default" w:ascii="Times New Roman" w:hAnsi="Times New Roman" w:cs="Times New Roman"/>
          <w:sz w:val="22"/>
          <w:szCs w:val="22"/>
        </w:rPr>
      </w:pPr>
      <w:bookmarkStart w:id="0" w:name="OLE_LINK8"/>
      <w:r>
        <w:rPr>
          <w:rFonts w:hint="default" w:ascii="Times New Roman" w:hAnsi="Times New Roman" w:cs="Times New Roman"/>
          <w:sz w:val="22"/>
          <w:szCs w:val="22"/>
        </w:rPr>
        <w:t>The enabling / disabling of HARQ feedback should be configurable on a per UE and per HARQ process basis</w:t>
      </w:r>
    </w:p>
    <w:bookmarkEnd w:id="0"/>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we mainly share our considerations on DCI content</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 xml:space="preserve">for HARQ disabled case, and present the potential HARQ enhancement mechanism for </w:t>
      </w:r>
      <w:r>
        <w:rPr>
          <w:rFonts w:hint="default" w:ascii="Times New Roman" w:hAnsi="Times New Roman" w:cs="Times New Roman"/>
          <w:sz w:val="22"/>
          <w:szCs w:val="22"/>
          <w:lang w:val="en-US" w:eastAsia="zh-CN"/>
        </w:rPr>
        <w:t xml:space="preserve">handle the </w:t>
      </w:r>
      <w:r>
        <w:rPr>
          <w:rFonts w:hint="default" w:ascii="Times New Roman" w:hAnsi="Times New Roman" w:cs="Times New Roman"/>
          <w:sz w:val="22"/>
          <w:szCs w:val="22"/>
          <w:lang w:eastAsia="zh-CN"/>
        </w:rPr>
        <w:t>large RTT when HARQ is enabled.</w:t>
      </w:r>
    </w:p>
    <w:p>
      <w:pPr>
        <w:pStyle w:val="2"/>
        <w:keepLines/>
        <w:numPr>
          <w:ilvl w:val="0"/>
          <w:numId w:val="6"/>
        </w:numPr>
        <w:pBdr>
          <w:top w:val="single" w:color="auto" w:sz="12" w:space="3"/>
        </w:pBdr>
        <w:overflowPunct w:val="0"/>
        <w:autoSpaceDE w:val="0"/>
        <w:autoSpaceDN w:val="0"/>
        <w:adjustRightInd w:val="0"/>
        <w:spacing w:before="156" w:beforeLines="50" w:after="156" w:afterLines="50" w:line="240" w:lineRule="atLeast"/>
        <w:jc w:val="both"/>
        <w:textAlignment w:val="baseline"/>
        <w:rPr>
          <w:rFonts w:hint="default" w:ascii="Times New Roman" w:hAnsi="Times New Roman" w:eastAsia="宋体" w:cs="Times New Roman"/>
          <w:szCs w:val="20"/>
          <w:lang w:eastAsia="zh-CN"/>
        </w:rPr>
      </w:pPr>
      <w:bookmarkStart w:id="1" w:name="OLE_LINK21"/>
      <w:bookmarkStart w:id="2" w:name="OLE_LINK20"/>
      <w:bookmarkStart w:id="3" w:name="OLE_LINK13"/>
      <w:bookmarkStart w:id="4" w:name="OLE_LINK14"/>
      <w:r>
        <w:rPr>
          <w:rFonts w:hint="default" w:ascii="Times New Roman" w:hAnsi="Times New Roman" w:eastAsia="宋体" w:cs="Times New Roman"/>
          <w:szCs w:val="20"/>
          <w:lang w:eastAsia="zh-CN"/>
        </w:rPr>
        <w:t xml:space="preserve">Discussion on DCI content when </w:t>
      </w:r>
      <w:bookmarkStart w:id="5" w:name="OLE_LINK19"/>
      <w:bookmarkStart w:id="6" w:name="OLE_LINK18"/>
      <w:r>
        <w:rPr>
          <w:rFonts w:hint="default" w:ascii="Times New Roman" w:hAnsi="Times New Roman" w:eastAsia="宋体" w:cs="Times New Roman"/>
          <w:szCs w:val="20"/>
          <w:lang w:eastAsia="zh-CN"/>
        </w:rPr>
        <w:t xml:space="preserve">HARQ disabled </w:t>
      </w:r>
      <w:bookmarkEnd w:id="1"/>
      <w:bookmarkEnd w:id="2"/>
      <w:bookmarkEnd w:id="5"/>
      <w:bookmarkEnd w:id="6"/>
    </w:p>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If HARQ is disabled, it</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 xml:space="preserve">is nature that some fields are not useful any more. Then, the DCI can be modified by removing some HARQ related fields to reduce the </w:t>
      </w:r>
      <w:r>
        <w:rPr>
          <w:rFonts w:hint="default" w:ascii="Times New Roman" w:hAnsi="Times New Roman" w:cs="Times New Roman"/>
          <w:sz w:val="22"/>
          <w:szCs w:val="22"/>
          <w:lang w:val="en-US" w:eastAsia="zh-CN"/>
        </w:rPr>
        <w:t>DCI size</w:t>
      </w:r>
      <w:r>
        <w:rPr>
          <w:rFonts w:hint="default" w:ascii="Times New Roman" w:hAnsi="Times New Roman" w:cs="Times New Roman"/>
          <w:sz w:val="22"/>
          <w:szCs w:val="22"/>
          <w:lang w:eastAsia="zh-CN"/>
        </w:rPr>
        <w:t xml:space="preserve">. For the objective of analysis, here we consider two cases that HARQ feedback is disabled and only soft </w:t>
      </w:r>
      <w:r>
        <w:rPr>
          <w:rFonts w:hint="default" w:ascii="Times New Roman" w:hAnsi="Times New Roman" w:cs="Times New Roman"/>
          <w:sz w:val="22"/>
          <w:szCs w:val="22"/>
          <w:lang w:val="en-US" w:eastAsia="zh-CN"/>
        </w:rPr>
        <w:t xml:space="preserve">buffer </w:t>
      </w:r>
      <w:r>
        <w:rPr>
          <w:rFonts w:hint="default" w:ascii="Times New Roman" w:hAnsi="Times New Roman" w:cs="Times New Roman"/>
          <w:sz w:val="22"/>
          <w:szCs w:val="22"/>
          <w:lang w:eastAsia="zh-CN"/>
        </w:rPr>
        <w:t xml:space="preserve">combination at the receive side is disabled. For the soft </w:t>
      </w:r>
      <w:r>
        <w:rPr>
          <w:rFonts w:hint="default" w:ascii="Times New Roman" w:hAnsi="Times New Roman" w:cs="Times New Roman"/>
          <w:sz w:val="22"/>
          <w:szCs w:val="22"/>
          <w:lang w:val="en-US" w:eastAsia="zh-CN"/>
        </w:rPr>
        <w:t xml:space="preserve">buffer </w:t>
      </w:r>
      <w:r>
        <w:rPr>
          <w:rFonts w:hint="default" w:ascii="Times New Roman" w:hAnsi="Times New Roman" w:cs="Times New Roman"/>
          <w:sz w:val="22"/>
          <w:szCs w:val="22"/>
          <w:lang w:eastAsia="zh-CN"/>
        </w:rPr>
        <w:t>combination disabled case, the UE still need to feedback the HARQ-ACK codebook, while the gNB would retransmit the failed TB</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lang w:eastAsia="zh-CN"/>
        </w:rPr>
        <w:t xml:space="preserve"> as a new block. It is helpful to reduce the retransmission delay without soft buffer constriction.</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 xml:space="preserve">Here, we focus on the DCI content discussion, and both </w:t>
      </w:r>
      <w:r>
        <w:rPr>
          <w:rFonts w:hint="default" w:ascii="Times New Roman" w:hAnsi="Times New Roman" w:cs="Times New Roman"/>
          <w:sz w:val="22"/>
          <w:szCs w:val="22"/>
          <w:lang w:val="en-US" w:eastAsia="zh-CN"/>
        </w:rPr>
        <w:t xml:space="preserve">above </w:t>
      </w:r>
      <w:r>
        <w:rPr>
          <w:rFonts w:hint="default" w:ascii="Times New Roman" w:hAnsi="Times New Roman" w:cs="Times New Roman"/>
          <w:sz w:val="22"/>
          <w:szCs w:val="22"/>
          <w:lang w:eastAsia="zh-CN"/>
        </w:rPr>
        <w:t xml:space="preserve">cases are considered. </w:t>
      </w:r>
    </w:p>
    <w:p>
      <w:pPr>
        <w:pStyle w:val="4"/>
        <w:spacing w:before="156" w:beforeLines="50" w:after="156" w:afterLines="50" w:line="240" w:lineRule="atLeast"/>
        <w:rPr>
          <w:rFonts w:hint="default" w:ascii="Times New Roman" w:hAnsi="Times New Roman" w:cs="Times New Roman"/>
          <w:b/>
          <w:bCs/>
          <w:sz w:val="22"/>
          <w:szCs w:val="22"/>
          <w:lang w:eastAsia="zh-CN"/>
        </w:rPr>
      </w:pPr>
      <w:r>
        <w:rPr>
          <w:rFonts w:hint="default" w:ascii="Times New Roman" w:hAnsi="Times New Roman" w:cs="Times New Roman"/>
          <w:b/>
          <w:bCs/>
          <w:sz w:val="22"/>
          <w:szCs w:val="22"/>
          <w:lang w:eastAsia="zh-CN"/>
        </w:rPr>
        <w:t xml:space="preserve">Case 1: HARQ disabled without HARQ-ACK feedback and </w:t>
      </w:r>
      <w:r>
        <w:rPr>
          <w:rFonts w:hint="default" w:ascii="Times New Roman" w:hAnsi="Times New Roman" w:cs="Times New Roman"/>
          <w:b/>
          <w:bCs/>
          <w:sz w:val="22"/>
          <w:szCs w:val="22"/>
          <w:lang w:val="en-US" w:eastAsia="zh-CN"/>
        </w:rPr>
        <w:t xml:space="preserve">with </w:t>
      </w:r>
      <w:r>
        <w:rPr>
          <w:rFonts w:hint="default" w:ascii="Times New Roman" w:hAnsi="Times New Roman" w:cs="Times New Roman"/>
          <w:b/>
          <w:bCs/>
          <w:sz w:val="22"/>
          <w:szCs w:val="22"/>
          <w:lang w:eastAsia="zh-CN"/>
        </w:rPr>
        <w:t>soft buffer combination</w:t>
      </w:r>
    </w:p>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val="en-US" w:eastAsia="zh-CN"/>
        </w:rPr>
        <w:t>In this case, a</w:t>
      </w:r>
      <w:r>
        <w:rPr>
          <w:rFonts w:hint="default" w:ascii="Times New Roman" w:hAnsi="Times New Roman" w:cs="Times New Roman"/>
          <w:sz w:val="22"/>
          <w:szCs w:val="22"/>
          <w:lang w:eastAsia="zh-CN"/>
        </w:rPr>
        <w:t>s no HARQ-ACK is needed, thus PUCCH related fields and HARQ-ACK codebook related fields are not needed</w:t>
      </w:r>
      <w:r>
        <w:rPr>
          <w:rFonts w:hint="default" w:ascii="Times New Roman" w:hAnsi="Times New Roman" w:cs="Times New Roman"/>
          <w:sz w:val="22"/>
          <w:szCs w:val="22"/>
          <w:lang w:val="en-US" w:eastAsia="zh-CN"/>
        </w:rPr>
        <w:t xml:space="preserve"> anymore</w:t>
      </w:r>
      <w:r>
        <w:rPr>
          <w:rFonts w:hint="default" w:ascii="Times New Roman" w:hAnsi="Times New Roman" w:cs="Times New Roman"/>
          <w:sz w:val="22"/>
          <w:szCs w:val="22"/>
          <w:lang w:eastAsia="zh-CN"/>
        </w:rPr>
        <w:t xml:space="preserve">. Also, since no soft buffer combination is operated at the receive side, NDI (New data indicator) and RV (Redundancy version) field are useless. </w:t>
      </w:r>
    </w:p>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val="en-US" w:eastAsia="zh-CN"/>
        </w:rPr>
        <w:t>In addition, a</w:t>
      </w:r>
      <w:r>
        <w:rPr>
          <w:rFonts w:hint="default" w:ascii="Times New Roman" w:hAnsi="Times New Roman" w:cs="Times New Roman"/>
          <w:sz w:val="22"/>
          <w:szCs w:val="22"/>
          <w:lang w:eastAsia="zh-CN"/>
        </w:rPr>
        <w:t xml:space="preserve">ccording to the RAN 2 discussion, </w:t>
      </w:r>
      <w:r>
        <w:rPr>
          <w:rFonts w:hint="default" w:ascii="Times New Roman" w:hAnsi="Times New Roman" w:cs="Times New Roman"/>
          <w:sz w:val="22"/>
          <w:szCs w:val="22"/>
        </w:rPr>
        <w:t>the enabling / disabling of HARQ feedback</w:t>
      </w:r>
      <w:r>
        <w:rPr>
          <w:rFonts w:hint="default" w:ascii="Times New Roman" w:hAnsi="Times New Roman" w:cs="Times New Roman"/>
          <w:sz w:val="22"/>
          <w:szCs w:val="22"/>
          <w:lang w:eastAsia="zh-CN"/>
        </w:rPr>
        <w:t xml:space="preserve"> should be configurable on a per UE and per HARQ process basis. </w:t>
      </w:r>
      <w:bookmarkStart w:id="7" w:name="OLE_LINK9"/>
      <w:r>
        <w:rPr>
          <w:rFonts w:hint="default" w:ascii="Times New Roman" w:hAnsi="Times New Roman" w:cs="Times New Roman"/>
          <w:sz w:val="22"/>
          <w:szCs w:val="22"/>
          <w:lang w:eastAsia="zh-CN"/>
        </w:rPr>
        <w:t>Hence, HARQ process number field may be reused for higher layers to indicator the HARQ disable to the UE.</w:t>
      </w:r>
      <w:bookmarkEnd w:id="7"/>
      <w:r>
        <w:rPr>
          <w:rFonts w:hint="default" w:ascii="Times New Roman" w:hAnsi="Times New Roman" w:cs="Times New Roman"/>
          <w:sz w:val="22"/>
          <w:szCs w:val="22"/>
          <w:lang w:eastAsia="zh-CN"/>
        </w:rPr>
        <w:t xml:space="preserve"> However, if the HARQ is disabled by RRC signaling, it needs further study if this filed </w:t>
      </w:r>
      <w:r>
        <w:rPr>
          <w:rFonts w:hint="default" w:ascii="Times New Roman" w:hAnsi="Times New Roman" w:cs="Times New Roman"/>
          <w:sz w:val="22"/>
          <w:szCs w:val="22"/>
          <w:lang w:val="en-US" w:eastAsia="zh-CN"/>
        </w:rPr>
        <w:t xml:space="preserve">should </w:t>
      </w:r>
      <w:r>
        <w:rPr>
          <w:rFonts w:hint="default" w:ascii="Times New Roman" w:hAnsi="Times New Roman" w:cs="Times New Roman"/>
          <w:sz w:val="22"/>
          <w:szCs w:val="22"/>
          <w:lang w:eastAsia="zh-CN"/>
        </w:rPr>
        <w:t>be kept or not.</w:t>
      </w:r>
      <w:r>
        <w:rPr>
          <w:rFonts w:hint="default" w:ascii="Times New Roman" w:hAnsi="Times New Roman" w:cs="Times New Roman"/>
          <w:sz w:val="22"/>
          <w:szCs w:val="22"/>
          <w:lang w:val="en-US" w:eastAsia="zh-CN"/>
        </w:rPr>
        <w:t xml:space="preserve"> As list in table 1, the HARQ related DCI fields can be removed when HARQ disabled.</w:t>
      </w:r>
    </w:p>
    <w:p>
      <w:pPr>
        <w:jc w:val="center"/>
        <w:rPr>
          <w:rFonts w:hint="default" w:ascii="Times New Roman" w:hAnsi="Times New Roman" w:cs="Times New Roman"/>
          <w:b/>
          <w:bCs/>
          <w:sz w:val="22"/>
          <w:szCs w:val="22"/>
          <w:lang w:eastAsia="zh-CN"/>
        </w:rPr>
      </w:pPr>
      <w:r>
        <w:rPr>
          <w:rFonts w:hint="default" w:ascii="Times New Roman" w:hAnsi="Times New Roman" w:cs="Times New Roman"/>
          <w:b/>
          <w:bCs/>
          <w:sz w:val="22"/>
          <w:szCs w:val="22"/>
          <w:lang w:eastAsia="zh-CN"/>
        </w:rPr>
        <w:t xml:space="preserve">Table 1 </w:t>
      </w:r>
      <w:r>
        <w:rPr>
          <w:rFonts w:hint="default"/>
          <w:b/>
          <w:bCs w:val="0"/>
          <w:sz w:val="22"/>
          <w:szCs w:val="22"/>
          <w:lang w:eastAsia="zh-CN"/>
        </w:rPr>
        <w:t xml:space="preserve">DCI fields removed </w:t>
      </w:r>
      <w:r>
        <w:rPr>
          <w:b/>
          <w:bCs w:val="0"/>
          <w:sz w:val="22"/>
          <w:szCs w:val="22"/>
          <w:lang w:eastAsia="zh-CN"/>
        </w:rPr>
        <w:t>when HARQ disabled</w:t>
      </w:r>
    </w:p>
    <w:tbl>
      <w:tblPr>
        <w:tblStyle w:val="22"/>
        <w:tblW w:w="85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5"/>
        <w:gridCol w:w="2130"/>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b/>
                <w:bCs/>
                <w:sz w:val="22"/>
                <w:szCs w:val="22"/>
                <w:lang w:eastAsia="zh-CN"/>
              </w:rPr>
            </w:pPr>
            <w:r>
              <w:rPr>
                <w:rFonts w:hint="default" w:ascii="Times New Roman" w:hAnsi="Times New Roman" w:cs="Times New Roman"/>
                <w:b/>
                <w:bCs/>
                <w:sz w:val="22"/>
                <w:szCs w:val="22"/>
                <w:lang w:eastAsia="zh-CN"/>
              </w:rPr>
              <w:t>HARQ related DCI fields</w:t>
            </w:r>
          </w:p>
        </w:tc>
        <w:tc>
          <w:tcPr>
            <w:tcW w:w="2130" w:type="dxa"/>
            <w:vAlign w:val="center"/>
          </w:tcPr>
          <w:p>
            <w:pPr>
              <w:rPr>
                <w:rFonts w:hint="default" w:ascii="Times New Roman" w:hAnsi="Times New Roman" w:cs="Times New Roman"/>
                <w:b/>
                <w:bCs/>
                <w:sz w:val="22"/>
                <w:szCs w:val="22"/>
                <w:lang w:eastAsia="zh-CN"/>
              </w:rPr>
            </w:pPr>
            <w:r>
              <w:rPr>
                <w:rFonts w:hint="default" w:ascii="Times New Roman" w:hAnsi="Times New Roman" w:cs="Times New Roman"/>
                <w:b/>
                <w:bCs/>
                <w:sz w:val="22"/>
                <w:szCs w:val="22"/>
                <w:lang w:eastAsia="zh-CN"/>
              </w:rPr>
              <w:t>Format 1-0 （bits）</w:t>
            </w:r>
          </w:p>
        </w:tc>
        <w:tc>
          <w:tcPr>
            <w:tcW w:w="2161" w:type="dxa"/>
            <w:vAlign w:val="center"/>
          </w:tcPr>
          <w:p>
            <w:pPr>
              <w:rPr>
                <w:rFonts w:hint="default" w:ascii="Times New Roman" w:hAnsi="Times New Roman" w:cs="Times New Roman"/>
                <w:b/>
                <w:bCs/>
                <w:sz w:val="22"/>
                <w:szCs w:val="22"/>
                <w:lang w:eastAsia="zh-CN"/>
              </w:rPr>
            </w:pPr>
            <w:r>
              <w:rPr>
                <w:rFonts w:hint="default" w:ascii="Times New Roman" w:hAnsi="Times New Roman" w:cs="Times New Roman"/>
                <w:b/>
                <w:bCs/>
                <w:sz w:val="22"/>
                <w:szCs w:val="22"/>
                <w:lang w:eastAsia="zh-CN"/>
              </w:rPr>
              <w:t>Format 1-1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sz w:val="22"/>
                <w:szCs w:val="22"/>
                <w:lang w:eastAsia="zh-CN"/>
              </w:rPr>
            </w:pPr>
            <w:r>
              <w:rPr>
                <w:color w:val="FF0000"/>
                <w:sz w:val="22"/>
                <w:szCs w:val="22"/>
                <w:lang w:eastAsia="zh-CN"/>
              </w:rPr>
              <w:t>[</w:t>
            </w:r>
            <w:r>
              <w:rPr>
                <w:rFonts w:hint="default" w:ascii="Times New Roman" w:hAnsi="Times New Roman" w:cs="Times New Roman"/>
                <w:sz w:val="22"/>
                <w:szCs w:val="22"/>
                <w:lang w:eastAsia="zh-CN"/>
              </w:rPr>
              <w:t>HARQ process number</w:t>
            </w:r>
            <w:r>
              <w:rPr>
                <w:color w:val="FF0000"/>
                <w:sz w:val="22"/>
                <w:szCs w:val="22"/>
                <w:lang w:eastAsia="zh-CN"/>
              </w:rPr>
              <w:t>]</w:t>
            </w:r>
          </w:p>
        </w:tc>
        <w:tc>
          <w:tcPr>
            <w:tcW w:w="2130" w:type="dxa"/>
            <w:vAlign w:val="center"/>
          </w:tcPr>
          <w:p>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4</w:t>
            </w:r>
          </w:p>
        </w:tc>
        <w:tc>
          <w:tcPr>
            <w:tcW w:w="2161" w:type="dxa"/>
            <w:vAlign w:val="center"/>
          </w:tcPr>
          <w:p>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New data indicator</w:t>
            </w:r>
            <w:r>
              <w:rPr>
                <w:rFonts w:hint="default" w:ascii="Times New Roman" w:hAnsi="Times New Roman" w:cs="Times New Roman"/>
                <w:color w:val="000000" w:themeColor="text1"/>
                <w:sz w:val="22"/>
                <w:szCs w:val="22"/>
                <w:lang w:eastAsia="zh-CN"/>
                <w14:textFill>
                  <w14:solidFill>
                    <w14:schemeClr w14:val="tx1"/>
                  </w14:solidFill>
                </w14:textFill>
              </w:rPr>
              <w:t xml:space="preserve"> </w:t>
            </w:r>
            <w:r>
              <w:rPr>
                <w:color w:val="FF0000"/>
                <w:sz w:val="22"/>
                <w:szCs w:val="22"/>
                <w:lang w:eastAsia="zh-CN"/>
              </w:rPr>
              <w:t>(</w:t>
            </w:r>
            <w:r>
              <w:rPr>
                <w:rFonts w:hint="default" w:ascii="Times New Roman" w:hAnsi="Times New Roman" w:cs="Times New Roman"/>
                <w:color w:val="FF0000"/>
                <w:sz w:val="22"/>
                <w:szCs w:val="22"/>
                <w:lang w:eastAsia="zh-CN"/>
              </w:rPr>
              <w:t>NDI</w:t>
            </w:r>
            <w:bookmarkStart w:id="8" w:name="OLE_LINK22"/>
            <w:r>
              <w:rPr>
                <w:rFonts w:hint="default" w:ascii="Times New Roman" w:hAnsi="Times New Roman" w:cs="Times New Roman"/>
                <w:color w:val="FF0000"/>
                <w:sz w:val="22"/>
                <w:szCs w:val="22"/>
                <w:lang w:eastAsia="zh-CN"/>
              </w:rPr>
              <w:t>)</w:t>
            </w:r>
            <w:bookmarkEnd w:id="8"/>
          </w:p>
        </w:tc>
        <w:tc>
          <w:tcPr>
            <w:tcW w:w="2130"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1</w:t>
            </w:r>
          </w:p>
        </w:tc>
        <w:tc>
          <w:tcPr>
            <w:tcW w:w="2161"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Redundancy version</w:t>
            </w:r>
            <w:r>
              <w:rPr>
                <w:rFonts w:hint="default" w:ascii="Times New Roman" w:hAnsi="Times New Roman" w:cs="Times New Roman"/>
                <w:color w:val="000000" w:themeColor="text1"/>
                <w:sz w:val="22"/>
                <w:szCs w:val="22"/>
                <w:lang w:eastAsia="zh-CN"/>
                <w14:textFill>
                  <w14:solidFill>
                    <w14:schemeClr w14:val="tx1"/>
                  </w14:solidFill>
                </w14:textFill>
              </w:rPr>
              <w:t xml:space="preserve"> </w:t>
            </w:r>
            <w:r>
              <w:rPr>
                <w:color w:val="FF0000"/>
                <w:sz w:val="22"/>
                <w:szCs w:val="22"/>
                <w:lang w:eastAsia="zh-CN"/>
              </w:rPr>
              <w:t>(</w:t>
            </w:r>
            <w:r>
              <w:rPr>
                <w:rFonts w:hint="default" w:ascii="Times New Roman" w:hAnsi="Times New Roman" w:cs="Times New Roman"/>
                <w:color w:val="FF0000"/>
                <w:sz w:val="22"/>
                <w:szCs w:val="22"/>
                <w:lang w:eastAsia="zh-CN"/>
              </w:rPr>
              <w:t>RV)</w:t>
            </w:r>
          </w:p>
        </w:tc>
        <w:tc>
          <w:tcPr>
            <w:tcW w:w="2130"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2</w:t>
            </w:r>
          </w:p>
        </w:tc>
        <w:tc>
          <w:tcPr>
            <w:tcW w:w="2161"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Downlink assignment index</w:t>
            </w:r>
            <w:r>
              <w:rPr>
                <w:rFonts w:hint="default" w:ascii="Times New Roman" w:hAnsi="Times New Roman" w:cs="Times New Roman"/>
                <w:color w:val="000000" w:themeColor="text1"/>
                <w:sz w:val="22"/>
                <w:szCs w:val="22"/>
                <w:lang w:eastAsia="zh-CN"/>
                <w14:textFill>
                  <w14:solidFill>
                    <w14:schemeClr w14:val="tx1"/>
                  </w14:solidFill>
                </w14:textFill>
              </w:rPr>
              <w:t xml:space="preserve"> </w:t>
            </w:r>
            <w:r>
              <w:rPr>
                <w:color w:val="FF0000"/>
                <w:sz w:val="22"/>
                <w:szCs w:val="22"/>
                <w:lang w:eastAsia="zh-CN"/>
              </w:rPr>
              <w:t>(</w:t>
            </w:r>
            <w:r>
              <w:rPr>
                <w:rFonts w:hint="default" w:ascii="Times New Roman" w:hAnsi="Times New Roman" w:cs="Times New Roman"/>
                <w:color w:val="FF0000"/>
                <w:sz w:val="22"/>
                <w:szCs w:val="22"/>
                <w:lang w:eastAsia="zh-CN"/>
              </w:rPr>
              <w:t>DAI)</w:t>
            </w:r>
          </w:p>
        </w:tc>
        <w:tc>
          <w:tcPr>
            <w:tcW w:w="2130"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2</w:t>
            </w:r>
          </w:p>
        </w:tc>
        <w:tc>
          <w:tcPr>
            <w:tcW w:w="2161"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TPC command for scheduled PUCCH</w:t>
            </w:r>
          </w:p>
        </w:tc>
        <w:tc>
          <w:tcPr>
            <w:tcW w:w="2130"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2</w:t>
            </w:r>
          </w:p>
        </w:tc>
        <w:tc>
          <w:tcPr>
            <w:tcW w:w="2161"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PUCCH resource indicator</w:t>
            </w:r>
          </w:p>
        </w:tc>
        <w:tc>
          <w:tcPr>
            <w:tcW w:w="2130"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3</w:t>
            </w:r>
          </w:p>
        </w:tc>
        <w:tc>
          <w:tcPr>
            <w:tcW w:w="2161"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PDSCH-to-HARQ feedback timing indicator</w:t>
            </w:r>
          </w:p>
        </w:tc>
        <w:tc>
          <w:tcPr>
            <w:tcW w:w="2130"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3</w:t>
            </w:r>
          </w:p>
        </w:tc>
        <w:tc>
          <w:tcPr>
            <w:tcW w:w="2161"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0,1,2,3</w:t>
            </w:r>
          </w:p>
        </w:tc>
      </w:tr>
    </w:tbl>
    <w:p>
      <w:pPr>
        <w:pStyle w:val="4"/>
        <w:spacing w:before="156" w:beforeLines="50" w:after="156" w:afterLines="50" w:line="240" w:lineRule="atLeast"/>
        <w:rPr>
          <w:rFonts w:hint="default" w:ascii="Times New Roman" w:hAnsi="Times New Roman" w:cs="Times New Roman"/>
          <w:b/>
          <w:bCs/>
          <w:sz w:val="22"/>
          <w:szCs w:val="22"/>
          <w:lang w:eastAsia="zh-CN"/>
        </w:rPr>
      </w:pPr>
      <w:r>
        <w:rPr>
          <w:rFonts w:hint="default" w:ascii="Times New Roman" w:hAnsi="Times New Roman" w:cs="Times New Roman"/>
          <w:b/>
          <w:bCs/>
          <w:sz w:val="22"/>
          <w:szCs w:val="22"/>
          <w:lang w:eastAsia="zh-CN"/>
        </w:rPr>
        <w:t>Case 2: HARQ enabled with HARQ-ACK feedback and without soft buffer combination</w:t>
      </w:r>
    </w:p>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If the network enables the HARQ-feedback and disables the soft </w:t>
      </w:r>
      <w:r>
        <w:rPr>
          <w:rFonts w:hint="default" w:ascii="Times New Roman" w:hAnsi="Times New Roman" w:cs="Times New Roman"/>
          <w:sz w:val="22"/>
          <w:szCs w:val="22"/>
          <w:lang w:val="en-US" w:eastAsia="zh-CN"/>
        </w:rPr>
        <w:t xml:space="preserve">buffer </w:t>
      </w:r>
      <w:r>
        <w:rPr>
          <w:rFonts w:hint="default" w:ascii="Times New Roman" w:hAnsi="Times New Roman" w:cs="Times New Roman"/>
          <w:sz w:val="22"/>
          <w:szCs w:val="22"/>
          <w:lang w:eastAsia="zh-CN"/>
        </w:rPr>
        <w:t xml:space="preserve">combination, the UE should feedback the ACK/NACK to network for DL data transmission. In this case, </w:t>
      </w:r>
      <w:r>
        <w:rPr>
          <w:rFonts w:hint="default" w:ascii="Times New Roman" w:hAnsi="Times New Roman" w:cs="Times New Roman"/>
          <w:sz w:val="22"/>
          <w:szCs w:val="22"/>
          <w:lang w:val="en-US" w:eastAsia="zh-CN"/>
        </w:rPr>
        <w:t xml:space="preserve">as list in table 2, </w:t>
      </w:r>
      <w:r>
        <w:rPr>
          <w:rFonts w:hint="default" w:ascii="Times New Roman" w:hAnsi="Times New Roman" w:cs="Times New Roman"/>
          <w:sz w:val="22"/>
          <w:szCs w:val="22"/>
          <w:lang w:eastAsia="zh-CN"/>
        </w:rPr>
        <w:t xml:space="preserve">PUCCH &amp; HARQ-ACK codebook related fields are still needed, while NDI and RV fields can be removed. </w:t>
      </w:r>
      <w:r>
        <w:rPr>
          <w:rFonts w:hint="default" w:ascii="Times New Roman" w:hAnsi="Times New Roman" w:cs="Times New Roman"/>
          <w:sz w:val="22"/>
          <w:szCs w:val="22"/>
          <w:lang w:val="en-US" w:eastAsia="zh-CN"/>
        </w:rPr>
        <w:t>Furthermore</w:t>
      </w:r>
      <w:r>
        <w:rPr>
          <w:rFonts w:hint="default" w:ascii="Times New Roman" w:hAnsi="Times New Roman" w:cs="Times New Roman"/>
          <w:sz w:val="22"/>
          <w:szCs w:val="22"/>
          <w:lang w:eastAsia="zh-CN"/>
        </w:rPr>
        <w:t>, it needs further study if HARQ process number filed be kept or not.</w:t>
      </w:r>
    </w:p>
    <w:p>
      <w:pPr>
        <w:jc w:val="center"/>
        <w:rPr>
          <w:rFonts w:hint="default" w:ascii="Times New Roman" w:hAnsi="Times New Roman" w:cs="Times New Roman"/>
          <w:b/>
          <w:bCs/>
          <w:sz w:val="22"/>
          <w:szCs w:val="22"/>
          <w:lang w:eastAsia="zh-CN"/>
        </w:rPr>
      </w:pPr>
      <w:r>
        <w:rPr>
          <w:rFonts w:hint="default" w:ascii="Times New Roman" w:hAnsi="Times New Roman" w:cs="Times New Roman"/>
          <w:b/>
          <w:bCs/>
          <w:sz w:val="22"/>
          <w:szCs w:val="22"/>
          <w:lang w:eastAsia="zh-CN"/>
        </w:rPr>
        <w:t xml:space="preserve">Table 2   </w:t>
      </w:r>
      <w:r>
        <w:rPr>
          <w:rFonts w:hint="default"/>
          <w:b/>
          <w:bCs w:val="0"/>
          <w:sz w:val="22"/>
          <w:szCs w:val="22"/>
          <w:lang w:eastAsia="zh-CN"/>
        </w:rPr>
        <w:t>DCI fields removed</w:t>
      </w:r>
      <w:r>
        <w:rPr>
          <w:b/>
          <w:bCs w:val="0"/>
          <w:sz w:val="22"/>
          <w:szCs w:val="22"/>
          <w:lang w:eastAsia="zh-CN"/>
        </w:rPr>
        <w:t xml:space="preserve"> when soft </w:t>
      </w:r>
      <w:r>
        <w:rPr>
          <w:rFonts w:hint="default"/>
          <w:b/>
          <w:bCs w:val="0"/>
          <w:sz w:val="22"/>
          <w:szCs w:val="22"/>
          <w:lang w:val="en-US" w:eastAsia="zh-CN"/>
        </w:rPr>
        <w:t xml:space="preserve">buffer </w:t>
      </w:r>
      <w:r>
        <w:rPr>
          <w:b/>
          <w:bCs w:val="0"/>
          <w:sz w:val="22"/>
          <w:szCs w:val="22"/>
          <w:lang w:eastAsia="zh-CN"/>
        </w:rPr>
        <w:t>combination disabled</w:t>
      </w:r>
    </w:p>
    <w:tbl>
      <w:tblPr>
        <w:tblStyle w:val="22"/>
        <w:tblW w:w="85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5"/>
        <w:gridCol w:w="2130"/>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b/>
                <w:bCs/>
                <w:sz w:val="22"/>
                <w:szCs w:val="22"/>
                <w:lang w:eastAsia="zh-CN"/>
              </w:rPr>
            </w:pPr>
            <w:r>
              <w:rPr>
                <w:rFonts w:hint="default" w:ascii="Times New Roman" w:hAnsi="Times New Roman" w:cs="Times New Roman"/>
                <w:b/>
                <w:bCs/>
                <w:sz w:val="22"/>
                <w:szCs w:val="22"/>
                <w:lang w:eastAsia="zh-CN"/>
              </w:rPr>
              <w:t>HARQ related DCI fields</w:t>
            </w:r>
          </w:p>
        </w:tc>
        <w:tc>
          <w:tcPr>
            <w:tcW w:w="2130" w:type="dxa"/>
            <w:vAlign w:val="center"/>
          </w:tcPr>
          <w:p>
            <w:pPr>
              <w:rPr>
                <w:rFonts w:hint="default" w:ascii="Times New Roman" w:hAnsi="Times New Roman" w:cs="Times New Roman"/>
                <w:b/>
                <w:bCs/>
                <w:sz w:val="22"/>
                <w:szCs w:val="22"/>
                <w:lang w:eastAsia="zh-CN"/>
              </w:rPr>
            </w:pPr>
            <w:r>
              <w:rPr>
                <w:rFonts w:hint="default" w:ascii="Times New Roman" w:hAnsi="Times New Roman" w:cs="Times New Roman"/>
                <w:b/>
                <w:bCs/>
                <w:sz w:val="22"/>
                <w:szCs w:val="22"/>
                <w:lang w:eastAsia="zh-CN"/>
              </w:rPr>
              <w:t>Format 1-0 （bits）</w:t>
            </w:r>
          </w:p>
        </w:tc>
        <w:tc>
          <w:tcPr>
            <w:tcW w:w="2161" w:type="dxa"/>
            <w:vAlign w:val="center"/>
          </w:tcPr>
          <w:p>
            <w:pPr>
              <w:rPr>
                <w:rFonts w:hint="default" w:ascii="Times New Roman" w:hAnsi="Times New Roman" w:cs="Times New Roman"/>
                <w:b/>
                <w:bCs/>
                <w:sz w:val="22"/>
                <w:szCs w:val="22"/>
                <w:lang w:eastAsia="zh-CN"/>
              </w:rPr>
            </w:pPr>
            <w:r>
              <w:rPr>
                <w:rFonts w:hint="default" w:ascii="Times New Roman" w:hAnsi="Times New Roman" w:cs="Times New Roman"/>
                <w:b/>
                <w:bCs/>
                <w:sz w:val="22"/>
                <w:szCs w:val="22"/>
                <w:lang w:eastAsia="zh-CN"/>
              </w:rPr>
              <w:t>Format 1-1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sz w:val="22"/>
                <w:szCs w:val="22"/>
                <w:lang w:eastAsia="zh-CN"/>
              </w:rPr>
            </w:pPr>
            <w:r>
              <w:rPr>
                <w:rFonts w:hint="default" w:ascii="Times New Roman" w:hAnsi="Times New Roman" w:cs="Times New Roman"/>
                <w:color w:val="FF0000"/>
                <w:sz w:val="22"/>
                <w:szCs w:val="22"/>
                <w:lang w:eastAsia="zh-CN"/>
              </w:rPr>
              <w:t>[</w:t>
            </w:r>
            <w:r>
              <w:rPr>
                <w:rFonts w:hint="default" w:ascii="Times New Roman" w:hAnsi="Times New Roman" w:cs="Times New Roman"/>
                <w:sz w:val="22"/>
                <w:szCs w:val="22"/>
                <w:lang w:eastAsia="zh-CN"/>
              </w:rPr>
              <w:t>HARQ process number</w:t>
            </w:r>
            <w:r>
              <w:rPr>
                <w:rFonts w:hint="default" w:ascii="Times New Roman" w:hAnsi="Times New Roman" w:cs="Times New Roman"/>
                <w:color w:val="FF0000"/>
                <w:sz w:val="22"/>
                <w:szCs w:val="22"/>
                <w:lang w:eastAsia="zh-CN"/>
              </w:rPr>
              <w:t>]</w:t>
            </w:r>
          </w:p>
        </w:tc>
        <w:tc>
          <w:tcPr>
            <w:tcW w:w="2130" w:type="dxa"/>
            <w:vAlign w:val="center"/>
          </w:tcPr>
          <w:p>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4</w:t>
            </w:r>
          </w:p>
        </w:tc>
        <w:tc>
          <w:tcPr>
            <w:tcW w:w="2161" w:type="dxa"/>
            <w:vAlign w:val="center"/>
          </w:tcPr>
          <w:p>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New data indicator</w:t>
            </w:r>
            <w:r>
              <w:rPr>
                <w:rFonts w:hint="default" w:ascii="Times New Roman" w:hAnsi="Times New Roman" w:cs="Times New Roman"/>
                <w:color w:val="000000" w:themeColor="text1"/>
                <w:sz w:val="22"/>
                <w:szCs w:val="22"/>
                <w:lang w:eastAsia="zh-CN"/>
                <w14:textFill>
                  <w14:solidFill>
                    <w14:schemeClr w14:val="tx1"/>
                  </w14:solidFill>
                </w14:textFill>
              </w:rPr>
              <w:t xml:space="preserve"> </w:t>
            </w:r>
            <w:r>
              <w:rPr>
                <w:rFonts w:hint="default" w:ascii="Times New Roman" w:hAnsi="Times New Roman" w:cs="Times New Roman"/>
                <w:color w:val="FF0000"/>
                <w:sz w:val="22"/>
                <w:szCs w:val="22"/>
                <w:lang w:eastAsia="zh-CN"/>
              </w:rPr>
              <w:t>(NDI)</w:t>
            </w:r>
          </w:p>
        </w:tc>
        <w:tc>
          <w:tcPr>
            <w:tcW w:w="2130"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1</w:t>
            </w:r>
          </w:p>
        </w:tc>
        <w:tc>
          <w:tcPr>
            <w:tcW w:w="2161"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45"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Redundancy version</w:t>
            </w:r>
            <w:r>
              <w:rPr>
                <w:rFonts w:hint="default" w:ascii="Times New Roman" w:hAnsi="Times New Roman" w:cs="Times New Roman"/>
                <w:color w:val="000000" w:themeColor="text1"/>
                <w:sz w:val="22"/>
                <w:szCs w:val="22"/>
                <w:lang w:eastAsia="zh-CN"/>
                <w14:textFill>
                  <w14:solidFill>
                    <w14:schemeClr w14:val="tx1"/>
                  </w14:solidFill>
                </w14:textFill>
              </w:rPr>
              <w:t xml:space="preserve"> </w:t>
            </w:r>
            <w:r>
              <w:rPr>
                <w:rFonts w:hint="default" w:ascii="Times New Roman" w:hAnsi="Times New Roman" w:cs="Times New Roman"/>
                <w:color w:val="FF0000"/>
                <w:sz w:val="22"/>
                <w:szCs w:val="22"/>
                <w:lang w:eastAsia="zh-CN"/>
              </w:rPr>
              <w:t>(RV)</w:t>
            </w:r>
          </w:p>
        </w:tc>
        <w:tc>
          <w:tcPr>
            <w:tcW w:w="2130"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2</w:t>
            </w:r>
          </w:p>
        </w:tc>
        <w:tc>
          <w:tcPr>
            <w:tcW w:w="2161" w:type="dxa"/>
            <w:vAlign w:val="center"/>
          </w:tcPr>
          <w:p>
            <w:pPr>
              <w:jc w:val="both"/>
              <w:rPr>
                <w:rFonts w:hint="default" w:ascii="Times New Roman" w:hAnsi="Times New Roman" w:cs="Times New Roman"/>
                <w:color w:val="FF0000"/>
                <w:sz w:val="22"/>
                <w:szCs w:val="22"/>
                <w:lang w:eastAsia="zh-CN"/>
              </w:rPr>
            </w:pPr>
            <w:r>
              <w:rPr>
                <w:rFonts w:hint="default" w:ascii="Times New Roman" w:hAnsi="Times New Roman" w:cs="Times New Roman"/>
                <w:color w:val="FF0000"/>
                <w:sz w:val="22"/>
                <w:szCs w:val="22"/>
                <w:lang w:eastAsia="zh-CN"/>
              </w:rPr>
              <w:t>2</w:t>
            </w:r>
          </w:p>
        </w:tc>
      </w:tr>
    </w:tbl>
    <w:p>
      <w:pPr>
        <w:pStyle w:val="4"/>
        <w:spacing w:before="156" w:beforeLines="50" w:after="156" w:afterLines="50" w:line="240" w:lineRule="atLeast"/>
        <w:rPr>
          <w:rFonts w:hint="default" w:ascii="Times New Roman" w:hAnsi="Times New Roman" w:cs="Times New Roman"/>
          <w:i/>
          <w:iCs/>
          <w:sz w:val="22"/>
          <w:szCs w:val="22"/>
          <w:lang w:eastAsia="zh-CN"/>
        </w:rPr>
      </w:pPr>
      <w:bookmarkStart w:id="9" w:name="OLE_LINK16"/>
      <w:r>
        <w:rPr>
          <w:rFonts w:hint="default" w:ascii="Times New Roman" w:hAnsi="Times New Roman" w:cs="Times New Roman"/>
          <w:b/>
          <w:bCs/>
          <w:i/>
          <w:iCs/>
          <w:sz w:val="22"/>
          <w:szCs w:val="22"/>
          <w:lang w:eastAsia="zh-CN"/>
        </w:rPr>
        <w:t>Proposal 1:</w:t>
      </w:r>
      <w:r>
        <w:rPr>
          <w:rFonts w:hint="default" w:ascii="Times New Roman" w:hAnsi="Times New Roman" w:cs="Times New Roman"/>
          <w:i/>
          <w:iCs/>
          <w:sz w:val="22"/>
          <w:szCs w:val="22"/>
          <w:lang w:eastAsia="zh-CN"/>
        </w:rPr>
        <w:t xml:space="preserve"> When HARQ is disabled, </w:t>
      </w:r>
      <w:bookmarkStart w:id="10" w:name="OLE_LINK1"/>
      <w:r>
        <w:rPr>
          <w:rFonts w:hint="default" w:ascii="Times New Roman" w:hAnsi="Times New Roman" w:cs="Times New Roman"/>
          <w:i/>
          <w:iCs/>
          <w:sz w:val="22"/>
          <w:szCs w:val="22"/>
          <w:lang w:eastAsia="zh-CN"/>
        </w:rPr>
        <w:t xml:space="preserve">consider removing or reusing some </w:t>
      </w:r>
      <w:r>
        <w:rPr>
          <w:rFonts w:hint="default" w:ascii="Times New Roman" w:hAnsi="Times New Roman" w:cs="Times New Roman"/>
          <w:i/>
          <w:iCs/>
          <w:sz w:val="22"/>
          <w:szCs w:val="22"/>
          <w:lang w:val="en-US" w:eastAsia="zh-CN"/>
        </w:rPr>
        <w:t xml:space="preserve">HARQ </w:t>
      </w:r>
      <w:r>
        <w:rPr>
          <w:rFonts w:hint="default" w:ascii="Times New Roman" w:hAnsi="Times New Roman" w:cs="Times New Roman"/>
          <w:i/>
          <w:iCs/>
          <w:sz w:val="22"/>
          <w:szCs w:val="22"/>
          <w:lang w:eastAsia="zh-CN"/>
        </w:rPr>
        <w:t xml:space="preserve">related fields in DCI. </w:t>
      </w:r>
      <w:bookmarkEnd w:id="10"/>
    </w:p>
    <w:bookmarkEnd w:id="9"/>
    <w:p>
      <w:pPr>
        <w:pStyle w:val="2"/>
        <w:keepLines/>
        <w:numPr>
          <w:ilvl w:val="0"/>
          <w:numId w:val="6"/>
        </w:numPr>
        <w:pBdr>
          <w:top w:val="single" w:color="auto" w:sz="12" w:space="3"/>
        </w:pBdr>
        <w:overflowPunct w:val="0"/>
        <w:autoSpaceDE w:val="0"/>
        <w:autoSpaceDN w:val="0"/>
        <w:adjustRightInd w:val="0"/>
        <w:spacing w:before="156" w:beforeLines="50" w:after="156" w:afterLines="50" w:line="240" w:lineRule="atLeast"/>
        <w:jc w:val="both"/>
        <w:textAlignment w:val="baseline"/>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The transmission reliability enhance</w:t>
      </w:r>
      <w:r>
        <w:rPr>
          <w:rFonts w:hint="default" w:ascii="Times New Roman" w:hAnsi="Times New Roman" w:eastAsia="宋体" w:cs="Times New Roman"/>
          <w:szCs w:val="20"/>
          <w:lang w:val="en-US" w:eastAsia="zh-CN"/>
        </w:rPr>
        <w:t>ment</w:t>
      </w:r>
      <w:r>
        <w:rPr>
          <w:rFonts w:hint="default" w:ascii="Times New Roman" w:hAnsi="Times New Roman" w:eastAsia="宋体" w:cs="Times New Roman"/>
          <w:szCs w:val="20"/>
          <w:lang w:eastAsia="zh-CN"/>
        </w:rPr>
        <w:t xml:space="preserve"> mechanism </w:t>
      </w:r>
      <w:bookmarkStart w:id="11" w:name="OLE_LINK10"/>
      <w:r>
        <w:rPr>
          <w:rFonts w:hint="default" w:ascii="Times New Roman" w:hAnsi="Times New Roman" w:eastAsia="宋体" w:cs="Times New Roman"/>
          <w:szCs w:val="20"/>
          <w:lang w:eastAsia="zh-CN"/>
        </w:rPr>
        <w:t xml:space="preserve">when HARQ disabled </w:t>
      </w:r>
      <w:bookmarkEnd w:id="11"/>
    </w:p>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It is obvious that, disabling HARQ feedback will increase the residual block error rate because HARQ feedback based re-transmissions are not allowed anymore. In order to guarantee the data transmission reliability some </w:t>
      </w:r>
      <w:r>
        <w:rPr>
          <w:rFonts w:hint="default" w:ascii="Times New Roman" w:hAnsi="Times New Roman" w:cs="Times New Roman"/>
          <w:sz w:val="22"/>
          <w:szCs w:val="22"/>
          <w:lang w:val="en-US" w:eastAsia="zh-CN"/>
        </w:rPr>
        <w:t xml:space="preserve">enhancement </w:t>
      </w:r>
      <w:r>
        <w:rPr>
          <w:rFonts w:hint="default" w:ascii="Times New Roman" w:hAnsi="Times New Roman" w:cs="Times New Roman"/>
          <w:sz w:val="22"/>
          <w:szCs w:val="22"/>
          <w:lang w:eastAsia="zh-CN"/>
        </w:rPr>
        <w:t xml:space="preserve">mechanisms should be considered. </w:t>
      </w:r>
      <w:r>
        <w:rPr>
          <w:rFonts w:hint="default" w:ascii="Times New Roman" w:hAnsi="Times New Roman" w:cs="Times New Roman"/>
          <w:sz w:val="22"/>
          <w:szCs w:val="22"/>
          <w:lang w:val="en-US" w:eastAsia="zh-CN"/>
        </w:rPr>
        <w:t>The potential</w:t>
      </w:r>
      <w:r>
        <w:rPr>
          <w:rFonts w:hint="default" w:ascii="Times New Roman" w:hAnsi="Times New Roman" w:cs="Times New Roman"/>
          <w:sz w:val="22"/>
          <w:szCs w:val="22"/>
          <w:lang w:eastAsia="zh-CN"/>
        </w:rPr>
        <w:t xml:space="preserve"> way is to allow blind multiple transmission of the same TB without waiting for the HARQ feedback. This mechanism can be configured through </w:t>
      </w:r>
      <w:r>
        <w:rPr>
          <w:rFonts w:hint="default" w:ascii="Times New Roman" w:hAnsi="Times New Roman" w:cs="Times New Roman"/>
          <w:sz w:val="22"/>
          <w:szCs w:val="22"/>
          <w:lang w:val="en-US" w:eastAsia="zh-CN"/>
        </w:rPr>
        <w:t xml:space="preserve">the </w:t>
      </w:r>
      <w:r>
        <w:rPr>
          <w:rFonts w:hint="default" w:ascii="Times New Roman" w:hAnsi="Times New Roman" w:cs="Times New Roman"/>
          <w:sz w:val="22"/>
          <w:szCs w:val="22"/>
          <w:lang w:eastAsia="zh-CN"/>
        </w:rPr>
        <w:t>network configuration.</w:t>
      </w:r>
    </w:p>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Note that, in Rel-15, multiple transmission of the same TB can be allowed in </w:t>
      </w:r>
      <w:bookmarkStart w:id="12" w:name="OLE_LINK4"/>
      <w:r>
        <w:rPr>
          <w:rFonts w:hint="default" w:ascii="Times New Roman" w:hAnsi="Times New Roman" w:cs="Times New Roman"/>
          <w:sz w:val="22"/>
          <w:szCs w:val="22"/>
          <w:lang w:eastAsia="zh-CN"/>
        </w:rPr>
        <w:t>consecutive</w:t>
      </w:r>
      <w:bookmarkEnd w:id="12"/>
      <w:r>
        <w:rPr>
          <w:rFonts w:hint="default" w:ascii="Times New Roman" w:hAnsi="Times New Roman" w:cs="Times New Roman"/>
          <w:sz w:val="22"/>
          <w:szCs w:val="22"/>
          <w:lang w:eastAsia="zh-CN"/>
        </w:rPr>
        <w:t xml:space="preserve"> slots only. For NTN, considering the long propagation time, multiple transmissions in in-consecutive slots can be considered. For example, as shown in figure 1, the network can identify the number of repetitions of a TB based on the budget analysis, and select several slot</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lang w:eastAsia="zh-CN"/>
        </w:rPr>
        <w:t xml:space="preserve"> to transmit the repetitive TB. Furthermore, the network can configure the slot interval to inform the multiple in-consecutive slots. Compared with </w:t>
      </w:r>
      <w:r>
        <w:rPr>
          <w:rFonts w:hint="default" w:ascii="Times New Roman" w:hAnsi="Times New Roman" w:cs="Times New Roman"/>
          <w:sz w:val="22"/>
          <w:szCs w:val="22"/>
          <w:lang w:val="en-US" w:eastAsia="zh-CN"/>
        </w:rPr>
        <w:t xml:space="preserve">the </w:t>
      </w:r>
      <w:r>
        <w:rPr>
          <w:rFonts w:hint="default" w:ascii="Times New Roman" w:hAnsi="Times New Roman" w:cs="Times New Roman"/>
          <w:sz w:val="22"/>
          <w:szCs w:val="22"/>
          <w:lang w:eastAsia="zh-CN"/>
        </w:rPr>
        <w:t xml:space="preserve">repetition in consecutive slots, time diversity gain can be obtained, and the power consumption at the receiver can also be reduced as additional detection can be saved if the TB is detected successfully using the first transmission only. </w:t>
      </w:r>
    </w:p>
    <w:p>
      <w:pPr>
        <w:pStyle w:val="4"/>
        <w:spacing w:before="156" w:beforeLines="50" w:after="0" w:afterLines="-2147483648" w:line="240" w:lineRule="atLeast"/>
        <w:jc w:val="center"/>
        <w:rPr>
          <w:rFonts w:hint="default" w:ascii="Times New Roman" w:hAnsi="Times New Roman" w:cs="Times New Roman"/>
          <w:szCs w:val="21"/>
          <w:lang w:eastAsia="zh-CN"/>
        </w:rPr>
      </w:pPr>
      <w:r>
        <w:rPr>
          <w:rFonts w:hint="default" w:ascii="Times New Roman" w:hAnsi="Times New Roman" w:cs="Times New Roman"/>
          <w:szCs w:val="21"/>
          <w:lang w:eastAsia="zh-CN"/>
        </w:rPr>
        <w:object>
          <v:shape id="_x0000_i1025" o:spt="75" type="#_x0000_t75" style="height:119.4pt;width:310.3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pStyle w:val="4"/>
        <w:spacing w:before="156" w:beforeLines="50" w:after="156" w:afterLines="50" w:line="240" w:lineRule="atLeast"/>
        <w:jc w:val="center"/>
        <w:rPr>
          <w:rFonts w:hint="default" w:ascii="Times New Roman" w:hAnsi="Times New Roman" w:cs="Times New Roman"/>
          <w:b/>
          <w:szCs w:val="20"/>
          <w:lang w:eastAsia="zh-CN"/>
        </w:rPr>
      </w:pPr>
      <w:bookmarkStart w:id="13" w:name="OLE_LINK15"/>
      <w:r>
        <w:rPr>
          <w:rFonts w:hint="default" w:ascii="Times New Roman" w:hAnsi="Times New Roman" w:cs="Times New Roman"/>
          <w:b/>
          <w:szCs w:val="20"/>
          <w:lang w:eastAsia="zh-CN"/>
        </w:rPr>
        <w:t>Figure 1</w:t>
      </w:r>
      <w:r>
        <w:rPr>
          <w:rFonts w:hint="default" w:ascii="Times New Roman" w:hAnsi="Times New Roman" w:cs="Times New Roman"/>
          <w:b/>
          <w:szCs w:val="20"/>
          <w:lang w:val="en-US" w:eastAsia="zh-CN"/>
        </w:rPr>
        <w:t>.</w:t>
      </w:r>
      <w:r>
        <w:rPr>
          <w:rFonts w:hint="default" w:ascii="Times New Roman" w:hAnsi="Times New Roman" w:cs="Times New Roman"/>
          <w:b/>
          <w:szCs w:val="20"/>
          <w:lang w:eastAsia="zh-CN"/>
        </w:rPr>
        <w:t xml:space="preserve"> </w:t>
      </w:r>
      <w:r>
        <w:rPr>
          <w:rFonts w:hint="default" w:ascii="Times New Roman" w:hAnsi="Times New Roman" w:cs="Times New Roman"/>
          <w:szCs w:val="20"/>
          <w:lang w:eastAsia="zh-CN"/>
        </w:rPr>
        <w:t>The transmission reliability enhance</w:t>
      </w:r>
      <w:r>
        <w:rPr>
          <w:rFonts w:hint="default" w:ascii="Times New Roman" w:hAnsi="Times New Roman" w:cs="Times New Roman"/>
          <w:szCs w:val="20"/>
          <w:lang w:val="en-US" w:eastAsia="zh-CN"/>
        </w:rPr>
        <w:t>ment</w:t>
      </w:r>
      <w:r>
        <w:rPr>
          <w:rFonts w:hint="default" w:ascii="Times New Roman" w:hAnsi="Times New Roman" w:cs="Times New Roman"/>
          <w:szCs w:val="20"/>
          <w:lang w:eastAsia="zh-CN"/>
        </w:rPr>
        <w:t xml:space="preserve"> mechanism when HARQ disabled</w:t>
      </w:r>
      <w:r>
        <w:rPr>
          <w:rFonts w:hint="default" w:ascii="Times New Roman" w:hAnsi="Times New Roman" w:cs="Times New Roman"/>
          <w:b/>
          <w:szCs w:val="20"/>
          <w:lang w:eastAsia="zh-CN"/>
        </w:rPr>
        <w:t xml:space="preserve"> </w:t>
      </w:r>
    </w:p>
    <w:bookmarkEnd w:id="13"/>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Hence, for the HARQ </w:t>
      </w:r>
      <w:r>
        <w:rPr>
          <w:rFonts w:hint="default" w:ascii="Times New Roman" w:hAnsi="Times New Roman" w:cs="Times New Roman"/>
          <w:sz w:val="22"/>
          <w:szCs w:val="22"/>
          <w:lang w:val="en-US" w:eastAsia="zh-CN"/>
        </w:rPr>
        <w:t xml:space="preserve">transmission reliability </w:t>
      </w:r>
      <w:r>
        <w:rPr>
          <w:rFonts w:hint="default" w:ascii="Times New Roman" w:hAnsi="Times New Roman" w:cs="Times New Roman"/>
          <w:sz w:val="22"/>
          <w:szCs w:val="22"/>
          <w:lang w:eastAsia="zh-CN"/>
        </w:rPr>
        <w:t>enhancement mechanism we have the following proposal</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lang w:eastAsia="zh-CN"/>
        </w:rPr>
        <w:t>:</w:t>
      </w:r>
    </w:p>
    <w:p>
      <w:pPr>
        <w:pStyle w:val="4"/>
        <w:spacing w:before="156" w:beforeLines="50" w:after="156"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b/>
          <w:bCs/>
          <w:i/>
          <w:iCs/>
          <w:sz w:val="22"/>
          <w:szCs w:val="22"/>
          <w:lang w:eastAsia="zh-CN"/>
        </w:rPr>
        <w:t>Proposal 2:</w:t>
      </w:r>
      <w:bookmarkStart w:id="14" w:name="OLE_LINK2"/>
      <w:r>
        <w:rPr>
          <w:rFonts w:hint="default" w:ascii="Times New Roman" w:hAnsi="Times New Roman" w:cs="Times New Roman"/>
          <w:i/>
          <w:iCs/>
          <w:sz w:val="22"/>
          <w:szCs w:val="22"/>
          <w:lang w:eastAsia="zh-CN"/>
        </w:rPr>
        <w:t xml:space="preserve"> The multiple transmissions of same TBs in multiple in-consecutive slots can be considered</w:t>
      </w:r>
      <w:bookmarkEnd w:id="14"/>
      <w:r>
        <w:rPr>
          <w:rFonts w:hint="default" w:ascii="Times New Roman" w:hAnsi="Times New Roman" w:cs="Times New Roman"/>
          <w:i/>
          <w:iCs/>
          <w:sz w:val="22"/>
          <w:szCs w:val="22"/>
          <w:lang w:eastAsia="zh-CN"/>
        </w:rPr>
        <w:t xml:space="preserve"> when HARQ is disabled. And at least the following aspects should be included for the configuration: </w:t>
      </w:r>
    </w:p>
    <w:p>
      <w:pPr>
        <w:pStyle w:val="4"/>
        <w:numPr>
          <w:ilvl w:val="0"/>
          <w:numId w:val="9"/>
        </w:numPr>
        <w:spacing w:before="156" w:beforeLines="50" w:after="156"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i/>
          <w:iCs/>
          <w:sz w:val="22"/>
          <w:szCs w:val="22"/>
          <w:lang w:eastAsia="zh-CN"/>
        </w:rPr>
        <w:t xml:space="preserve">Repetition number </w:t>
      </w:r>
    </w:p>
    <w:p>
      <w:pPr>
        <w:pStyle w:val="4"/>
        <w:numPr>
          <w:ilvl w:val="0"/>
          <w:numId w:val="9"/>
        </w:numPr>
        <w:spacing w:before="156" w:beforeLines="50" w:after="156"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i/>
          <w:iCs/>
          <w:sz w:val="22"/>
          <w:szCs w:val="22"/>
          <w:lang w:eastAsia="zh-CN"/>
        </w:rPr>
        <w:t>The slot interval of repetition slots</w:t>
      </w:r>
      <w:r>
        <w:rPr>
          <w:rFonts w:hint="default" w:ascii="Times New Roman" w:hAnsi="Times New Roman" w:cs="Times New Roman"/>
          <w:i/>
          <w:iCs/>
          <w:sz w:val="22"/>
          <w:szCs w:val="22"/>
          <w:lang w:eastAsia="zh-CN"/>
        </w:rPr>
        <w:tab/>
      </w:r>
    </w:p>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bookmarkStart w:id="15" w:name="OLE_LINK3"/>
      <w:r>
        <w:rPr>
          <w:rFonts w:hint="default" w:ascii="Times New Roman" w:hAnsi="Times New Roman" w:cs="Times New Roman"/>
          <w:sz w:val="22"/>
          <w:szCs w:val="22"/>
          <w:lang w:eastAsia="zh-CN"/>
        </w:rPr>
        <w:t xml:space="preserve">The configuration of this scheme can be signaled via RRC signaling in a semi-static way. </w:t>
      </w:r>
      <w:bookmarkEnd w:id="15"/>
      <w:r>
        <w:rPr>
          <w:rFonts w:hint="default" w:ascii="Times New Roman" w:hAnsi="Times New Roman" w:cs="Times New Roman"/>
          <w:sz w:val="22"/>
          <w:szCs w:val="22"/>
          <w:lang w:eastAsia="zh-CN"/>
        </w:rPr>
        <w:t>Besides, reusing HARQ related fields in DCI to indicate the repetition number and repetition slots can be considered also.</w:t>
      </w:r>
    </w:p>
    <w:p>
      <w:pPr>
        <w:pStyle w:val="2"/>
        <w:keepLines/>
        <w:numPr>
          <w:ilvl w:val="0"/>
          <w:numId w:val="6"/>
        </w:numPr>
        <w:pBdr>
          <w:top w:val="single" w:color="auto" w:sz="12" w:space="3"/>
        </w:pBdr>
        <w:overflowPunct w:val="0"/>
        <w:autoSpaceDE w:val="0"/>
        <w:autoSpaceDN w:val="0"/>
        <w:adjustRightInd w:val="0"/>
        <w:spacing w:before="156" w:beforeLines="50" w:after="156" w:afterLines="50" w:line="240" w:lineRule="atLeast"/>
        <w:jc w:val="both"/>
        <w:textAlignment w:val="baseline"/>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HARQ process number considerations for NTN</w:t>
      </w:r>
    </w:p>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In NR, a 4-bit HARQ process number field in DCI is used to indicate the HARQ process ID, which supports up to 16 HARQ processes. However, for NTN scenario, the number of HARQ processes need to be further extended according to the RTT delay. For example, assuming 15kHz reference subcarrier spacing, the minimum required number of the HARQ processes for GEO and LEO will be 600 and 50, respectively. </w:t>
      </w:r>
      <w:bookmarkStart w:id="16" w:name="OLE_LINK24"/>
      <w:r>
        <w:rPr>
          <w:rFonts w:hint="default" w:ascii="Times New Roman" w:hAnsi="Times New Roman" w:cs="Times New Roman"/>
          <w:sz w:val="22"/>
          <w:szCs w:val="22"/>
          <w:lang w:eastAsia="zh-CN"/>
        </w:rPr>
        <w:t>One direct way is to increase the number of bits for HARQ process number field to indicate the HARQ processes.</w:t>
      </w:r>
      <w:bookmarkEnd w:id="16"/>
    </w:p>
    <w:p>
      <w:pPr>
        <w:pStyle w:val="4"/>
        <w:spacing w:before="156" w:beforeLines="50" w:after="156" w:afterLines="50" w:line="240" w:lineRule="atLeast"/>
        <w:ind w:firstLine="0" w:firstLineChars="0"/>
        <w:rPr>
          <w:rFonts w:hint="default" w:ascii="Times New Roman" w:hAnsi="Times New Roman" w:cs="Times New Roman"/>
          <w:sz w:val="22"/>
          <w:szCs w:val="22"/>
          <w:lang w:val="en-US" w:eastAsia="zh-CN"/>
        </w:rPr>
      </w:pPr>
      <w:r>
        <w:rPr>
          <w:rFonts w:hint="default" w:ascii="Times New Roman" w:hAnsi="Times New Roman" w:cs="Times New Roman"/>
          <w:sz w:val="22"/>
          <w:szCs w:val="22"/>
          <w:lang w:eastAsia="zh-CN"/>
        </w:rPr>
        <w:t xml:space="preserve">In order to reduce the DCI overhead, the size of HARQ process number field can be remained to be 4 </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zh-CN"/>
        </w:rPr>
        <w:t xml:space="preserve">bit. Specifically, </w:t>
      </w:r>
      <w:r>
        <w:rPr>
          <w:rFonts w:hint="default" w:ascii="Times New Roman" w:hAnsi="Times New Roman" w:cs="Times New Roman"/>
          <w:sz w:val="22"/>
          <w:szCs w:val="22"/>
          <w:lang w:val="en-US" w:eastAsia="zh-CN"/>
        </w:rPr>
        <w:t xml:space="preserve">the HARQ process number can be extended and the additional </w:t>
      </w:r>
      <w:r>
        <w:rPr>
          <w:rFonts w:hint="default" w:ascii="Times New Roman" w:hAnsi="Times New Roman" w:cs="Times New Roman"/>
          <w:sz w:val="22"/>
          <w:szCs w:val="22"/>
          <w:lang w:eastAsia="zh-CN"/>
        </w:rPr>
        <w:t>HARQ process ID can be computed based on a function of time domain window index. Illustrated as Fig. 2, a period is configured and total 10 windows are within the period. Each window is configured to be 16 slots, that is, 16 HARQ processes are supported during one wi</w:t>
      </w:r>
      <w:r>
        <w:rPr>
          <w:rFonts w:hint="default" w:ascii="Times New Roman" w:hAnsi="Times New Roman" w:cs="Times New Roman"/>
          <w:sz w:val="22"/>
          <w:szCs w:val="22"/>
          <w:lang w:val="en-US" w:eastAsia="zh-CN"/>
        </w:rPr>
        <w:t>n</w:t>
      </w:r>
      <w:r>
        <w:rPr>
          <w:rFonts w:hint="default" w:ascii="Times New Roman" w:hAnsi="Times New Roman" w:cs="Times New Roman"/>
          <w:sz w:val="22"/>
          <w:szCs w:val="22"/>
          <w:lang w:eastAsia="zh-CN"/>
        </w:rPr>
        <w:t xml:space="preserve">dow. Up to 160 HARQ processes can be supported in a period. Further, each </w:t>
      </w:r>
      <w:bookmarkStart w:id="17" w:name="OLE_LINK17"/>
      <w:r>
        <w:rPr>
          <w:rFonts w:hint="default" w:ascii="Times New Roman" w:hAnsi="Times New Roman" w:cs="Times New Roman"/>
          <w:sz w:val="22"/>
          <w:szCs w:val="22"/>
          <w:lang w:eastAsia="zh-CN"/>
        </w:rPr>
        <w:t>HARQ process ID</w:t>
      </w:r>
      <w:bookmarkEnd w:id="17"/>
      <w:r>
        <w:rPr>
          <w:rFonts w:hint="default" w:ascii="Times New Roman" w:hAnsi="Times New Roman" w:cs="Times New Roman"/>
          <w:sz w:val="22"/>
          <w:szCs w:val="22"/>
          <w:lang w:eastAsia="zh-CN"/>
        </w:rPr>
        <w:t xml:space="preserve"> can be identified through the corresponding window index and the 4</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zh-CN"/>
        </w:rPr>
        <w:t>bit HARQ process number field in DCI. The compu</w:t>
      </w:r>
      <w:r>
        <w:rPr>
          <w:rFonts w:hint="eastAsia" w:ascii="Times New Roman" w:hAnsi="Times New Roman" w:cs="Times New Roman"/>
          <w:sz w:val="22"/>
          <w:szCs w:val="22"/>
          <w:lang w:val="en-US" w:eastAsia="zh-CN"/>
        </w:rPr>
        <w:t>t</w:t>
      </w:r>
      <w:r>
        <w:rPr>
          <w:rFonts w:hint="default" w:ascii="Times New Roman" w:hAnsi="Times New Roman" w:cs="Times New Roman"/>
          <w:sz w:val="22"/>
          <w:szCs w:val="22"/>
          <w:lang w:eastAsia="zh-CN"/>
        </w:rPr>
        <w:t xml:space="preserve">ation function </w:t>
      </w:r>
      <w:r>
        <w:rPr>
          <w:rFonts w:hint="default" w:ascii="Times New Roman" w:hAnsi="Times New Roman" w:cs="Times New Roman"/>
          <w:sz w:val="22"/>
          <w:szCs w:val="22"/>
          <w:lang w:val="en-US" w:eastAsia="zh-CN"/>
        </w:rPr>
        <w:t>can be</w:t>
      </w:r>
      <w:r>
        <w:rPr>
          <w:rFonts w:hint="default" w:ascii="Times New Roman" w:hAnsi="Times New Roman" w:cs="Times New Roman"/>
          <w:sz w:val="22"/>
          <w:szCs w:val="22"/>
          <w:lang w:eastAsia="zh-CN"/>
        </w:rPr>
        <w:t xml:space="preserve"> presented as, </w:t>
      </w:r>
    </w:p>
    <w:p>
      <w:pPr>
        <w:pStyle w:val="4"/>
        <w:spacing w:before="156" w:beforeLines="50" w:after="156" w:afterLines="50" w:line="240" w:lineRule="atLeast"/>
        <w:ind w:firstLine="442" w:firstLineChars="200"/>
        <w:jc w:val="center"/>
        <w:rPr>
          <w:rFonts w:hint="default" w:ascii="Times New Roman" w:hAnsi="Times New Roman" w:cs="Times New Roman"/>
          <w:b/>
          <w:bCs w:val="0"/>
          <w:sz w:val="22"/>
          <w:szCs w:val="22"/>
          <w:lang w:eastAsia="zh-CN"/>
        </w:rPr>
      </w:pPr>
      <w:r>
        <w:rPr>
          <w:rFonts w:hint="default" w:ascii="Times New Roman" w:hAnsi="Times New Roman" w:cs="Times New Roman"/>
          <w:b/>
          <w:bCs w:val="0"/>
          <w:i/>
          <w:iCs/>
          <w:sz w:val="22"/>
          <w:szCs w:val="22"/>
          <w:lang w:eastAsia="zh-CN"/>
        </w:rPr>
        <w:t>HARQ process ID = window index *C+HARQ process number</w:t>
      </w:r>
    </w:p>
    <w:p>
      <w:pPr>
        <w:pStyle w:val="4"/>
        <w:spacing w:before="156" w:beforeLines="50" w:after="156" w:afterLines="50" w:line="240" w:lineRule="atLeast"/>
        <w:ind w:firstLine="0" w:firstLineChars="0"/>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where </w:t>
      </w:r>
      <w:r>
        <w:rPr>
          <w:rFonts w:hint="default" w:ascii="Times New Roman" w:hAnsi="Times New Roman" w:cs="Times New Roman"/>
          <w:b/>
          <w:bCs/>
          <w:i/>
          <w:iCs/>
          <w:sz w:val="22"/>
          <w:szCs w:val="22"/>
          <w:lang w:eastAsia="zh-CN"/>
        </w:rPr>
        <w:t>C</w:t>
      </w:r>
      <w:r>
        <w:rPr>
          <w:rFonts w:hint="default" w:ascii="Times New Roman" w:hAnsi="Times New Roman" w:cs="Times New Roman"/>
          <w:sz w:val="22"/>
          <w:szCs w:val="22"/>
          <w:lang w:eastAsia="zh-CN"/>
        </w:rPr>
        <w:t xml:space="preserve"> refers to the supp</w:t>
      </w:r>
      <w:r>
        <w:rPr>
          <w:rFonts w:hint="default" w:ascii="Times New Roman" w:hAnsi="Times New Roman" w:cs="Times New Roman"/>
          <w:sz w:val="22"/>
          <w:szCs w:val="22"/>
          <w:lang w:val="en-US" w:eastAsia="zh-CN"/>
        </w:rPr>
        <w:t>o</w:t>
      </w:r>
      <w:r>
        <w:rPr>
          <w:rFonts w:hint="default" w:ascii="Times New Roman" w:hAnsi="Times New Roman" w:cs="Times New Roman"/>
          <w:sz w:val="22"/>
          <w:szCs w:val="22"/>
          <w:lang w:eastAsia="zh-CN"/>
        </w:rPr>
        <w:t>rted number of HARQ process</w:t>
      </w:r>
      <w:r>
        <w:rPr>
          <w:rFonts w:hint="default" w:ascii="Times New Roman" w:hAnsi="Times New Roman" w:cs="Times New Roman"/>
          <w:sz w:val="22"/>
          <w:szCs w:val="22"/>
          <w:lang w:val="en-US" w:eastAsia="zh-CN"/>
        </w:rPr>
        <w:t>es</w:t>
      </w:r>
      <w:r>
        <w:rPr>
          <w:rFonts w:hint="default" w:ascii="Times New Roman" w:hAnsi="Times New Roman" w:cs="Times New Roman"/>
          <w:sz w:val="22"/>
          <w:szCs w:val="22"/>
          <w:lang w:eastAsia="zh-CN"/>
        </w:rPr>
        <w:t xml:space="preserve"> for each window, and HARQ process number is the value obtained through HARQ process number filed. Then, the failed TB</w:t>
      </w:r>
      <w:r>
        <w:rPr>
          <w:rFonts w:hint="default" w:ascii="Times New Roman" w:hAnsi="Times New Roman" w:cs="Times New Roman"/>
          <w:sz w:val="22"/>
          <w:szCs w:val="22"/>
          <w:lang w:val="en-US" w:eastAsia="zh-CN"/>
        </w:rPr>
        <w:t>s</w:t>
      </w:r>
      <w:r>
        <w:rPr>
          <w:rFonts w:hint="default" w:ascii="Times New Roman" w:hAnsi="Times New Roman" w:cs="Times New Roman"/>
          <w:sz w:val="22"/>
          <w:szCs w:val="22"/>
          <w:lang w:eastAsia="zh-CN"/>
        </w:rPr>
        <w:t xml:space="preserve"> can be retransmitted as long as the HARQ process ID is kept to </w:t>
      </w:r>
      <w:bookmarkStart w:id="21" w:name="_GoBack"/>
      <w:bookmarkEnd w:id="21"/>
      <w:r>
        <w:rPr>
          <w:rFonts w:hint="default" w:ascii="Times New Roman" w:hAnsi="Times New Roman" w:cs="Times New Roman"/>
          <w:sz w:val="22"/>
          <w:szCs w:val="22"/>
          <w:lang w:eastAsia="zh-CN"/>
        </w:rPr>
        <w:t>be same during the next period.</w:t>
      </w:r>
    </w:p>
    <w:p>
      <w:pPr>
        <w:pStyle w:val="4"/>
        <w:spacing w:before="156" w:beforeLines="50" w:after="156" w:afterLines="50" w:line="240" w:lineRule="atLeast"/>
        <w:jc w:val="center"/>
        <w:rPr>
          <w:rFonts w:hint="default" w:ascii="Times New Roman" w:hAnsi="Times New Roman" w:cs="Times New Roman"/>
        </w:rPr>
      </w:pPr>
      <w:r>
        <w:rPr>
          <w:rFonts w:hint="default" w:ascii="Times New Roman" w:hAnsi="Times New Roman" w:cs="Times New Roman"/>
        </w:rPr>
        <w:object>
          <v:shape id="_x0000_i1026" o:spt="75" type="#_x0000_t75" style="height:82.05pt;width:411.95pt;" o:ole="t" filled="f" o:preferrelative="t" stroked="f" coordsize="21600,21600">
            <v:path/>
            <v:fill on="f" focussize="0,0"/>
            <v:stroke on="f"/>
            <v:imagedata r:id="rId8" o:title=""/>
            <o:lock v:ext="edit" aspectratio="t"/>
            <w10:wrap type="none"/>
            <w10:anchorlock/>
          </v:shape>
          <o:OLEObject Type="Embed" ProgID="Visio.Drawing.11" ShapeID="_x0000_i1026" DrawAspect="Content" ObjectID="_1468075726" r:id="rId7">
            <o:LockedField>false</o:LockedField>
          </o:OLEObject>
        </w:object>
      </w:r>
    </w:p>
    <w:p>
      <w:pPr>
        <w:pStyle w:val="4"/>
        <w:spacing w:before="156" w:beforeLines="50" w:after="156" w:afterLines="50" w:line="240" w:lineRule="atLeast"/>
        <w:jc w:val="center"/>
        <w:rPr>
          <w:rFonts w:hint="default" w:ascii="Times New Roman" w:hAnsi="Times New Roman" w:cs="Times New Roman"/>
          <w:sz w:val="22"/>
          <w:szCs w:val="22"/>
          <w:lang w:eastAsia="zh-CN"/>
        </w:rPr>
      </w:pPr>
      <w:r>
        <w:rPr>
          <w:rFonts w:hint="default" w:ascii="Times New Roman" w:hAnsi="Times New Roman" w:cs="Times New Roman"/>
          <w:b/>
          <w:szCs w:val="20"/>
          <w:lang w:eastAsia="zh-CN"/>
        </w:rPr>
        <w:t>Figure 2</w:t>
      </w:r>
      <w:r>
        <w:rPr>
          <w:rFonts w:hint="default" w:ascii="Times New Roman" w:hAnsi="Times New Roman" w:cs="Times New Roman"/>
          <w:b w:val="0"/>
          <w:szCs w:val="20"/>
          <w:lang w:eastAsia="zh-CN"/>
        </w:rPr>
        <w:t xml:space="preserve"> The HARQ process ID computed based on </w:t>
      </w:r>
      <w:r>
        <w:rPr>
          <w:rFonts w:hint="default" w:ascii="Times New Roman" w:hAnsi="Times New Roman" w:cs="Times New Roman"/>
          <w:szCs w:val="20"/>
          <w:lang w:eastAsia="zh-CN"/>
        </w:rPr>
        <w:t xml:space="preserve">a </w:t>
      </w:r>
      <w:r>
        <w:rPr>
          <w:rFonts w:hint="default" w:ascii="Times New Roman" w:hAnsi="Times New Roman" w:cs="Times New Roman"/>
          <w:szCs w:val="20"/>
          <w:lang w:val="en-US" w:eastAsia="zh-CN"/>
        </w:rPr>
        <w:t xml:space="preserve">time domain </w:t>
      </w:r>
      <w:r>
        <w:rPr>
          <w:rFonts w:hint="default" w:ascii="Times New Roman" w:hAnsi="Times New Roman" w:cs="Times New Roman"/>
          <w:b w:val="0"/>
          <w:szCs w:val="20"/>
          <w:lang w:eastAsia="zh-CN"/>
        </w:rPr>
        <w:t>window index</w:t>
      </w:r>
    </w:p>
    <w:p>
      <w:pPr>
        <w:pStyle w:val="4"/>
        <w:spacing w:before="156" w:beforeLines="50" w:after="156"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b/>
          <w:bCs/>
          <w:i/>
          <w:iCs/>
          <w:sz w:val="22"/>
          <w:szCs w:val="22"/>
          <w:lang w:eastAsia="zh-CN"/>
        </w:rPr>
        <w:t>Proposal 3:</w:t>
      </w:r>
      <w:r>
        <w:rPr>
          <w:rFonts w:hint="default" w:ascii="Times New Roman" w:hAnsi="Times New Roman" w:cs="Times New Roman"/>
          <w:i/>
          <w:iCs/>
          <w:sz w:val="22"/>
          <w:szCs w:val="22"/>
          <w:lang w:eastAsia="zh-CN"/>
        </w:rPr>
        <w:t xml:space="preserve"> </w:t>
      </w:r>
      <w:r>
        <w:rPr>
          <w:rFonts w:hint="default" w:ascii="Times New Roman" w:hAnsi="Times New Roman" w:cs="Times New Roman"/>
          <w:i/>
          <w:iCs/>
          <w:sz w:val="22"/>
          <w:szCs w:val="22"/>
          <w:lang w:val="en-US" w:eastAsia="zh-CN"/>
        </w:rPr>
        <w:t xml:space="preserve">The </w:t>
      </w:r>
      <w:r>
        <w:rPr>
          <w:rFonts w:hint="default" w:ascii="Times New Roman" w:hAnsi="Times New Roman" w:cs="Times New Roman"/>
          <w:i/>
          <w:iCs/>
          <w:sz w:val="22"/>
          <w:szCs w:val="22"/>
          <w:lang w:eastAsia="zh-CN"/>
        </w:rPr>
        <w:t>HARQ process ID can be computed based on a function of time domain window index.</w:t>
      </w:r>
      <w:bookmarkStart w:id="18" w:name="OLE_LINK23"/>
    </w:p>
    <w:p>
      <w:pPr>
        <w:pStyle w:val="2"/>
        <w:keepLines/>
        <w:numPr>
          <w:ilvl w:val="0"/>
          <w:numId w:val="6"/>
        </w:numPr>
        <w:pBdr>
          <w:top w:val="single" w:color="auto" w:sz="12" w:space="2"/>
        </w:pBdr>
        <w:overflowPunct w:val="0"/>
        <w:autoSpaceDE w:val="0"/>
        <w:autoSpaceDN w:val="0"/>
        <w:adjustRightInd w:val="0"/>
        <w:snapToGrid w:val="0"/>
        <w:spacing w:before="156" w:beforeLines="50" w:after="156" w:afterLines="50" w:line="240" w:lineRule="atLeast"/>
        <w:textAlignment w:val="baseline"/>
        <w:rPr>
          <w:rFonts w:hint="default" w:ascii="Times New Roman" w:hAnsi="Times New Roman" w:eastAsia="宋体" w:cs="Times New Roman"/>
          <w:szCs w:val="20"/>
          <w:lang w:eastAsia="zh-CN"/>
        </w:rPr>
      </w:pPr>
      <w:r>
        <w:rPr>
          <w:rFonts w:hint="default" w:ascii="Times New Roman" w:hAnsi="Times New Roman" w:eastAsia="宋体" w:cs="Times New Roman"/>
          <w:szCs w:val="20"/>
          <w:lang w:eastAsia="zh-CN"/>
        </w:rPr>
        <w:t>Conclusion</w:t>
      </w:r>
    </w:p>
    <w:bookmarkEnd w:id="18"/>
    <w:p>
      <w:pPr>
        <w:pStyle w:val="4"/>
        <w:spacing w:before="156" w:beforeLines="50" w:after="156" w:afterLines="50" w:line="240" w:lineRule="atLeas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In this contribution, we have presented some considerations on HARQ for NTN. The following </w:t>
      </w:r>
      <w:bookmarkStart w:id="19" w:name="OLE_LINK5"/>
      <w:r>
        <w:rPr>
          <w:rFonts w:hint="default" w:ascii="Times New Roman" w:hAnsi="Times New Roman" w:cs="Times New Roman"/>
          <w:sz w:val="22"/>
          <w:szCs w:val="22"/>
          <w:lang w:eastAsia="zh-CN"/>
        </w:rPr>
        <w:t>proposal</w:t>
      </w:r>
      <w:r>
        <w:rPr>
          <w:rFonts w:hint="eastAsia" w:ascii="Times New Roman" w:hAnsi="Times New Roman" w:cs="Times New Roman"/>
          <w:sz w:val="22"/>
          <w:szCs w:val="22"/>
          <w:lang w:val="en-US" w:eastAsia="zh-CN"/>
        </w:rPr>
        <w:t>s</w:t>
      </w:r>
      <w:r>
        <w:rPr>
          <w:rFonts w:hint="default" w:ascii="Times New Roman" w:hAnsi="Times New Roman" w:cs="Times New Roman"/>
          <w:sz w:val="22"/>
          <w:szCs w:val="22"/>
          <w:lang w:eastAsia="zh-CN"/>
        </w:rPr>
        <w:t xml:space="preserve"> </w:t>
      </w:r>
      <w:bookmarkEnd w:id="19"/>
      <w:r>
        <w:rPr>
          <w:rFonts w:hint="eastAsia" w:ascii="Times New Roman" w:hAnsi="Times New Roman" w:cs="Times New Roman"/>
          <w:sz w:val="22"/>
          <w:szCs w:val="22"/>
          <w:lang w:val="en-US" w:eastAsia="zh-CN"/>
        </w:rPr>
        <w:t>are</w:t>
      </w:r>
      <w:r>
        <w:rPr>
          <w:rFonts w:hint="default" w:ascii="Times New Roman" w:hAnsi="Times New Roman" w:cs="Times New Roman"/>
          <w:sz w:val="22"/>
          <w:szCs w:val="22"/>
          <w:lang w:eastAsia="zh-CN"/>
        </w:rPr>
        <w:t xml:space="preserve"> given:</w:t>
      </w:r>
    </w:p>
    <w:p>
      <w:pPr>
        <w:pStyle w:val="4"/>
        <w:spacing w:before="156" w:beforeLines="50" w:after="156"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b/>
          <w:bCs/>
          <w:i/>
          <w:iCs/>
          <w:sz w:val="22"/>
          <w:szCs w:val="22"/>
          <w:lang w:eastAsia="zh-CN"/>
        </w:rPr>
        <w:t>Proposal 1:</w:t>
      </w:r>
      <w:r>
        <w:rPr>
          <w:rFonts w:hint="default" w:ascii="Times New Roman" w:hAnsi="Times New Roman" w:cs="Times New Roman"/>
          <w:i/>
          <w:iCs/>
          <w:sz w:val="22"/>
          <w:szCs w:val="22"/>
          <w:lang w:eastAsia="zh-CN"/>
        </w:rPr>
        <w:t xml:space="preserve"> When HARQ is disabled, consider removing or reusing some </w:t>
      </w:r>
      <w:r>
        <w:rPr>
          <w:rFonts w:hint="default" w:ascii="Times New Roman" w:hAnsi="Times New Roman" w:cs="Times New Roman"/>
          <w:i/>
          <w:iCs/>
          <w:sz w:val="22"/>
          <w:szCs w:val="22"/>
          <w:lang w:val="en-US" w:eastAsia="zh-CN"/>
        </w:rPr>
        <w:t xml:space="preserve">HARQ </w:t>
      </w:r>
      <w:r>
        <w:rPr>
          <w:rFonts w:hint="default" w:ascii="Times New Roman" w:hAnsi="Times New Roman" w:cs="Times New Roman"/>
          <w:i/>
          <w:iCs/>
          <w:sz w:val="22"/>
          <w:szCs w:val="22"/>
          <w:lang w:eastAsia="zh-CN"/>
        </w:rPr>
        <w:t>related fields in DCI.</w:t>
      </w:r>
    </w:p>
    <w:p>
      <w:pPr>
        <w:pStyle w:val="4"/>
        <w:spacing w:before="156" w:beforeLines="50" w:after="156"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b/>
          <w:bCs/>
          <w:i/>
          <w:iCs/>
          <w:sz w:val="22"/>
          <w:szCs w:val="22"/>
          <w:lang w:eastAsia="zh-CN"/>
        </w:rPr>
        <w:t>Proposal 2:</w:t>
      </w:r>
      <w:r>
        <w:rPr>
          <w:rFonts w:hint="default" w:ascii="Times New Roman" w:hAnsi="Times New Roman" w:cs="Times New Roman"/>
          <w:i/>
          <w:iCs/>
          <w:sz w:val="22"/>
          <w:szCs w:val="22"/>
          <w:lang w:eastAsia="zh-CN"/>
        </w:rPr>
        <w:t xml:space="preserve"> </w:t>
      </w:r>
      <w:bookmarkStart w:id="20" w:name="OLE_LINK6"/>
      <w:r>
        <w:rPr>
          <w:rFonts w:hint="default" w:ascii="Times New Roman" w:hAnsi="Times New Roman" w:cs="Times New Roman"/>
          <w:i/>
          <w:iCs/>
          <w:sz w:val="22"/>
          <w:szCs w:val="22"/>
          <w:lang w:eastAsia="zh-CN"/>
        </w:rPr>
        <w:t xml:space="preserve">The multiple transmissions of same TBs in multiple in-consecutive slots can be considered when HARQ is disabled. And at least the following aspects should be included for the configuration: </w:t>
      </w:r>
    </w:p>
    <w:p>
      <w:pPr>
        <w:pStyle w:val="4"/>
        <w:numPr>
          <w:ilvl w:val="0"/>
          <w:numId w:val="9"/>
        </w:numPr>
        <w:spacing w:before="156" w:beforeLines="50" w:after="156"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i/>
          <w:iCs/>
          <w:sz w:val="22"/>
          <w:szCs w:val="22"/>
          <w:lang w:eastAsia="zh-CN"/>
        </w:rPr>
        <w:t xml:space="preserve">Repetition number </w:t>
      </w:r>
    </w:p>
    <w:p>
      <w:pPr>
        <w:pStyle w:val="4"/>
        <w:numPr>
          <w:ilvl w:val="0"/>
          <w:numId w:val="9"/>
        </w:numPr>
        <w:spacing w:before="156" w:beforeLines="50" w:after="156"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i/>
          <w:iCs/>
          <w:sz w:val="22"/>
          <w:szCs w:val="22"/>
          <w:lang w:eastAsia="zh-CN"/>
        </w:rPr>
        <w:t>The slot interval of repetition slots</w:t>
      </w:r>
      <w:bookmarkEnd w:id="20"/>
      <w:r>
        <w:rPr>
          <w:rFonts w:hint="default" w:ascii="Times New Roman" w:hAnsi="Times New Roman" w:cs="Times New Roman"/>
          <w:i/>
          <w:iCs/>
          <w:sz w:val="22"/>
          <w:szCs w:val="22"/>
          <w:lang w:eastAsia="zh-CN"/>
        </w:rPr>
        <w:tab/>
      </w:r>
    </w:p>
    <w:p>
      <w:pPr>
        <w:pStyle w:val="4"/>
        <w:spacing w:before="156" w:beforeLines="50" w:after="156" w:afterLines="50" w:line="240" w:lineRule="atLeast"/>
        <w:rPr>
          <w:rFonts w:hint="default" w:ascii="Times New Roman" w:hAnsi="Times New Roman" w:cs="Times New Roman"/>
          <w:i/>
          <w:iCs/>
          <w:sz w:val="22"/>
          <w:szCs w:val="22"/>
          <w:lang w:eastAsia="zh-CN"/>
        </w:rPr>
      </w:pPr>
      <w:r>
        <w:rPr>
          <w:rFonts w:hint="default" w:ascii="Times New Roman" w:hAnsi="Times New Roman" w:cs="Times New Roman"/>
          <w:b/>
          <w:bCs/>
          <w:i/>
          <w:iCs/>
          <w:sz w:val="22"/>
          <w:szCs w:val="22"/>
          <w:lang w:eastAsia="zh-CN"/>
        </w:rPr>
        <w:t>Proposal 3:</w:t>
      </w:r>
      <w:r>
        <w:rPr>
          <w:rFonts w:hint="default" w:ascii="Times New Roman" w:hAnsi="Times New Roman" w:cs="Times New Roman"/>
          <w:i/>
          <w:iCs/>
          <w:sz w:val="22"/>
          <w:szCs w:val="22"/>
          <w:lang w:eastAsia="zh-CN"/>
        </w:rPr>
        <w:t xml:space="preserve"> </w:t>
      </w:r>
      <w:r>
        <w:rPr>
          <w:rFonts w:hint="default" w:ascii="Times New Roman" w:hAnsi="Times New Roman" w:cs="Times New Roman"/>
          <w:i/>
          <w:iCs/>
          <w:sz w:val="22"/>
          <w:szCs w:val="22"/>
          <w:lang w:val="en-US" w:eastAsia="zh-CN"/>
        </w:rPr>
        <w:t xml:space="preserve">The </w:t>
      </w:r>
      <w:r>
        <w:rPr>
          <w:rFonts w:hint="default" w:ascii="Times New Roman" w:hAnsi="Times New Roman" w:cs="Times New Roman"/>
          <w:i/>
          <w:iCs/>
          <w:sz w:val="22"/>
          <w:szCs w:val="22"/>
          <w:lang w:eastAsia="zh-CN"/>
        </w:rPr>
        <w:t>HARQ process ID can be computed based on a function of time domain window index.</w:t>
      </w:r>
    </w:p>
    <w:p>
      <w:pPr>
        <w:pStyle w:val="2"/>
        <w:keepLines/>
        <w:numPr>
          <w:ilvl w:val="0"/>
          <w:numId w:val="0"/>
        </w:numPr>
        <w:pBdr>
          <w:top w:val="single" w:color="auto" w:sz="12" w:space="3"/>
        </w:pBdr>
        <w:overflowPunct w:val="0"/>
        <w:autoSpaceDE w:val="0"/>
        <w:autoSpaceDN w:val="0"/>
        <w:adjustRightInd w:val="0"/>
        <w:spacing w:before="156" w:beforeLines="50" w:after="156" w:afterLines="50" w:line="240" w:lineRule="atLeast"/>
        <w:textAlignment w:val="baseline"/>
        <w:rPr>
          <w:rFonts w:hint="default" w:ascii="Times New Roman" w:hAnsi="Times New Roman" w:cs="Times New Roman"/>
          <w:i/>
          <w:iCs/>
          <w:sz w:val="22"/>
          <w:szCs w:val="22"/>
          <w:lang w:eastAsia="zh-CN"/>
        </w:rPr>
      </w:pPr>
      <w:r>
        <w:rPr>
          <w:rFonts w:hint="default" w:ascii="Times New Roman" w:hAnsi="Times New Roman" w:eastAsia="宋体" w:cs="Times New Roman"/>
          <w:szCs w:val="20"/>
          <w:lang w:val="fr-FR" w:eastAsia="zh-CN"/>
        </w:rPr>
        <w:t>References</w:t>
      </w:r>
    </w:p>
    <w:bookmarkEnd w:id="3"/>
    <w:bookmarkEnd w:id="4"/>
    <w:p>
      <w:pPr>
        <w:pStyle w:val="4"/>
        <w:numPr>
          <w:ilvl w:val="0"/>
          <w:numId w:val="10"/>
        </w:numPr>
        <w:spacing w:before="156" w:beforeLines="50" w:after="156" w:afterLines="50" w:line="240" w:lineRule="atLeast"/>
        <w:jc w:val="left"/>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3GPP Final_Minutes_report_RAN1#97_v100.</w:t>
      </w:r>
    </w:p>
    <w:p>
      <w:pPr>
        <w:pStyle w:val="4"/>
        <w:numPr>
          <w:ilvl w:val="0"/>
          <w:numId w:val="10"/>
        </w:numPr>
        <w:spacing w:before="156" w:beforeLines="50" w:after="156" w:afterLines="50" w:line="240" w:lineRule="atLeast"/>
        <w:jc w:val="left"/>
        <w:rPr>
          <w:rFonts w:hint="default" w:ascii="Times New Roman" w:hAnsi="Times New Roman" w:cs="Times New Roman"/>
          <w:lang w:eastAsia="zh-CN"/>
        </w:rPr>
      </w:pPr>
      <w:r>
        <w:rPr>
          <w:rFonts w:hint="default" w:ascii="Times New Roman" w:hAnsi="Times New Roman" w:cs="Times New Roman"/>
          <w:sz w:val="22"/>
          <w:szCs w:val="22"/>
          <w:lang w:eastAsia="zh-CN"/>
        </w:rPr>
        <w:t>3GPP Final_Minutes_report_RAN1#98_v100.</w:t>
      </w:r>
    </w:p>
    <w:sectPr>
      <w:footerReference r:id="rId3" w:type="default"/>
      <w:pgSz w:w="11909" w:h="16834"/>
      <w:pgMar w:top="1440" w:right="1440" w:bottom="1440" w:left="144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Times">
    <w:altName w:val="Basemic Times"/>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Basemic Times">
    <w:panose1 w:val="00000400000000000000"/>
    <w:charset w:val="00"/>
    <w:family w:val="auto"/>
    <w:pitch w:val="default"/>
    <w:sig w:usb0="00000003" w:usb1="00000000" w:usb2="00000000" w:usb3="00000000" w:csb0="00000001" w:csb1="DFD74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rStyle w:val="32"/>
      </w:rPr>
      <w:fldChar w:fldCharType="begin"/>
    </w:r>
    <w:r>
      <w:rPr>
        <w:rStyle w:val="32"/>
      </w:rPr>
      <w:instrText xml:space="preserve"> PAGE </w:instrText>
    </w:r>
    <w:r>
      <w:rPr>
        <w:rStyle w:val="32"/>
      </w:rPr>
      <w:fldChar w:fldCharType="separate"/>
    </w:r>
    <w:r>
      <w:rPr>
        <w:rStyle w:val="32"/>
      </w:rPr>
      <w:t>1</w:t>
    </w:r>
    <w:r>
      <w:rPr>
        <w:rStyle w:val="32"/>
      </w:rPr>
      <w:fldChar w:fldCharType="end"/>
    </w:r>
    <w:r>
      <w:rPr>
        <w:rStyle w:val="32"/>
        <w:rFonts w:hint="eastAsia" w:eastAsia="宋体"/>
        <w:lang w:eastAsia="zh-CN"/>
      </w:rPr>
      <w:t>/</w:t>
    </w:r>
    <w:r>
      <w:rPr>
        <w:rStyle w:val="32"/>
      </w:rPr>
      <w:fldChar w:fldCharType="begin"/>
    </w:r>
    <w:r>
      <w:rPr>
        <w:rStyle w:val="32"/>
      </w:rPr>
      <w:instrText xml:space="preserve"> NUMPAGES </w:instrText>
    </w:r>
    <w:r>
      <w:rPr>
        <w:rStyle w:val="32"/>
      </w:rPr>
      <w:fldChar w:fldCharType="separate"/>
    </w:r>
    <w:r>
      <w:rPr>
        <w:rStyle w:val="32"/>
      </w:rPr>
      <w:t>4</w:t>
    </w:r>
    <w:r>
      <w:rPr>
        <w:rStyle w:val="32"/>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1"/>
      <w:lvlText w:val="%1."/>
      <w:lvlJc w:val="left"/>
      <w:pPr>
        <w:tabs>
          <w:tab w:val="left" w:pos="926"/>
        </w:tabs>
        <w:ind w:left="926" w:hanging="360"/>
      </w:pPr>
    </w:lvl>
  </w:abstractNum>
  <w:abstractNum w:abstractNumId="1">
    <w:nsid w:val="12200B9C"/>
    <w:multiLevelType w:val="multilevel"/>
    <w:tmpl w:val="12200B9C"/>
    <w:lvl w:ilvl="0" w:tentative="0">
      <w:start w:val="1"/>
      <w:numFmt w:val="decimal"/>
      <w:pStyle w:val="5"/>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3A877D64"/>
    <w:multiLevelType w:val="singleLevel"/>
    <w:tmpl w:val="3A877D64"/>
    <w:lvl w:ilvl="0" w:tentative="0">
      <w:start w:val="1"/>
      <w:numFmt w:val="decimal"/>
      <w:pStyle w:val="71"/>
      <w:lvlText w:val="[%1]"/>
      <w:lvlJc w:val="left"/>
      <w:pPr>
        <w:tabs>
          <w:tab w:val="left" w:pos="360"/>
        </w:tabs>
        <w:ind w:left="360" w:hanging="360"/>
      </w:pPr>
    </w:lvl>
  </w:abstractNum>
  <w:abstractNum w:abstractNumId="3">
    <w:nsid w:val="3CFF3124"/>
    <w:multiLevelType w:val="multilevel"/>
    <w:tmpl w:val="3CFF312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2486D6F"/>
    <w:multiLevelType w:val="multilevel"/>
    <w:tmpl w:val="52486D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7917B27"/>
    <w:multiLevelType w:val="multilevel"/>
    <w:tmpl w:val="67917B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7">
    <w:nsid w:val="7BC330F5"/>
    <w:multiLevelType w:val="multilevel"/>
    <w:tmpl w:val="7BC330F5"/>
    <w:lvl w:ilvl="0" w:tentative="0">
      <w:start w:val="1"/>
      <w:numFmt w:val="bullet"/>
      <w:pStyle w:val="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1247"/>
        </w:tabs>
        <w:ind w:left="1304" w:hanging="1304"/>
      </w:pPr>
      <w:rPr>
        <w:rFonts w:hint="default"/>
        <w:i w:val="0"/>
        <w:iCs/>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9">
    <w:nsid w:val="7D6EED55"/>
    <w:multiLevelType w:val="multilevel"/>
    <w:tmpl w:val="7D6EED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8"/>
  </w:num>
  <w:num w:numId="3">
    <w:abstractNumId w:val="0"/>
  </w:num>
  <w:num w:numId="4">
    <w:abstractNumId w:val="7"/>
  </w:num>
  <w:num w:numId="5">
    <w:abstractNumId w:val="2"/>
  </w:num>
  <w:num w:numId="6">
    <w:abstractNumId w:val="6"/>
  </w:num>
  <w:num w:numId="7">
    <w:abstractNumId w:val="5"/>
  </w:num>
  <w:num w:numId="8">
    <w:abstractNumId w:val="4"/>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708"/>
  <w:hyphenationZone w:val="425"/>
  <w:drawingGridHorizontalSpacing w:val="120"/>
  <w:drawingGridVerticalSpacing w:val="163"/>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5937"/>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15C"/>
    <w:rsid w:val="00022A13"/>
    <w:rsid w:val="00022CB4"/>
    <w:rsid w:val="000235DE"/>
    <w:rsid w:val="000244B8"/>
    <w:rsid w:val="0002462D"/>
    <w:rsid w:val="00024A15"/>
    <w:rsid w:val="0002602D"/>
    <w:rsid w:val="00026313"/>
    <w:rsid w:val="000267E0"/>
    <w:rsid w:val="000271EE"/>
    <w:rsid w:val="000273FD"/>
    <w:rsid w:val="0002759A"/>
    <w:rsid w:val="0002784B"/>
    <w:rsid w:val="00027B91"/>
    <w:rsid w:val="000301BC"/>
    <w:rsid w:val="00030537"/>
    <w:rsid w:val="00030D0A"/>
    <w:rsid w:val="00030FBB"/>
    <w:rsid w:val="000311DB"/>
    <w:rsid w:val="000314FA"/>
    <w:rsid w:val="00031B05"/>
    <w:rsid w:val="00031BA2"/>
    <w:rsid w:val="00031D51"/>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73"/>
    <w:rsid w:val="00034F03"/>
    <w:rsid w:val="00034F9C"/>
    <w:rsid w:val="00035034"/>
    <w:rsid w:val="00035043"/>
    <w:rsid w:val="0003504A"/>
    <w:rsid w:val="0003545A"/>
    <w:rsid w:val="00035BF6"/>
    <w:rsid w:val="00035CAE"/>
    <w:rsid w:val="00035E12"/>
    <w:rsid w:val="00035EA6"/>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CE"/>
    <w:rsid w:val="000528A1"/>
    <w:rsid w:val="00052996"/>
    <w:rsid w:val="00052E75"/>
    <w:rsid w:val="00053027"/>
    <w:rsid w:val="00053BCA"/>
    <w:rsid w:val="00053C0F"/>
    <w:rsid w:val="00054548"/>
    <w:rsid w:val="000547F7"/>
    <w:rsid w:val="000549C4"/>
    <w:rsid w:val="00054F87"/>
    <w:rsid w:val="0005502D"/>
    <w:rsid w:val="000555DC"/>
    <w:rsid w:val="000556AD"/>
    <w:rsid w:val="00055870"/>
    <w:rsid w:val="00055A05"/>
    <w:rsid w:val="00055ACB"/>
    <w:rsid w:val="00055B09"/>
    <w:rsid w:val="00055B5B"/>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D10"/>
    <w:rsid w:val="00064EA2"/>
    <w:rsid w:val="00064EA6"/>
    <w:rsid w:val="00065848"/>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D01"/>
    <w:rsid w:val="00075EFB"/>
    <w:rsid w:val="0007602B"/>
    <w:rsid w:val="00076207"/>
    <w:rsid w:val="0007633C"/>
    <w:rsid w:val="00076340"/>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966"/>
    <w:rsid w:val="00080A64"/>
    <w:rsid w:val="00081075"/>
    <w:rsid w:val="00081428"/>
    <w:rsid w:val="00081966"/>
    <w:rsid w:val="00081BF4"/>
    <w:rsid w:val="000825C2"/>
    <w:rsid w:val="00082BD4"/>
    <w:rsid w:val="00082CA3"/>
    <w:rsid w:val="00082E20"/>
    <w:rsid w:val="00082F9B"/>
    <w:rsid w:val="0008312E"/>
    <w:rsid w:val="0008318A"/>
    <w:rsid w:val="00083721"/>
    <w:rsid w:val="00083C5B"/>
    <w:rsid w:val="00083DAA"/>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E51"/>
    <w:rsid w:val="000871FE"/>
    <w:rsid w:val="000874BF"/>
    <w:rsid w:val="000876C9"/>
    <w:rsid w:val="00087B77"/>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AF3"/>
    <w:rsid w:val="000A411C"/>
    <w:rsid w:val="000A41AB"/>
    <w:rsid w:val="000A41F3"/>
    <w:rsid w:val="000A50CF"/>
    <w:rsid w:val="000A55DA"/>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DF"/>
    <w:rsid w:val="000B7D79"/>
    <w:rsid w:val="000C0016"/>
    <w:rsid w:val="000C0048"/>
    <w:rsid w:val="000C03E2"/>
    <w:rsid w:val="000C0746"/>
    <w:rsid w:val="000C0E09"/>
    <w:rsid w:val="000C0E12"/>
    <w:rsid w:val="000C1108"/>
    <w:rsid w:val="000C18DD"/>
    <w:rsid w:val="000C1C08"/>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D0210"/>
    <w:rsid w:val="000D0A5A"/>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5F94"/>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825"/>
    <w:rsid w:val="000F5C2E"/>
    <w:rsid w:val="000F5CB0"/>
    <w:rsid w:val="000F5CF4"/>
    <w:rsid w:val="000F5D8F"/>
    <w:rsid w:val="000F5F14"/>
    <w:rsid w:val="000F6A3E"/>
    <w:rsid w:val="000F6ACD"/>
    <w:rsid w:val="000F6BBB"/>
    <w:rsid w:val="000F6D45"/>
    <w:rsid w:val="000F6DE0"/>
    <w:rsid w:val="000F6E79"/>
    <w:rsid w:val="000F6FBF"/>
    <w:rsid w:val="000F74EE"/>
    <w:rsid w:val="000F7C2E"/>
    <w:rsid w:val="000F7E9E"/>
    <w:rsid w:val="000F7EC1"/>
    <w:rsid w:val="001002CC"/>
    <w:rsid w:val="00100498"/>
    <w:rsid w:val="001005BE"/>
    <w:rsid w:val="0010065D"/>
    <w:rsid w:val="00100712"/>
    <w:rsid w:val="001009C1"/>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14B"/>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5D6"/>
    <w:rsid w:val="001129BE"/>
    <w:rsid w:val="00112A29"/>
    <w:rsid w:val="00112AB0"/>
    <w:rsid w:val="00112C61"/>
    <w:rsid w:val="00113D6E"/>
    <w:rsid w:val="00114348"/>
    <w:rsid w:val="00114B53"/>
    <w:rsid w:val="00114DEB"/>
    <w:rsid w:val="0011547C"/>
    <w:rsid w:val="00115673"/>
    <w:rsid w:val="001158AC"/>
    <w:rsid w:val="00115BB0"/>
    <w:rsid w:val="00116066"/>
    <w:rsid w:val="001160BF"/>
    <w:rsid w:val="0011627E"/>
    <w:rsid w:val="001167BC"/>
    <w:rsid w:val="00116B13"/>
    <w:rsid w:val="00116DDA"/>
    <w:rsid w:val="00117E69"/>
    <w:rsid w:val="001200BF"/>
    <w:rsid w:val="00120458"/>
    <w:rsid w:val="00120C5E"/>
    <w:rsid w:val="001214ED"/>
    <w:rsid w:val="00122293"/>
    <w:rsid w:val="001229F7"/>
    <w:rsid w:val="00122DC7"/>
    <w:rsid w:val="00123FA2"/>
    <w:rsid w:val="001241EA"/>
    <w:rsid w:val="00124C59"/>
    <w:rsid w:val="00125103"/>
    <w:rsid w:val="001256FC"/>
    <w:rsid w:val="00125882"/>
    <w:rsid w:val="001258BD"/>
    <w:rsid w:val="001259C2"/>
    <w:rsid w:val="0012653A"/>
    <w:rsid w:val="0012672A"/>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B07"/>
    <w:rsid w:val="00161FC2"/>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607"/>
    <w:rsid w:val="001A06DE"/>
    <w:rsid w:val="001A0FEA"/>
    <w:rsid w:val="001A11EF"/>
    <w:rsid w:val="001A1303"/>
    <w:rsid w:val="001A1727"/>
    <w:rsid w:val="001A1FB0"/>
    <w:rsid w:val="001A20A5"/>
    <w:rsid w:val="001A2239"/>
    <w:rsid w:val="001A2291"/>
    <w:rsid w:val="001A254A"/>
    <w:rsid w:val="001A2D41"/>
    <w:rsid w:val="001A3365"/>
    <w:rsid w:val="001A36D9"/>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48D"/>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D49"/>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C42"/>
    <w:rsid w:val="00242FE1"/>
    <w:rsid w:val="002434C0"/>
    <w:rsid w:val="00243CCC"/>
    <w:rsid w:val="00243DE2"/>
    <w:rsid w:val="002443C5"/>
    <w:rsid w:val="00245B8F"/>
    <w:rsid w:val="00246052"/>
    <w:rsid w:val="002460D6"/>
    <w:rsid w:val="00246224"/>
    <w:rsid w:val="00246393"/>
    <w:rsid w:val="0024646B"/>
    <w:rsid w:val="00247106"/>
    <w:rsid w:val="0024733A"/>
    <w:rsid w:val="002473D8"/>
    <w:rsid w:val="002477F2"/>
    <w:rsid w:val="00247A15"/>
    <w:rsid w:val="00247B03"/>
    <w:rsid w:val="00247FEF"/>
    <w:rsid w:val="002500F9"/>
    <w:rsid w:val="002507C6"/>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603F"/>
    <w:rsid w:val="002561FD"/>
    <w:rsid w:val="002569E2"/>
    <w:rsid w:val="00256C4D"/>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D8"/>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D86"/>
    <w:rsid w:val="002974E9"/>
    <w:rsid w:val="00297723"/>
    <w:rsid w:val="00297751"/>
    <w:rsid w:val="00297D4D"/>
    <w:rsid w:val="00297FB0"/>
    <w:rsid w:val="002A005E"/>
    <w:rsid w:val="002A0329"/>
    <w:rsid w:val="002A04CA"/>
    <w:rsid w:val="002A13F2"/>
    <w:rsid w:val="002A1461"/>
    <w:rsid w:val="002A14E0"/>
    <w:rsid w:val="002A1595"/>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7F1"/>
    <w:rsid w:val="002D28E7"/>
    <w:rsid w:val="002D2B55"/>
    <w:rsid w:val="002D2C8C"/>
    <w:rsid w:val="002D3335"/>
    <w:rsid w:val="002D33FF"/>
    <w:rsid w:val="002D3843"/>
    <w:rsid w:val="002D385A"/>
    <w:rsid w:val="002D39E9"/>
    <w:rsid w:val="002D4738"/>
    <w:rsid w:val="002D4E79"/>
    <w:rsid w:val="002D51F8"/>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0E"/>
    <w:rsid w:val="002F2A15"/>
    <w:rsid w:val="002F2BAD"/>
    <w:rsid w:val="002F2C27"/>
    <w:rsid w:val="002F2D6B"/>
    <w:rsid w:val="002F2E09"/>
    <w:rsid w:val="002F321D"/>
    <w:rsid w:val="002F322F"/>
    <w:rsid w:val="002F3308"/>
    <w:rsid w:val="002F3774"/>
    <w:rsid w:val="002F4405"/>
    <w:rsid w:val="002F4806"/>
    <w:rsid w:val="002F4D31"/>
    <w:rsid w:val="002F4F03"/>
    <w:rsid w:val="002F4FB7"/>
    <w:rsid w:val="002F5240"/>
    <w:rsid w:val="002F54EB"/>
    <w:rsid w:val="002F5589"/>
    <w:rsid w:val="002F5C6A"/>
    <w:rsid w:val="002F5D4E"/>
    <w:rsid w:val="002F60DB"/>
    <w:rsid w:val="002F64F3"/>
    <w:rsid w:val="002F6925"/>
    <w:rsid w:val="002F6B7F"/>
    <w:rsid w:val="002F6E40"/>
    <w:rsid w:val="002F71B6"/>
    <w:rsid w:val="002F7DD3"/>
    <w:rsid w:val="003002BC"/>
    <w:rsid w:val="003002CF"/>
    <w:rsid w:val="00300649"/>
    <w:rsid w:val="00300A98"/>
    <w:rsid w:val="00300C87"/>
    <w:rsid w:val="00301152"/>
    <w:rsid w:val="00301272"/>
    <w:rsid w:val="00301283"/>
    <w:rsid w:val="00301411"/>
    <w:rsid w:val="00301B43"/>
    <w:rsid w:val="00301C3F"/>
    <w:rsid w:val="00301FCB"/>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6F04"/>
    <w:rsid w:val="00306F1F"/>
    <w:rsid w:val="00306FD1"/>
    <w:rsid w:val="0030711B"/>
    <w:rsid w:val="00307C81"/>
    <w:rsid w:val="0031039B"/>
    <w:rsid w:val="00310526"/>
    <w:rsid w:val="00310799"/>
    <w:rsid w:val="003107D3"/>
    <w:rsid w:val="003109E3"/>
    <w:rsid w:val="00311121"/>
    <w:rsid w:val="0031156D"/>
    <w:rsid w:val="0031156E"/>
    <w:rsid w:val="00311C4F"/>
    <w:rsid w:val="003123B8"/>
    <w:rsid w:val="00312556"/>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EE"/>
    <w:rsid w:val="00333268"/>
    <w:rsid w:val="00334298"/>
    <w:rsid w:val="003344B3"/>
    <w:rsid w:val="00334592"/>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5AF"/>
    <w:rsid w:val="0035314C"/>
    <w:rsid w:val="003532D9"/>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11F1"/>
    <w:rsid w:val="00371488"/>
    <w:rsid w:val="0037173A"/>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3F1"/>
    <w:rsid w:val="00377582"/>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A9C"/>
    <w:rsid w:val="00396C3D"/>
    <w:rsid w:val="00396D2C"/>
    <w:rsid w:val="0039719D"/>
    <w:rsid w:val="003975D1"/>
    <w:rsid w:val="00397A69"/>
    <w:rsid w:val="00397BCC"/>
    <w:rsid w:val="003A00F2"/>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53B3"/>
    <w:rsid w:val="003A581F"/>
    <w:rsid w:val="003A586C"/>
    <w:rsid w:val="003A5EE5"/>
    <w:rsid w:val="003A634B"/>
    <w:rsid w:val="003A6565"/>
    <w:rsid w:val="003A66A5"/>
    <w:rsid w:val="003A6911"/>
    <w:rsid w:val="003A7134"/>
    <w:rsid w:val="003A7816"/>
    <w:rsid w:val="003A7ED7"/>
    <w:rsid w:val="003B0049"/>
    <w:rsid w:val="003B00EE"/>
    <w:rsid w:val="003B0477"/>
    <w:rsid w:val="003B067B"/>
    <w:rsid w:val="003B09CF"/>
    <w:rsid w:val="003B0BE9"/>
    <w:rsid w:val="003B0DB8"/>
    <w:rsid w:val="003B104B"/>
    <w:rsid w:val="003B11D1"/>
    <w:rsid w:val="003B14C3"/>
    <w:rsid w:val="003B14C5"/>
    <w:rsid w:val="003B1A56"/>
    <w:rsid w:val="003B1C78"/>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75A"/>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66AF"/>
    <w:rsid w:val="003D6767"/>
    <w:rsid w:val="003D67CF"/>
    <w:rsid w:val="003D6D53"/>
    <w:rsid w:val="003D6E70"/>
    <w:rsid w:val="003D6EA4"/>
    <w:rsid w:val="003D6EA7"/>
    <w:rsid w:val="003D7186"/>
    <w:rsid w:val="003D7899"/>
    <w:rsid w:val="003D7AB8"/>
    <w:rsid w:val="003D7C6C"/>
    <w:rsid w:val="003D7E16"/>
    <w:rsid w:val="003D7EE3"/>
    <w:rsid w:val="003E028A"/>
    <w:rsid w:val="003E0666"/>
    <w:rsid w:val="003E07D9"/>
    <w:rsid w:val="003E080B"/>
    <w:rsid w:val="003E0868"/>
    <w:rsid w:val="003E0B07"/>
    <w:rsid w:val="003E0BB5"/>
    <w:rsid w:val="003E1C9F"/>
    <w:rsid w:val="003E1CA6"/>
    <w:rsid w:val="003E235C"/>
    <w:rsid w:val="003E241D"/>
    <w:rsid w:val="003E2B89"/>
    <w:rsid w:val="003E2C05"/>
    <w:rsid w:val="003E2C67"/>
    <w:rsid w:val="003E3D90"/>
    <w:rsid w:val="003E42A5"/>
    <w:rsid w:val="003E4A60"/>
    <w:rsid w:val="003E4B1D"/>
    <w:rsid w:val="003E5869"/>
    <w:rsid w:val="003E5A98"/>
    <w:rsid w:val="003E5AB3"/>
    <w:rsid w:val="003E6047"/>
    <w:rsid w:val="003E628C"/>
    <w:rsid w:val="003E66C0"/>
    <w:rsid w:val="003E66C4"/>
    <w:rsid w:val="003E69A2"/>
    <w:rsid w:val="003E6A92"/>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2C4"/>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B6B"/>
    <w:rsid w:val="00400B81"/>
    <w:rsid w:val="00400CB0"/>
    <w:rsid w:val="00400CB7"/>
    <w:rsid w:val="00400DBA"/>
    <w:rsid w:val="004011E2"/>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A61"/>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47"/>
    <w:rsid w:val="00407A51"/>
    <w:rsid w:val="00407A6E"/>
    <w:rsid w:val="00407C59"/>
    <w:rsid w:val="00407D8F"/>
    <w:rsid w:val="00407E8B"/>
    <w:rsid w:val="00407F18"/>
    <w:rsid w:val="00407FEA"/>
    <w:rsid w:val="004107C4"/>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51B4"/>
    <w:rsid w:val="00415564"/>
    <w:rsid w:val="00415614"/>
    <w:rsid w:val="00415C0F"/>
    <w:rsid w:val="00416AC8"/>
    <w:rsid w:val="00416AD6"/>
    <w:rsid w:val="00416F0A"/>
    <w:rsid w:val="00417281"/>
    <w:rsid w:val="0041770F"/>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B10"/>
    <w:rsid w:val="00447E9A"/>
    <w:rsid w:val="00447FAA"/>
    <w:rsid w:val="004503D7"/>
    <w:rsid w:val="00450703"/>
    <w:rsid w:val="00450C14"/>
    <w:rsid w:val="00450C7E"/>
    <w:rsid w:val="00451689"/>
    <w:rsid w:val="00451779"/>
    <w:rsid w:val="004518F8"/>
    <w:rsid w:val="00451E00"/>
    <w:rsid w:val="00451E3B"/>
    <w:rsid w:val="00452823"/>
    <w:rsid w:val="00452DF3"/>
    <w:rsid w:val="00453316"/>
    <w:rsid w:val="004537A1"/>
    <w:rsid w:val="00454028"/>
    <w:rsid w:val="0045402D"/>
    <w:rsid w:val="004542DB"/>
    <w:rsid w:val="0045432E"/>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B2"/>
    <w:rsid w:val="004848F5"/>
    <w:rsid w:val="0048502C"/>
    <w:rsid w:val="0048555E"/>
    <w:rsid w:val="00485A1E"/>
    <w:rsid w:val="004862D1"/>
    <w:rsid w:val="004865A9"/>
    <w:rsid w:val="004866FD"/>
    <w:rsid w:val="00486724"/>
    <w:rsid w:val="00486C21"/>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467"/>
    <w:rsid w:val="004957F1"/>
    <w:rsid w:val="00495995"/>
    <w:rsid w:val="004962D7"/>
    <w:rsid w:val="0049653F"/>
    <w:rsid w:val="004969EE"/>
    <w:rsid w:val="00496B6B"/>
    <w:rsid w:val="00496B8D"/>
    <w:rsid w:val="00496D50"/>
    <w:rsid w:val="0049715E"/>
    <w:rsid w:val="004976BF"/>
    <w:rsid w:val="00497D13"/>
    <w:rsid w:val="004A02E1"/>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32"/>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F1F"/>
    <w:rsid w:val="004D42FF"/>
    <w:rsid w:val="004D47FE"/>
    <w:rsid w:val="004D4948"/>
    <w:rsid w:val="004D4AAF"/>
    <w:rsid w:val="004D5550"/>
    <w:rsid w:val="004D5E31"/>
    <w:rsid w:val="004D602D"/>
    <w:rsid w:val="004D6175"/>
    <w:rsid w:val="004D63F7"/>
    <w:rsid w:val="004D671F"/>
    <w:rsid w:val="004D6C6A"/>
    <w:rsid w:val="004D74D8"/>
    <w:rsid w:val="004D7B88"/>
    <w:rsid w:val="004D7CE1"/>
    <w:rsid w:val="004D7DE5"/>
    <w:rsid w:val="004E004E"/>
    <w:rsid w:val="004E04A6"/>
    <w:rsid w:val="004E0521"/>
    <w:rsid w:val="004E07ED"/>
    <w:rsid w:val="004E0C50"/>
    <w:rsid w:val="004E0FF7"/>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6FB"/>
    <w:rsid w:val="004E7AD1"/>
    <w:rsid w:val="004F0172"/>
    <w:rsid w:val="004F01A5"/>
    <w:rsid w:val="004F046C"/>
    <w:rsid w:val="004F0571"/>
    <w:rsid w:val="004F0A20"/>
    <w:rsid w:val="004F0C66"/>
    <w:rsid w:val="004F11D2"/>
    <w:rsid w:val="004F1310"/>
    <w:rsid w:val="004F1996"/>
    <w:rsid w:val="004F1E54"/>
    <w:rsid w:val="004F1FFF"/>
    <w:rsid w:val="004F24A6"/>
    <w:rsid w:val="004F27A9"/>
    <w:rsid w:val="004F2974"/>
    <w:rsid w:val="004F3168"/>
    <w:rsid w:val="004F329B"/>
    <w:rsid w:val="004F34C3"/>
    <w:rsid w:val="004F34E0"/>
    <w:rsid w:val="004F3657"/>
    <w:rsid w:val="004F37C2"/>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E3C"/>
    <w:rsid w:val="0050425E"/>
    <w:rsid w:val="00504C77"/>
    <w:rsid w:val="00504D8C"/>
    <w:rsid w:val="00504EF7"/>
    <w:rsid w:val="00504FE0"/>
    <w:rsid w:val="005052BE"/>
    <w:rsid w:val="005054CF"/>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A90"/>
    <w:rsid w:val="00512B93"/>
    <w:rsid w:val="00512CB7"/>
    <w:rsid w:val="00512DCE"/>
    <w:rsid w:val="00513197"/>
    <w:rsid w:val="00513AF8"/>
    <w:rsid w:val="00513B21"/>
    <w:rsid w:val="00513B6F"/>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B3C"/>
    <w:rsid w:val="00540CC2"/>
    <w:rsid w:val="005410AD"/>
    <w:rsid w:val="0054147E"/>
    <w:rsid w:val="005414C4"/>
    <w:rsid w:val="005417A3"/>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3A"/>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507F"/>
    <w:rsid w:val="005551E2"/>
    <w:rsid w:val="00555530"/>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41F"/>
    <w:rsid w:val="00562AD2"/>
    <w:rsid w:val="00562B34"/>
    <w:rsid w:val="00562DB5"/>
    <w:rsid w:val="005636B7"/>
    <w:rsid w:val="00563A0E"/>
    <w:rsid w:val="00563A94"/>
    <w:rsid w:val="00563B3A"/>
    <w:rsid w:val="00563CA2"/>
    <w:rsid w:val="005645C5"/>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836"/>
    <w:rsid w:val="00572851"/>
    <w:rsid w:val="00572A00"/>
    <w:rsid w:val="00572A2D"/>
    <w:rsid w:val="00573042"/>
    <w:rsid w:val="005732B7"/>
    <w:rsid w:val="00574533"/>
    <w:rsid w:val="00574C65"/>
    <w:rsid w:val="00574C7E"/>
    <w:rsid w:val="005753D0"/>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EAB"/>
    <w:rsid w:val="00583019"/>
    <w:rsid w:val="005838EB"/>
    <w:rsid w:val="005840E3"/>
    <w:rsid w:val="00584194"/>
    <w:rsid w:val="00584542"/>
    <w:rsid w:val="00584FF7"/>
    <w:rsid w:val="00584FF9"/>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2FC9"/>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4A"/>
    <w:rsid w:val="005A205E"/>
    <w:rsid w:val="005A221E"/>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21C0"/>
    <w:rsid w:val="005C2CC3"/>
    <w:rsid w:val="005C2CFF"/>
    <w:rsid w:val="005C319E"/>
    <w:rsid w:val="005C324E"/>
    <w:rsid w:val="005C32A4"/>
    <w:rsid w:val="005C3747"/>
    <w:rsid w:val="005C3887"/>
    <w:rsid w:val="005C39D7"/>
    <w:rsid w:val="005C40AC"/>
    <w:rsid w:val="005C41C6"/>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DCE"/>
    <w:rsid w:val="005C6E71"/>
    <w:rsid w:val="005C733A"/>
    <w:rsid w:val="005C7392"/>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64B"/>
    <w:rsid w:val="005E6C05"/>
    <w:rsid w:val="005E6E3F"/>
    <w:rsid w:val="005E7444"/>
    <w:rsid w:val="005E7800"/>
    <w:rsid w:val="005E7930"/>
    <w:rsid w:val="005F0BC3"/>
    <w:rsid w:val="005F0C81"/>
    <w:rsid w:val="005F1261"/>
    <w:rsid w:val="005F16C1"/>
    <w:rsid w:val="005F179F"/>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CFF"/>
    <w:rsid w:val="005F5EA1"/>
    <w:rsid w:val="005F64E9"/>
    <w:rsid w:val="005F6A83"/>
    <w:rsid w:val="005F6D8E"/>
    <w:rsid w:val="005F6FE0"/>
    <w:rsid w:val="005F70CC"/>
    <w:rsid w:val="005F7507"/>
    <w:rsid w:val="005F7A94"/>
    <w:rsid w:val="005F7B7D"/>
    <w:rsid w:val="0060031A"/>
    <w:rsid w:val="006009A4"/>
    <w:rsid w:val="00600C4E"/>
    <w:rsid w:val="0060153E"/>
    <w:rsid w:val="006015AD"/>
    <w:rsid w:val="006019BC"/>
    <w:rsid w:val="0060209D"/>
    <w:rsid w:val="0060257F"/>
    <w:rsid w:val="006026D9"/>
    <w:rsid w:val="00602C59"/>
    <w:rsid w:val="00602C93"/>
    <w:rsid w:val="00602E63"/>
    <w:rsid w:val="00602F70"/>
    <w:rsid w:val="00603761"/>
    <w:rsid w:val="00603893"/>
    <w:rsid w:val="006039A6"/>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F05"/>
    <w:rsid w:val="00612000"/>
    <w:rsid w:val="00612083"/>
    <w:rsid w:val="00612475"/>
    <w:rsid w:val="00612C7D"/>
    <w:rsid w:val="00613508"/>
    <w:rsid w:val="0061360E"/>
    <w:rsid w:val="006136AC"/>
    <w:rsid w:val="006136BE"/>
    <w:rsid w:val="00613930"/>
    <w:rsid w:val="00613991"/>
    <w:rsid w:val="006140AA"/>
    <w:rsid w:val="0061440B"/>
    <w:rsid w:val="00614599"/>
    <w:rsid w:val="00614F10"/>
    <w:rsid w:val="00615210"/>
    <w:rsid w:val="00615456"/>
    <w:rsid w:val="00616117"/>
    <w:rsid w:val="0061664E"/>
    <w:rsid w:val="006167F6"/>
    <w:rsid w:val="00616BA9"/>
    <w:rsid w:val="00616BC1"/>
    <w:rsid w:val="00616D3C"/>
    <w:rsid w:val="00617295"/>
    <w:rsid w:val="006172A9"/>
    <w:rsid w:val="00617A0D"/>
    <w:rsid w:val="00617B2E"/>
    <w:rsid w:val="00620B1C"/>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D94"/>
    <w:rsid w:val="00624DEE"/>
    <w:rsid w:val="00624E15"/>
    <w:rsid w:val="00624F6A"/>
    <w:rsid w:val="006253D0"/>
    <w:rsid w:val="00625500"/>
    <w:rsid w:val="00625575"/>
    <w:rsid w:val="00625786"/>
    <w:rsid w:val="00625804"/>
    <w:rsid w:val="00625F9D"/>
    <w:rsid w:val="0062613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18E"/>
    <w:rsid w:val="006312B6"/>
    <w:rsid w:val="00632268"/>
    <w:rsid w:val="006322AA"/>
    <w:rsid w:val="00632549"/>
    <w:rsid w:val="00632667"/>
    <w:rsid w:val="00633900"/>
    <w:rsid w:val="00633D8B"/>
    <w:rsid w:val="00634D63"/>
    <w:rsid w:val="00634DA6"/>
    <w:rsid w:val="006350E7"/>
    <w:rsid w:val="0063535E"/>
    <w:rsid w:val="00635943"/>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ABA"/>
    <w:rsid w:val="006440A0"/>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C7E"/>
    <w:rsid w:val="00651A4D"/>
    <w:rsid w:val="00651BD9"/>
    <w:rsid w:val="0065282B"/>
    <w:rsid w:val="00652A78"/>
    <w:rsid w:val="006530CE"/>
    <w:rsid w:val="006533A4"/>
    <w:rsid w:val="006535D8"/>
    <w:rsid w:val="00653707"/>
    <w:rsid w:val="00653F5D"/>
    <w:rsid w:val="00654272"/>
    <w:rsid w:val="00654863"/>
    <w:rsid w:val="00654A23"/>
    <w:rsid w:val="00654A4A"/>
    <w:rsid w:val="00654AF0"/>
    <w:rsid w:val="00654B35"/>
    <w:rsid w:val="00655386"/>
    <w:rsid w:val="0065555F"/>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B2A"/>
    <w:rsid w:val="00693195"/>
    <w:rsid w:val="00693358"/>
    <w:rsid w:val="006934BB"/>
    <w:rsid w:val="0069369F"/>
    <w:rsid w:val="00693DAC"/>
    <w:rsid w:val="006942BD"/>
    <w:rsid w:val="0069439E"/>
    <w:rsid w:val="00694A4D"/>
    <w:rsid w:val="00694B17"/>
    <w:rsid w:val="00694DE5"/>
    <w:rsid w:val="006954A1"/>
    <w:rsid w:val="006954D1"/>
    <w:rsid w:val="0069596D"/>
    <w:rsid w:val="006959EF"/>
    <w:rsid w:val="006968EB"/>
    <w:rsid w:val="00696B26"/>
    <w:rsid w:val="00696CE8"/>
    <w:rsid w:val="00696D17"/>
    <w:rsid w:val="00696DE4"/>
    <w:rsid w:val="006970B5"/>
    <w:rsid w:val="006971BC"/>
    <w:rsid w:val="00697485"/>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62A"/>
    <w:rsid w:val="006A46A9"/>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37"/>
    <w:rsid w:val="006D41C5"/>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6A3"/>
    <w:rsid w:val="00706F24"/>
    <w:rsid w:val="00707594"/>
    <w:rsid w:val="00707BA0"/>
    <w:rsid w:val="0071043A"/>
    <w:rsid w:val="00710708"/>
    <w:rsid w:val="0071078C"/>
    <w:rsid w:val="007107AE"/>
    <w:rsid w:val="00710A15"/>
    <w:rsid w:val="00710B0A"/>
    <w:rsid w:val="00710DC5"/>
    <w:rsid w:val="007113FD"/>
    <w:rsid w:val="007118D3"/>
    <w:rsid w:val="00711A84"/>
    <w:rsid w:val="00711F34"/>
    <w:rsid w:val="00712420"/>
    <w:rsid w:val="00712B89"/>
    <w:rsid w:val="00712D84"/>
    <w:rsid w:val="00713255"/>
    <w:rsid w:val="00713943"/>
    <w:rsid w:val="00713989"/>
    <w:rsid w:val="00713C09"/>
    <w:rsid w:val="00713C0E"/>
    <w:rsid w:val="00713CC1"/>
    <w:rsid w:val="00714399"/>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EE"/>
    <w:rsid w:val="007307C5"/>
    <w:rsid w:val="0073081E"/>
    <w:rsid w:val="007308B9"/>
    <w:rsid w:val="007308FD"/>
    <w:rsid w:val="00730A61"/>
    <w:rsid w:val="00730B73"/>
    <w:rsid w:val="00730EDE"/>
    <w:rsid w:val="00730FB5"/>
    <w:rsid w:val="00731006"/>
    <w:rsid w:val="0073152D"/>
    <w:rsid w:val="00731A87"/>
    <w:rsid w:val="007336DA"/>
    <w:rsid w:val="007338DB"/>
    <w:rsid w:val="007339AB"/>
    <w:rsid w:val="00733BA4"/>
    <w:rsid w:val="00733FE0"/>
    <w:rsid w:val="007347DB"/>
    <w:rsid w:val="00735187"/>
    <w:rsid w:val="007358C4"/>
    <w:rsid w:val="00735D34"/>
    <w:rsid w:val="00735F4C"/>
    <w:rsid w:val="00736423"/>
    <w:rsid w:val="00736814"/>
    <w:rsid w:val="007368F3"/>
    <w:rsid w:val="00736941"/>
    <w:rsid w:val="00736A7D"/>
    <w:rsid w:val="00736B7E"/>
    <w:rsid w:val="00736C59"/>
    <w:rsid w:val="00736F9B"/>
    <w:rsid w:val="007372CE"/>
    <w:rsid w:val="0073794A"/>
    <w:rsid w:val="0074015D"/>
    <w:rsid w:val="007401F9"/>
    <w:rsid w:val="0074047D"/>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F37"/>
    <w:rsid w:val="00764FB4"/>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41"/>
    <w:rsid w:val="00774ED3"/>
    <w:rsid w:val="0077644C"/>
    <w:rsid w:val="0077721A"/>
    <w:rsid w:val="007779E0"/>
    <w:rsid w:val="00777B7A"/>
    <w:rsid w:val="00780906"/>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DBF"/>
    <w:rsid w:val="00796586"/>
    <w:rsid w:val="0079689B"/>
    <w:rsid w:val="0079693D"/>
    <w:rsid w:val="00796B78"/>
    <w:rsid w:val="0079729F"/>
    <w:rsid w:val="00797336"/>
    <w:rsid w:val="007974AA"/>
    <w:rsid w:val="00797829"/>
    <w:rsid w:val="007A006C"/>
    <w:rsid w:val="007A00CD"/>
    <w:rsid w:val="007A0786"/>
    <w:rsid w:val="007A0F32"/>
    <w:rsid w:val="007A1925"/>
    <w:rsid w:val="007A197D"/>
    <w:rsid w:val="007A1FF7"/>
    <w:rsid w:val="007A2704"/>
    <w:rsid w:val="007A2E65"/>
    <w:rsid w:val="007A2E92"/>
    <w:rsid w:val="007A2EC6"/>
    <w:rsid w:val="007A34A0"/>
    <w:rsid w:val="007A35BC"/>
    <w:rsid w:val="007A3BF0"/>
    <w:rsid w:val="007A3C97"/>
    <w:rsid w:val="007A3F35"/>
    <w:rsid w:val="007A4071"/>
    <w:rsid w:val="007A42BC"/>
    <w:rsid w:val="007A42E5"/>
    <w:rsid w:val="007A46C3"/>
    <w:rsid w:val="007A46D6"/>
    <w:rsid w:val="007A4E70"/>
    <w:rsid w:val="007A51E7"/>
    <w:rsid w:val="007A5403"/>
    <w:rsid w:val="007A5654"/>
    <w:rsid w:val="007A5C6C"/>
    <w:rsid w:val="007A5EA1"/>
    <w:rsid w:val="007A7901"/>
    <w:rsid w:val="007B016B"/>
    <w:rsid w:val="007B0733"/>
    <w:rsid w:val="007B10E8"/>
    <w:rsid w:val="007B18BA"/>
    <w:rsid w:val="007B1DC3"/>
    <w:rsid w:val="007B200A"/>
    <w:rsid w:val="007B2348"/>
    <w:rsid w:val="007B2800"/>
    <w:rsid w:val="007B291F"/>
    <w:rsid w:val="007B2AD0"/>
    <w:rsid w:val="007B325C"/>
    <w:rsid w:val="007B3659"/>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9CF"/>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E21"/>
    <w:rsid w:val="007D27E0"/>
    <w:rsid w:val="007D2A9B"/>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9EE"/>
    <w:rsid w:val="007E2C0C"/>
    <w:rsid w:val="007E3239"/>
    <w:rsid w:val="007E32FB"/>
    <w:rsid w:val="007E3370"/>
    <w:rsid w:val="007E35BF"/>
    <w:rsid w:val="007E3668"/>
    <w:rsid w:val="007E37F6"/>
    <w:rsid w:val="007E3B87"/>
    <w:rsid w:val="007E3D95"/>
    <w:rsid w:val="007E3F41"/>
    <w:rsid w:val="007E4044"/>
    <w:rsid w:val="007E4243"/>
    <w:rsid w:val="007E47F2"/>
    <w:rsid w:val="007E4864"/>
    <w:rsid w:val="007E4B9E"/>
    <w:rsid w:val="007E4C40"/>
    <w:rsid w:val="007E4D97"/>
    <w:rsid w:val="007E4E8B"/>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717"/>
    <w:rsid w:val="007F197C"/>
    <w:rsid w:val="007F1A7C"/>
    <w:rsid w:val="007F1C1E"/>
    <w:rsid w:val="007F1C9D"/>
    <w:rsid w:val="007F1D83"/>
    <w:rsid w:val="007F1E73"/>
    <w:rsid w:val="007F2620"/>
    <w:rsid w:val="007F2659"/>
    <w:rsid w:val="007F269F"/>
    <w:rsid w:val="007F26E6"/>
    <w:rsid w:val="007F298A"/>
    <w:rsid w:val="007F2D46"/>
    <w:rsid w:val="007F2FCD"/>
    <w:rsid w:val="007F3437"/>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E27"/>
    <w:rsid w:val="00802096"/>
    <w:rsid w:val="00802E60"/>
    <w:rsid w:val="0080386F"/>
    <w:rsid w:val="00803BE5"/>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AA8"/>
    <w:rsid w:val="008A0FB1"/>
    <w:rsid w:val="008A1024"/>
    <w:rsid w:val="008A1829"/>
    <w:rsid w:val="008A19CB"/>
    <w:rsid w:val="008A1CF9"/>
    <w:rsid w:val="008A1F87"/>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5EA7"/>
    <w:rsid w:val="008A61E2"/>
    <w:rsid w:val="008A63A3"/>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501"/>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BA1"/>
    <w:rsid w:val="008D403B"/>
    <w:rsid w:val="008D40F3"/>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E1"/>
    <w:rsid w:val="008D78F6"/>
    <w:rsid w:val="008D7C5A"/>
    <w:rsid w:val="008E01DE"/>
    <w:rsid w:val="008E0427"/>
    <w:rsid w:val="008E08B1"/>
    <w:rsid w:val="008E0CAF"/>
    <w:rsid w:val="008E110D"/>
    <w:rsid w:val="008E12C4"/>
    <w:rsid w:val="008E177F"/>
    <w:rsid w:val="008E1AE6"/>
    <w:rsid w:val="008E215B"/>
    <w:rsid w:val="008E2396"/>
    <w:rsid w:val="008E24FA"/>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8D7"/>
    <w:rsid w:val="008F79D4"/>
    <w:rsid w:val="008F7BB0"/>
    <w:rsid w:val="008F7C3E"/>
    <w:rsid w:val="00900123"/>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B96"/>
    <w:rsid w:val="00912CD0"/>
    <w:rsid w:val="00913497"/>
    <w:rsid w:val="009135EC"/>
    <w:rsid w:val="0091366E"/>
    <w:rsid w:val="00914D26"/>
    <w:rsid w:val="00914D36"/>
    <w:rsid w:val="009151A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892"/>
    <w:rsid w:val="00920C25"/>
    <w:rsid w:val="009210AC"/>
    <w:rsid w:val="0092146D"/>
    <w:rsid w:val="009219C8"/>
    <w:rsid w:val="00921B0E"/>
    <w:rsid w:val="00921B62"/>
    <w:rsid w:val="00921D7F"/>
    <w:rsid w:val="00921DD0"/>
    <w:rsid w:val="0092212F"/>
    <w:rsid w:val="00922233"/>
    <w:rsid w:val="00922663"/>
    <w:rsid w:val="00922CD6"/>
    <w:rsid w:val="00922EA4"/>
    <w:rsid w:val="0092389A"/>
    <w:rsid w:val="00923F15"/>
    <w:rsid w:val="00923FC0"/>
    <w:rsid w:val="0092404B"/>
    <w:rsid w:val="0092447F"/>
    <w:rsid w:val="00924BB9"/>
    <w:rsid w:val="00925442"/>
    <w:rsid w:val="0092557A"/>
    <w:rsid w:val="009256FE"/>
    <w:rsid w:val="00925939"/>
    <w:rsid w:val="00926A83"/>
    <w:rsid w:val="00926D73"/>
    <w:rsid w:val="00926F04"/>
    <w:rsid w:val="00926FB2"/>
    <w:rsid w:val="00930095"/>
    <w:rsid w:val="00930471"/>
    <w:rsid w:val="0093083A"/>
    <w:rsid w:val="0093099E"/>
    <w:rsid w:val="00930D41"/>
    <w:rsid w:val="00930F36"/>
    <w:rsid w:val="0093101B"/>
    <w:rsid w:val="009312E5"/>
    <w:rsid w:val="009315B8"/>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B6"/>
    <w:rsid w:val="00946E71"/>
    <w:rsid w:val="0094786A"/>
    <w:rsid w:val="009506EC"/>
    <w:rsid w:val="009507B2"/>
    <w:rsid w:val="00950A99"/>
    <w:rsid w:val="00950D21"/>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7"/>
    <w:rsid w:val="00956584"/>
    <w:rsid w:val="00956673"/>
    <w:rsid w:val="009568C7"/>
    <w:rsid w:val="00956955"/>
    <w:rsid w:val="009570E3"/>
    <w:rsid w:val="00957D4E"/>
    <w:rsid w:val="00957F15"/>
    <w:rsid w:val="009602B4"/>
    <w:rsid w:val="00960493"/>
    <w:rsid w:val="009604CB"/>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D8D"/>
    <w:rsid w:val="00966E95"/>
    <w:rsid w:val="009672B8"/>
    <w:rsid w:val="0096782B"/>
    <w:rsid w:val="00967CAA"/>
    <w:rsid w:val="00967CCC"/>
    <w:rsid w:val="00970866"/>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F4"/>
    <w:rsid w:val="00975E41"/>
    <w:rsid w:val="00976695"/>
    <w:rsid w:val="00976727"/>
    <w:rsid w:val="009767C2"/>
    <w:rsid w:val="0097689B"/>
    <w:rsid w:val="00976C29"/>
    <w:rsid w:val="009775D7"/>
    <w:rsid w:val="00977A0E"/>
    <w:rsid w:val="00977ADE"/>
    <w:rsid w:val="00980818"/>
    <w:rsid w:val="0098086A"/>
    <w:rsid w:val="00980CA8"/>
    <w:rsid w:val="00980DA9"/>
    <w:rsid w:val="00980FFC"/>
    <w:rsid w:val="00982A0F"/>
    <w:rsid w:val="00982B1C"/>
    <w:rsid w:val="0098322C"/>
    <w:rsid w:val="0098359A"/>
    <w:rsid w:val="00983EE6"/>
    <w:rsid w:val="00984324"/>
    <w:rsid w:val="00984426"/>
    <w:rsid w:val="0098445C"/>
    <w:rsid w:val="00984634"/>
    <w:rsid w:val="009847F4"/>
    <w:rsid w:val="00985012"/>
    <w:rsid w:val="009850BC"/>
    <w:rsid w:val="00985D3D"/>
    <w:rsid w:val="00986053"/>
    <w:rsid w:val="009867A0"/>
    <w:rsid w:val="00986A9B"/>
    <w:rsid w:val="00986C8B"/>
    <w:rsid w:val="00986DB0"/>
    <w:rsid w:val="00986E00"/>
    <w:rsid w:val="00987245"/>
    <w:rsid w:val="00987290"/>
    <w:rsid w:val="0098756F"/>
    <w:rsid w:val="0098763F"/>
    <w:rsid w:val="00987E74"/>
    <w:rsid w:val="00987E89"/>
    <w:rsid w:val="00987EF2"/>
    <w:rsid w:val="00990107"/>
    <w:rsid w:val="00990157"/>
    <w:rsid w:val="0099092E"/>
    <w:rsid w:val="00990C14"/>
    <w:rsid w:val="0099108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3AD"/>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791"/>
    <w:rsid w:val="009A38BD"/>
    <w:rsid w:val="009A39A3"/>
    <w:rsid w:val="009A39F5"/>
    <w:rsid w:val="009A3B63"/>
    <w:rsid w:val="009A3D80"/>
    <w:rsid w:val="009A40B8"/>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B00B3"/>
    <w:rsid w:val="009B01FF"/>
    <w:rsid w:val="009B040B"/>
    <w:rsid w:val="009B057B"/>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A2E"/>
    <w:rsid w:val="009C44F1"/>
    <w:rsid w:val="009C4D35"/>
    <w:rsid w:val="009C4E69"/>
    <w:rsid w:val="009C5273"/>
    <w:rsid w:val="009C5458"/>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6205"/>
    <w:rsid w:val="009F64BB"/>
    <w:rsid w:val="009F65C6"/>
    <w:rsid w:val="009F6825"/>
    <w:rsid w:val="009F68EB"/>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E7"/>
    <w:rsid w:val="00A101E0"/>
    <w:rsid w:val="00A10307"/>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8C"/>
    <w:rsid w:val="00A176AD"/>
    <w:rsid w:val="00A17903"/>
    <w:rsid w:val="00A17991"/>
    <w:rsid w:val="00A17A3A"/>
    <w:rsid w:val="00A17A3C"/>
    <w:rsid w:val="00A17B6C"/>
    <w:rsid w:val="00A20064"/>
    <w:rsid w:val="00A20065"/>
    <w:rsid w:val="00A20A81"/>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BAF"/>
    <w:rsid w:val="00A36D0E"/>
    <w:rsid w:val="00A36DAB"/>
    <w:rsid w:val="00A37956"/>
    <w:rsid w:val="00A37A4B"/>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56"/>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5DF"/>
    <w:rsid w:val="00A5287D"/>
    <w:rsid w:val="00A53330"/>
    <w:rsid w:val="00A533C4"/>
    <w:rsid w:val="00A534D0"/>
    <w:rsid w:val="00A5363E"/>
    <w:rsid w:val="00A53A99"/>
    <w:rsid w:val="00A53E26"/>
    <w:rsid w:val="00A54216"/>
    <w:rsid w:val="00A547B0"/>
    <w:rsid w:val="00A548FC"/>
    <w:rsid w:val="00A54A46"/>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8BF"/>
    <w:rsid w:val="00A63011"/>
    <w:rsid w:val="00A6347F"/>
    <w:rsid w:val="00A63C95"/>
    <w:rsid w:val="00A63CEF"/>
    <w:rsid w:val="00A64140"/>
    <w:rsid w:val="00A642C9"/>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65F"/>
    <w:rsid w:val="00A72325"/>
    <w:rsid w:val="00A72413"/>
    <w:rsid w:val="00A72848"/>
    <w:rsid w:val="00A72903"/>
    <w:rsid w:val="00A72B83"/>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1096"/>
    <w:rsid w:val="00AB10B3"/>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9A1"/>
    <w:rsid w:val="00AB4A24"/>
    <w:rsid w:val="00AB4A53"/>
    <w:rsid w:val="00AB4E71"/>
    <w:rsid w:val="00AB5158"/>
    <w:rsid w:val="00AB52DA"/>
    <w:rsid w:val="00AB5353"/>
    <w:rsid w:val="00AB5355"/>
    <w:rsid w:val="00AB55C7"/>
    <w:rsid w:val="00AB56D6"/>
    <w:rsid w:val="00AB58E8"/>
    <w:rsid w:val="00AB5BB8"/>
    <w:rsid w:val="00AB5C59"/>
    <w:rsid w:val="00AB6278"/>
    <w:rsid w:val="00AB65E3"/>
    <w:rsid w:val="00AB6A40"/>
    <w:rsid w:val="00AB6B57"/>
    <w:rsid w:val="00AB6B5C"/>
    <w:rsid w:val="00AB6CA9"/>
    <w:rsid w:val="00AC0031"/>
    <w:rsid w:val="00AC0042"/>
    <w:rsid w:val="00AC02B6"/>
    <w:rsid w:val="00AC0564"/>
    <w:rsid w:val="00AC0A32"/>
    <w:rsid w:val="00AC12ED"/>
    <w:rsid w:val="00AC1C41"/>
    <w:rsid w:val="00AC1C5E"/>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9A1"/>
    <w:rsid w:val="00AC7D86"/>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F8"/>
    <w:rsid w:val="00B07A17"/>
    <w:rsid w:val="00B07E2C"/>
    <w:rsid w:val="00B1002C"/>
    <w:rsid w:val="00B103D7"/>
    <w:rsid w:val="00B108DD"/>
    <w:rsid w:val="00B108FF"/>
    <w:rsid w:val="00B10F8B"/>
    <w:rsid w:val="00B11305"/>
    <w:rsid w:val="00B115F2"/>
    <w:rsid w:val="00B11772"/>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CAB"/>
    <w:rsid w:val="00B20378"/>
    <w:rsid w:val="00B203BD"/>
    <w:rsid w:val="00B20596"/>
    <w:rsid w:val="00B20D8C"/>
    <w:rsid w:val="00B20DFA"/>
    <w:rsid w:val="00B20E1F"/>
    <w:rsid w:val="00B21AAC"/>
    <w:rsid w:val="00B21C43"/>
    <w:rsid w:val="00B21E57"/>
    <w:rsid w:val="00B2232C"/>
    <w:rsid w:val="00B22616"/>
    <w:rsid w:val="00B22750"/>
    <w:rsid w:val="00B22D2D"/>
    <w:rsid w:val="00B22EC3"/>
    <w:rsid w:val="00B22EF3"/>
    <w:rsid w:val="00B2310B"/>
    <w:rsid w:val="00B23FB8"/>
    <w:rsid w:val="00B24627"/>
    <w:rsid w:val="00B2487B"/>
    <w:rsid w:val="00B248A5"/>
    <w:rsid w:val="00B24B4F"/>
    <w:rsid w:val="00B24F10"/>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714"/>
    <w:rsid w:val="00B33C33"/>
    <w:rsid w:val="00B340FB"/>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46D0"/>
    <w:rsid w:val="00B44802"/>
    <w:rsid w:val="00B44AA2"/>
    <w:rsid w:val="00B4521B"/>
    <w:rsid w:val="00B452E4"/>
    <w:rsid w:val="00B45637"/>
    <w:rsid w:val="00B463B2"/>
    <w:rsid w:val="00B46DBC"/>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31E9"/>
    <w:rsid w:val="00B5390E"/>
    <w:rsid w:val="00B53C35"/>
    <w:rsid w:val="00B53C77"/>
    <w:rsid w:val="00B53F2C"/>
    <w:rsid w:val="00B54608"/>
    <w:rsid w:val="00B54EA8"/>
    <w:rsid w:val="00B54F43"/>
    <w:rsid w:val="00B55001"/>
    <w:rsid w:val="00B554D7"/>
    <w:rsid w:val="00B558FB"/>
    <w:rsid w:val="00B55A18"/>
    <w:rsid w:val="00B55E4F"/>
    <w:rsid w:val="00B55E5A"/>
    <w:rsid w:val="00B56079"/>
    <w:rsid w:val="00B56193"/>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F4D"/>
    <w:rsid w:val="00B711E1"/>
    <w:rsid w:val="00B717E1"/>
    <w:rsid w:val="00B71A71"/>
    <w:rsid w:val="00B71C04"/>
    <w:rsid w:val="00B71DE9"/>
    <w:rsid w:val="00B7327C"/>
    <w:rsid w:val="00B73525"/>
    <w:rsid w:val="00B739F9"/>
    <w:rsid w:val="00B73D3D"/>
    <w:rsid w:val="00B749B1"/>
    <w:rsid w:val="00B74BD1"/>
    <w:rsid w:val="00B74C9D"/>
    <w:rsid w:val="00B74E1A"/>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FEB"/>
    <w:rsid w:val="00B8120A"/>
    <w:rsid w:val="00B8149E"/>
    <w:rsid w:val="00B81899"/>
    <w:rsid w:val="00B81C02"/>
    <w:rsid w:val="00B82074"/>
    <w:rsid w:val="00B8228A"/>
    <w:rsid w:val="00B82355"/>
    <w:rsid w:val="00B8256F"/>
    <w:rsid w:val="00B8277A"/>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859"/>
    <w:rsid w:val="00BC6D96"/>
    <w:rsid w:val="00BC6F9A"/>
    <w:rsid w:val="00BC758C"/>
    <w:rsid w:val="00BC75A0"/>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3FE7"/>
    <w:rsid w:val="00BD4017"/>
    <w:rsid w:val="00BD40B2"/>
    <w:rsid w:val="00BD44E2"/>
    <w:rsid w:val="00BD491B"/>
    <w:rsid w:val="00BD4BD5"/>
    <w:rsid w:val="00BD4D34"/>
    <w:rsid w:val="00BD5044"/>
    <w:rsid w:val="00BD52BF"/>
    <w:rsid w:val="00BD584F"/>
    <w:rsid w:val="00BD5A6D"/>
    <w:rsid w:val="00BD5ACA"/>
    <w:rsid w:val="00BD5DB2"/>
    <w:rsid w:val="00BD6395"/>
    <w:rsid w:val="00BD646F"/>
    <w:rsid w:val="00BD6BB0"/>
    <w:rsid w:val="00BD6D10"/>
    <w:rsid w:val="00BD6E76"/>
    <w:rsid w:val="00BD71BA"/>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2337"/>
    <w:rsid w:val="00BF26BC"/>
    <w:rsid w:val="00BF2801"/>
    <w:rsid w:val="00BF2946"/>
    <w:rsid w:val="00BF2CAE"/>
    <w:rsid w:val="00BF33EF"/>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0CB"/>
    <w:rsid w:val="00C03A22"/>
    <w:rsid w:val="00C03C13"/>
    <w:rsid w:val="00C03F0E"/>
    <w:rsid w:val="00C03FB9"/>
    <w:rsid w:val="00C04053"/>
    <w:rsid w:val="00C043BC"/>
    <w:rsid w:val="00C045DC"/>
    <w:rsid w:val="00C0487F"/>
    <w:rsid w:val="00C04E02"/>
    <w:rsid w:val="00C05696"/>
    <w:rsid w:val="00C056E9"/>
    <w:rsid w:val="00C05914"/>
    <w:rsid w:val="00C0638D"/>
    <w:rsid w:val="00C06542"/>
    <w:rsid w:val="00C06C85"/>
    <w:rsid w:val="00C07031"/>
    <w:rsid w:val="00C07247"/>
    <w:rsid w:val="00C0724B"/>
    <w:rsid w:val="00C07412"/>
    <w:rsid w:val="00C07529"/>
    <w:rsid w:val="00C07DAB"/>
    <w:rsid w:val="00C1061C"/>
    <w:rsid w:val="00C10680"/>
    <w:rsid w:val="00C106E5"/>
    <w:rsid w:val="00C1109F"/>
    <w:rsid w:val="00C11618"/>
    <w:rsid w:val="00C11E8D"/>
    <w:rsid w:val="00C127BE"/>
    <w:rsid w:val="00C12E0B"/>
    <w:rsid w:val="00C12E2C"/>
    <w:rsid w:val="00C12E88"/>
    <w:rsid w:val="00C13F21"/>
    <w:rsid w:val="00C14154"/>
    <w:rsid w:val="00C14AC7"/>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E5A"/>
    <w:rsid w:val="00C2615B"/>
    <w:rsid w:val="00C26E23"/>
    <w:rsid w:val="00C2732A"/>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7EC"/>
    <w:rsid w:val="00C3690A"/>
    <w:rsid w:val="00C36B72"/>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2F5"/>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7167"/>
    <w:rsid w:val="00C579D2"/>
    <w:rsid w:val="00C601A8"/>
    <w:rsid w:val="00C60291"/>
    <w:rsid w:val="00C609E5"/>
    <w:rsid w:val="00C60BB4"/>
    <w:rsid w:val="00C60F1B"/>
    <w:rsid w:val="00C613E9"/>
    <w:rsid w:val="00C614FC"/>
    <w:rsid w:val="00C61845"/>
    <w:rsid w:val="00C618E7"/>
    <w:rsid w:val="00C61B9B"/>
    <w:rsid w:val="00C61DDD"/>
    <w:rsid w:val="00C61E2B"/>
    <w:rsid w:val="00C61FC0"/>
    <w:rsid w:val="00C62465"/>
    <w:rsid w:val="00C62660"/>
    <w:rsid w:val="00C62D13"/>
    <w:rsid w:val="00C62EDD"/>
    <w:rsid w:val="00C630F8"/>
    <w:rsid w:val="00C635CC"/>
    <w:rsid w:val="00C63FC1"/>
    <w:rsid w:val="00C64222"/>
    <w:rsid w:val="00C64C4E"/>
    <w:rsid w:val="00C64F7C"/>
    <w:rsid w:val="00C657A1"/>
    <w:rsid w:val="00C65E4B"/>
    <w:rsid w:val="00C6602E"/>
    <w:rsid w:val="00C660DD"/>
    <w:rsid w:val="00C661E7"/>
    <w:rsid w:val="00C667AF"/>
    <w:rsid w:val="00C667F6"/>
    <w:rsid w:val="00C66AFD"/>
    <w:rsid w:val="00C66BC9"/>
    <w:rsid w:val="00C66E2F"/>
    <w:rsid w:val="00C671DC"/>
    <w:rsid w:val="00C67EE0"/>
    <w:rsid w:val="00C70132"/>
    <w:rsid w:val="00C7070D"/>
    <w:rsid w:val="00C70DDF"/>
    <w:rsid w:val="00C7159C"/>
    <w:rsid w:val="00C71863"/>
    <w:rsid w:val="00C71C45"/>
    <w:rsid w:val="00C72154"/>
    <w:rsid w:val="00C72973"/>
    <w:rsid w:val="00C72A0F"/>
    <w:rsid w:val="00C72C44"/>
    <w:rsid w:val="00C72EE8"/>
    <w:rsid w:val="00C72FA9"/>
    <w:rsid w:val="00C737F0"/>
    <w:rsid w:val="00C73895"/>
    <w:rsid w:val="00C74787"/>
    <w:rsid w:val="00C7482C"/>
    <w:rsid w:val="00C74AED"/>
    <w:rsid w:val="00C74BB8"/>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71C0"/>
    <w:rsid w:val="00C8740E"/>
    <w:rsid w:val="00C875E9"/>
    <w:rsid w:val="00C8768A"/>
    <w:rsid w:val="00C87DB0"/>
    <w:rsid w:val="00C87E0C"/>
    <w:rsid w:val="00C87F05"/>
    <w:rsid w:val="00C90E1A"/>
    <w:rsid w:val="00C90E9D"/>
    <w:rsid w:val="00C915FE"/>
    <w:rsid w:val="00C923A6"/>
    <w:rsid w:val="00C93127"/>
    <w:rsid w:val="00C93147"/>
    <w:rsid w:val="00C938B3"/>
    <w:rsid w:val="00C93B5C"/>
    <w:rsid w:val="00C93D18"/>
    <w:rsid w:val="00C93EC3"/>
    <w:rsid w:val="00C9420F"/>
    <w:rsid w:val="00C94477"/>
    <w:rsid w:val="00C945EF"/>
    <w:rsid w:val="00C946B6"/>
    <w:rsid w:val="00C94925"/>
    <w:rsid w:val="00C94C39"/>
    <w:rsid w:val="00C94C48"/>
    <w:rsid w:val="00C95652"/>
    <w:rsid w:val="00C95A93"/>
    <w:rsid w:val="00C95D0E"/>
    <w:rsid w:val="00C96DA5"/>
    <w:rsid w:val="00C96FA0"/>
    <w:rsid w:val="00C97584"/>
    <w:rsid w:val="00C976D3"/>
    <w:rsid w:val="00C97907"/>
    <w:rsid w:val="00C97C53"/>
    <w:rsid w:val="00C97CDD"/>
    <w:rsid w:val="00C97DD1"/>
    <w:rsid w:val="00CA022C"/>
    <w:rsid w:val="00CA0924"/>
    <w:rsid w:val="00CA0934"/>
    <w:rsid w:val="00CA0D53"/>
    <w:rsid w:val="00CA0EA5"/>
    <w:rsid w:val="00CA0FDA"/>
    <w:rsid w:val="00CA11F1"/>
    <w:rsid w:val="00CA12FB"/>
    <w:rsid w:val="00CA1D20"/>
    <w:rsid w:val="00CA26C5"/>
    <w:rsid w:val="00CA2953"/>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E3"/>
    <w:rsid w:val="00CB4FD8"/>
    <w:rsid w:val="00CB5667"/>
    <w:rsid w:val="00CB589E"/>
    <w:rsid w:val="00CB5BDC"/>
    <w:rsid w:val="00CB5F03"/>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A74"/>
    <w:rsid w:val="00CD3C4B"/>
    <w:rsid w:val="00CD4127"/>
    <w:rsid w:val="00CD480B"/>
    <w:rsid w:val="00CD4A39"/>
    <w:rsid w:val="00CD504B"/>
    <w:rsid w:val="00CD50B5"/>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3D6"/>
    <w:rsid w:val="00CF154A"/>
    <w:rsid w:val="00CF1D4D"/>
    <w:rsid w:val="00CF1D51"/>
    <w:rsid w:val="00CF1D85"/>
    <w:rsid w:val="00CF203E"/>
    <w:rsid w:val="00CF29DC"/>
    <w:rsid w:val="00CF2C0A"/>
    <w:rsid w:val="00CF341C"/>
    <w:rsid w:val="00CF35A8"/>
    <w:rsid w:val="00CF3850"/>
    <w:rsid w:val="00CF39D5"/>
    <w:rsid w:val="00CF3CCB"/>
    <w:rsid w:val="00CF4074"/>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EE5"/>
    <w:rsid w:val="00D0343B"/>
    <w:rsid w:val="00D036B0"/>
    <w:rsid w:val="00D036C3"/>
    <w:rsid w:val="00D0372A"/>
    <w:rsid w:val="00D03822"/>
    <w:rsid w:val="00D03861"/>
    <w:rsid w:val="00D039A1"/>
    <w:rsid w:val="00D046ED"/>
    <w:rsid w:val="00D046FB"/>
    <w:rsid w:val="00D048A6"/>
    <w:rsid w:val="00D04B2C"/>
    <w:rsid w:val="00D0550D"/>
    <w:rsid w:val="00D0572E"/>
    <w:rsid w:val="00D05B1E"/>
    <w:rsid w:val="00D05E0D"/>
    <w:rsid w:val="00D0645A"/>
    <w:rsid w:val="00D067B0"/>
    <w:rsid w:val="00D06B2D"/>
    <w:rsid w:val="00D07437"/>
    <w:rsid w:val="00D078BB"/>
    <w:rsid w:val="00D101B7"/>
    <w:rsid w:val="00D10456"/>
    <w:rsid w:val="00D10959"/>
    <w:rsid w:val="00D10993"/>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84C"/>
    <w:rsid w:val="00D248FC"/>
    <w:rsid w:val="00D24BBF"/>
    <w:rsid w:val="00D253B7"/>
    <w:rsid w:val="00D25801"/>
    <w:rsid w:val="00D258BB"/>
    <w:rsid w:val="00D26253"/>
    <w:rsid w:val="00D26D21"/>
    <w:rsid w:val="00D270CD"/>
    <w:rsid w:val="00D27295"/>
    <w:rsid w:val="00D2746E"/>
    <w:rsid w:val="00D27474"/>
    <w:rsid w:val="00D274FA"/>
    <w:rsid w:val="00D27607"/>
    <w:rsid w:val="00D27ADB"/>
    <w:rsid w:val="00D27C22"/>
    <w:rsid w:val="00D3021F"/>
    <w:rsid w:val="00D30270"/>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3AF"/>
    <w:rsid w:val="00D407E2"/>
    <w:rsid w:val="00D408BF"/>
    <w:rsid w:val="00D41189"/>
    <w:rsid w:val="00D41658"/>
    <w:rsid w:val="00D41EDB"/>
    <w:rsid w:val="00D41FD7"/>
    <w:rsid w:val="00D42134"/>
    <w:rsid w:val="00D42240"/>
    <w:rsid w:val="00D423BF"/>
    <w:rsid w:val="00D427B7"/>
    <w:rsid w:val="00D42B6F"/>
    <w:rsid w:val="00D42B92"/>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F5"/>
    <w:rsid w:val="00D51E05"/>
    <w:rsid w:val="00D51E09"/>
    <w:rsid w:val="00D5212D"/>
    <w:rsid w:val="00D5221F"/>
    <w:rsid w:val="00D523AB"/>
    <w:rsid w:val="00D52490"/>
    <w:rsid w:val="00D52619"/>
    <w:rsid w:val="00D52F94"/>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916"/>
    <w:rsid w:val="00D70D7B"/>
    <w:rsid w:val="00D70ECD"/>
    <w:rsid w:val="00D71029"/>
    <w:rsid w:val="00D71A10"/>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7BB"/>
    <w:rsid w:val="00D748E5"/>
    <w:rsid w:val="00D749DF"/>
    <w:rsid w:val="00D751B5"/>
    <w:rsid w:val="00D75555"/>
    <w:rsid w:val="00D75721"/>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EFA"/>
    <w:rsid w:val="00D81BED"/>
    <w:rsid w:val="00D81E10"/>
    <w:rsid w:val="00D827A5"/>
    <w:rsid w:val="00D82956"/>
    <w:rsid w:val="00D829A3"/>
    <w:rsid w:val="00D82CE1"/>
    <w:rsid w:val="00D82EAA"/>
    <w:rsid w:val="00D835EB"/>
    <w:rsid w:val="00D83706"/>
    <w:rsid w:val="00D8373B"/>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75D"/>
    <w:rsid w:val="00DA2C2F"/>
    <w:rsid w:val="00DA2E42"/>
    <w:rsid w:val="00DA2F64"/>
    <w:rsid w:val="00DA3975"/>
    <w:rsid w:val="00DA3BEA"/>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413"/>
    <w:rsid w:val="00DB367D"/>
    <w:rsid w:val="00DB3A00"/>
    <w:rsid w:val="00DB3A2A"/>
    <w:rsid w:val="00DB3B86"/>
    <w:rsid w:val="00DB3C4D"/>
    <w:rsid w:val="00DB3EA0"/>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1130"/>
    <w:rsid w:val="00DE171E"/>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34F"/>
    <w:rsid w:val="00DF69DF"/>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BA9"/>
    <w:rsid w:val="00E26E21"/>
    <w:rsid w:val="00E27165"/>
    <w:rsid w:val="00E271D0"/>
    <w:rsid w:val="00E2777B"/>
    <w:rsid w:val="00E2785F"/>
    <w:rsid w:val="00E27C17"/>
    <w:rsid w:val="00E27ECF"/>
    <w:rsid w:val="00E30A8A"/>
    <w:rsid w:val="00E3144D"/>
    <w:rsid w:val="00E31B0B"/>
    <w:rsid w:val="00E31C43"/>
    <w:rsid w:val="00E31D1F"/>
    <w:rsid w:val="00E321D6"/>
    <w:rsid w:val="00E32356"/>
    <w:rsid w:val="00E32371"/>
    <w:rsid w:val="00E32492"/>
    <w:rsid w:val="00E32AAB"/>
    <w:rsid w:val="00E32D13"/>
    <w:rsid w:val="00E32E55"/>
    <w:rsid w:val="00E32EC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E1"/>
    <w:rsid w:val="00E54211"/>
    <w:rsid w:val="00E547FB"/>
    <w:rsid w:val="00E553E6"/>
    <w:rsid w:val="00E55525"/>
    <w:rsid w:val="00E558DA"/>
    <w:rsid w:val="00E5590A"/>
    <w:rsid w:val="00E55CB4"/>
    <w:rsid w:val="00E55D78"/>
    <w:rsid w:val="00E56207"/>
    <w:rsid w:val="00E563FC"/>
    <w:rsid w:val="00E56730"/>
    <w:rsid w:val="00E5687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9DD"/>
    <w:rsid w:val="00E62A54"/>
    <w:rsid w:val="00E62D43"/>
    <w:rsid w:val="00E62D74"/>
    <w:rsid w:val="00E63044"/>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1144"/>
    <w:rsid w:val="00E81189"/>
    <w:rsid w:val="00E819CD"/>
    <w:rsid w:val="00E81C97"/>
    <w:rsid w:val="00E81D98"/>
    <w:rsid w:val="00E820E4"/>
    <w:rsid w:val="00E822E1"/>
    <w:rsid w:val="00E8265D"/>
    <w:rsid w:val="00E82795"/>
    <w:rsid w:val="00E82888"/>
    <w:rsid w:val="00E828DC"/>
    <w:rsid w:val="00E82C6F"/>
    <w:rsid w:val="00E82E73"/>
    <w:rsid w:val="00E83F4E"/>
    <w:rsid w:val="00E840C5"/>
    <w:rsid w:val="00E8419E"/>
    <w:rsid w:val="00E84358"/>
    <w:rsid w:val="00E84369"/>
    <w:rsid w:val="00E8472D"/>
    <w:rsid w:val="00E84E71"/>
    <w:rsid w:val="00E8543A"/>
    <w:rsid w:val="00E85F2E"/>
    <w:rsid w:val="00E86138"/>
    <w:rsid w:val="00E864D2"/>
    <w:rsid w:val="00E86D60"/>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32"/>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382"/>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39"/>
    <w:rsid w:val="00EE01D0"/>
    <w:rsid w:val="00EE0459"/>
    <w:rsid w:val="00EE05BC"/>
    <w:rsid w:val="00EE06ED"/>
    <w:rsid w:val="00EE0AC6"/>
    <w:rsid w:val="00EE0DFD"/>
    <w:rsid w:val="00EE0E70"/>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ED4"/>
    <w:rsid w:val="00EF1F59"/>
    <w:rsid w:val="00EF265F"/>
    <w:rsid w:val="00EF2826"/>
    <w:rsid w:val="00EF2988"/>
    <w:rsid w:val="00EF2B08"/>
    <w:rsid w:val="00EF2FF4"/>
    <w:rsid w:val="00EF2FFB"/>
    <w:rsid w:val="00EF33C9"/>
    <w:rsid w:val="00EF374B"/>
    <w:rsid w:val="00EF3848"/>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D74"/>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EF5"/>
    <w:rsid w:val="00F06244"/>
    <w:rsid w:val="00F065B9"/>
    <w:rsid w:val="00F066CC"/>
    <w:rsid w:val="00F06CB2"/>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925"/>
    <w:rsid w:val="00F12C9E"/>
    <w:rsid w:val="00F13B99"/>
    <w:rsid w:val="00F14A5F"/>
    <w:rsid w:val="00F14A6F"/>
    <w:rsid w:val="00F14C31"/>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20062"/>
    <w:rsid w:val="00F20468"/>
    <w:rsid w:val="00F20F1A"/>
    <w:rsid w:val="00F211C3"/>
    <w:rsid w:val="00F213EA"/>
    <w:rsid w:val="00F21664"/>
    <w:rsid w:val="00F2192E"/>
    <w:rsid w:val="00F219AF"/>
    <w:rsid w:val="00F21DD6"/>
    <w:rsid w:val="00F21E6C"/>
    <w:rsid w:val="00F221A2"/>
    <w:rsid w:val="00F22309"/>
    <w:rsid w:val="00F223EC"/>
    <w:rsid w:val="00F226B7"/>
    <w:rsid w:val="00F2281E"/>
    <w:rsid w:val="00F229AA"/>
    <w:rsid w:val="00F22A90"/>
    <w:rsid w:val="00F230DB"/>
    <w:rsid w:val="00F23145"/>
    <w:rsid w:val="00F233BB"/>
    <w:rsid w:val="00F23468"/>
    <w:rsid w:val="00F235AE"/>
    <w:rsid w:val="00F235B2"/>
    <w:rsid w:val="00F23B4C"/>
    <w:rsid w:val="00F23DFD"/>
    <w:rsid w:val="00F23F56"/>
    <w:rsid w:val="00F244C9"/>
    <w:rsid w:val="00F246D2"/>
    <w:rsid w:val="00F24C94"/>
    <w:rsid w:val="00F2521E"/>
    <w:rsid w:val="00F2523B"/>
    <w:rsid w:val="00F254D2"/>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315"/>
    <w:rsid w:val="00F3796E"/>
    <w:rsid w:val="00F37A60"/>
    <w:rsid w:val="00F37DC4"/>
    <w:rsid w:val="00F37FB8"/>
    <w:rsid w:val="00F40677"/>
    <w:rsid w:val="00F40FB5"/>
    <w:rsid w:val="00F41292"/>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611"/>
    <w:rsid w:val="00F54ADF"/>
    <w:rsid w:val="00F54B3E"/>
    <w:rsid w:val="00F55198"/>
    <w:rsid w:val="00F551CE"/>
    <w:rsid w:val="00F559C9"/>
    <w:rsid w:val="00F55B77"/>
    <w:rsid w:val="00F55EBC"/>
    <w:rsid w:val="00F5609C"/>
    <w:rsid w:val="00F560A7"/>
    <w:rsid w:val="00F56AC8"/>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311A"/>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A04"/>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9F1"/>
    <w:rsid w:val="00F73FB9"/>
    <w:rsid w:val="00F740B3"/>
    <w:rsid w:val="00F74436"/>
    <w:rsid w:val="00F744FF"/>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425E"/>
    <w:rsid w:val="00F842C8"/>
    <w:rsid w:val="00F84C77"/>
    <w:rsid w:val="00F852A9"/>
    <w:rsid w:val="00F85523"/>
    <w:rsid w:val="00F85E61"/>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FB1"/>
    <w:rsid w:val="00F931DD"/>
    <w:rsid w:val="00F936CE"/>
    <w:rsid w:val="00F93B2D"/>
    <w:rsid w:val="00F93C16"/>
    <w:rsid w:val="00F93F42"/>
    <w:rsid w:val="00F93FC6"/>
    <w:rsid w:val="00F94545"/>
    <w:rsid w:val="00F94776"/>
    <w:rsid w:val="00F94C4D"/>
    <w:rsid w:val="00F94D4E"/>
    <w:rsid w:val="00F96008"/>
    <w:rsid w:val="00F967C5"/>
    <w:rsid w:val="00F967E8"/>
    <w:rsid w:val="00F96C8F"/>
    <w:rsid w:val="00F96D03"/>
    <w:rsid w:val="00F96D04"/>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5023"/>
    <w:rsid w:val="00FA50D3"/>
    <w:rsid w:val="00FA53E1"/>
    <w:rsid w:val="00FA56BB"/>
    <w:rsid w:val="00FA5794"/>
    <w:rsid w:val="00FA582E"/>
    <w:rsid w:val="00FA5889"/>
    <w:rsid w:val="00FA6035"/>
    <w:rsid w:val="00FA61BC"/>
    <w:rsid w:val="00FA64B6"/>
    <w:rsid w:val="00FA6AC7"/>
    <w:rsid w:val="00FA6FC1"/>
    <w:rsid w:val="00FA7376"/>
    <w:rsid w:val="00FA7D13"/>
    <w:rsid w:val="00FA7EC2"/>
    <w:rsid w:val="00FB0189"/>
    <w:rsid w:val="00FB01BB"/>
    <w:rsid w:val="00FB0588"/>
    <w:rsid w:val="00FB0A03"/>
    <w:rsid w:val="00FB0AA9"/>
    <w:rsid w:val="00FB1011"/>
    <w:rsid w:val="00FB115B"/>
    <w:rsid w:val="00FB15A0"/>
    <w:rsid w:val="00FB16BB"/>
    <w:rsid w:val="00FB1984"/>
    <w:rsid w:val="00FB1B3B"/>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CC8"/>
    <w:rsid w:val="00FB5D68"/>
    <w:rsid w:val="00FB64C7"/>
    <w:rsid w:val="00FB6D27"/>
    <w:rsid w:val="00FB7148"/>
    <w:rsid w:val="00FB7CB5"/>
    <w:rsid w:val="00FC020A"/>
    <w:rsid w:val="00FC04BF"/>
    <w:rsid w:val="00FC06DF"/>
    <w:rsid w:val="00FC12A5"/>
    <w:rsid w:val="00FC1571"/>
    <w:rsid w:val="00FC15C5"/>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EFE"/>
    <w:rsid w:val="00FC751B"/>
    <w:rsid w:val="00FC7C71"/>
    <w:rsid w:val="00FD07F8"/>
    <w:rsid w:val="00FD08C9"/>
    <w:rsid w:val="00FD1207"/>
    <w:rsid w:val="00FD1359"/>
    <w:rsid w:val="00FD1DF5"/>
    <w:rsid w:val="00FD1E79"/>
    <w:rsid w:val="00FD27A4"/>
    <w:rsid w:val="00FD3250"/>
    <w:rsid w:val="00FD3838"/>
    <w:rsid w:val="00FD3BF3"/>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938"/>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1D15FF8"/>
    <w:rsid w:val="022474BC"/>
    <w:rsid w:val="02524672"/>
    <w:rsid w:val="027409D8"/>
    <w:rsid w:val="029C3E7F"/>
    <w:rsid w:val="02CA3B10"/>
    <w:rsid w:val="02F31862"/>
    <w:rsid w:val="03324FAE"/>
    <w:rsid w:val="0346799E"/>
    <w:rsid w:val="03922C41"/>
    <w:rsid w:val="053A132C"/>
    <w:rsid w:val="05C96B01"/>
    <w:rsid w:val="06800622"/>
    <w:rsid w:val="0684379E"/>
    <w:rsid w:val="06C36AB7"/>
    <w:rsid w:val="070A04EB"/>
    <w:rsid w:val="095D4911"/>
    <w:rsid w:val="09D92373"/>
    <w:rsid w:val="0A355B0A"/>
    <w:rsid w:val="0BEC5D20"/>
    <w:rsid w:val="0C3C3E51"/>
    <w:rsid w:val="0C404EDA"/>
    <w:rsid w:val="0D845A01"/>
    <w:rsid w:val="0DA52BFB"/>
    <w:rsid w:val="0E8F565C"/>
    <w:rsid w:val="0EAF5890"/>
    <w:rsid w:val="101C3833"/>
    <w:rsid w:val="10541B3E"/>
    <w:rsid w:val="12BA62B8"/>
    <w:rsid w:val="130428A6"/>
    <w:rsid w:val="13E17B93"/>
    <w:rsid w:val="14C9653B"/>
    <w:rsid w:val="14D96A3A"/>
    <w:rsid w:val="14E0457C"/>
    <w:rsid w:val="15091187"/>
    <w:rsid w:val="150F2550"/>
    <w:rsid w:val="155C2753"/>
    <w:rsid w:val="16905CCA"/>
    <w:rsid w:val="16DA732C"/>
    <w:rsid w:val="18302C19"/>
    <w:rsid w:val="18E1620C"/>
    <w:rsid w:val="19426110"/>
    <w:rsid w:val="19C847B6"/>
    <w:rsid w:val="1AFF7C55"/>
    <w:rsid w:val="1B214001"/>
    <w:rsid w:val="1E2C5A3C"/>
    <w:rsid w:val="1E5E23A9"/>
    <w:rsid w:val="1F4C3719"/>
    <w:rsid w:val="1FA94043"/>
    <w:rsid w:val="2043592D"/>
    <w:rsid w:val="204D2B25"/>
    <w:rsid w:val="20AB20D7"/>
    <w:rsid w:val="21347739"/>
    <w:rsid w:val="2141564A"/>
    <w:rsid w:val="233B1A73"/>
    <w:rsid w:val="253138DC"/>
    <w:rsid w:val="261332A1"/>
    <w:rsid w:val="261F1929"/>
    <w:rsid w:val="263C0C19"/>
    <w:rsid w:val="26B71A1B"/>
    <w:rsid w:val="278752CF"/>
    <w:rsid w:val="27962DA1"/>
    <w:rsid w:val="27A82FDF"/>
    <w:rsid w:val="2A0B620E"/>
    <w:rsid w:val="2AB3287B"/>
    <w:rsid w:val="2AB72AB5"/>
    <w:rsid w:val="2C9B5ED6"/>
    <w:rsid w:val="2D8D4329"/>
    <w:rsid w:val="2F197E2E"/>
    <w:rsid w:val="30022E8B"/>
    <w:rsid w:val="310E5C74"/>
    <w:rsid w:val="313C51D5"/>
    <w:rsid w:val="313D6BC8"/>
    <w:rsid w:val="31881343"/>
    <w:rsid w:val="320C5D75"/>
    <w:rsid w:val="325544C0"/>
    <w:rsid w:val="33FF6F49"/>
    <w:rsid w:val="34520F6F"/>
    <w:rsid w:val="34C25B71"/>
    <w:rsid w:val="35CC0DD0"/>
    <w:rsid w:val="36203947"/>
    <w:rsid w:val="362721B9"/>
    <w:rsid w:val="399F363A"/>
    <w:rsid w:val="3A147940"/>
    <w:rsid w:val="3A685F64"/>
    <w:rsid w:val="3D111B52"/>
    <w:rsid w:val="3EAB70AA"/>
    <w:rsid w:val="3F416B69"/>
    <w:rsid w:val="404A237A"/>
    <w:rsid w:val="405A60C3"/>
    <w:rsid w:val="43B96DC2"/>
    <w:rsid w:val="43D44CBD"/>
    <w:rsid w:val="453D2662"/>
    <w:rsid w:val="45ED4DB3"/>
    <w:rsid w:val="45FA0A50"/>
    <w:rsid w:val="4737575E"/>
    <w:rsid w:val="47CE0060"/>
    <w:rsid w:val="48712FAB"/>
    <w:rsid w:val="48FE2AFE"/>
    <w:rsid w:val="49513088"/>
    <w:rsid w:val="49A96A85"/>
    <w:rsid w:val="49BD2C31"/>
    <w:rsid w:val="4AB417F8"/>
    <w:rsid w:val="4B556323"/>
    <w:rsid w:val="4DE4260C"/>
    <w:rsid w:val="4F630E53"/>
    <w:rsid w:val="50456905"/>
    <w:rsid w:val="504753B0"/>
    <w:rsid w:val="506371B6"/>
    <w:rsid w:val="51D83DDE"/>
    <w:rsid w:val="523B1F6C"/>
    <w:rsid w:val="523D1FBF"/>
    <w:rsid w:val="52E741F1"/>
    <w:rsid w:val="533C0742"/>
    <w:rsid w:val="53A90DD6"/>
    <w:rsid w:val="53DD0587"/>
    <w:rsid w:val="547712F9"/>
    <w:rsid w:val="548B7388"/>
    <w:rsid w:val="54D03207"/>
    <w:rsid w:val="55002119"/>
    <w:rsid w:val="56813052"/>
    <w:rsid w:val="58A67E21"/>
    <w:rsid w:val="58E722AA"/>
    <w:rsid w:val="593415D8"/>
    <w:rsid w:val="5AE140F5"/>
    <w:rsid w:val="5C0D7610"/>
    <w:rsid w:val="5C670BE7"/>
    <w:rsid w:val="5F91586F"/>
    <w:rsid w:val="5FB1776A"/>
    <w:rsid w:val="621F2F65"/>
    <w:rsid w:val="62330435"/>
    <w:rsid w:val="624542F7"/>
    <w:rsid w:val="627D1ABB"/>
    <w:rsid w:val="63861E46"/>
    <w:rsid w:val="64CC6AB9"/>
    <w:rsid w:val="65D97277"/>
    <w:rsid w:val="669A46EC"/>
    <w:rsid w:val="679223D7"/>
    <w:rsid w:val="67B87530"/>
    <w:rsid w:val="6807250E"/>
    <w:rsid w:val="680964FD"/>
    <w:rsid w:val="6834486B"/>
    <w:rsid w:val="687E2D15"/>
    <w:rsid w:val="689C2E1C"/>
    <w:rsid w:val="68C022A4"/>
    <w:rsid w:val="6974532B"/>
    <w:rsid w:val="69E36984"/>
    <w:rsid w:val="6A1F0AEE"/>
    <w:rsid w:val="6A52646C"/>
    <w:rsid w:val="6AF4598C"/>
    <w:rsid w:val="6BDD7AA1"/>
    <w:rsid w:val="6BE1588D"/>
    <w:rsid w:val="6D120AC5"/>
    <w:rsid w:val="6E213FBE"/>
    <w:rsid w:val="6E6563FC"/>
    <w:rsid w:val="6E915A29"/>
    <w:rsid w:val="6EFD0F57"/>
    <w:rsid w:val="6F672065"/>
    <w:rsid w:val="6F9237F6"/>
    <w:rsid w:val="71091AA0"/>
    <w:rsid w:val="712217F2"/>
    <w:rsid w:val="727E17A7"/>
    <w:rsid w:val="72D46F0C"/>
    <w:rsid w:val="73BC45C5"/>
    <w:rsid w:val="73F146B2"/>
    <w:rsid w:val="74F26C6A"/>
    <w:rsid w:val="7500358E"/>
    <w:rsid w:val="756B46C2"/>
    <w:rsid w:val="76385CE8"/>
    <w:rsid w:val="764F62FF"/>
    <w:rsid w:val="77752190"/>
    <w:rsid w:val="7778132F"/>
    <w:rsid w:val="787755CE"/>
    <w:rsid w:val="78C56F2E"/>
    <w:rsid w:val="795F479B"/>
    <w:rsid w:val="7AF42973"/>
    <w:rsid w:val="7B427717"/>
    <w:rsid w:val="7BA925CE"/>
    <w:rsid w:val="7BD362C2"/>
    <w:rsid w:val="7BF2737A"/>
    <w:rsid w:val="7C5312D2"/>
    <w:rsid w:val="7C61028B"/>
    <w:rsid w:val="7DC87195"/>
    <w:rsid w:val="7EBF2C93"/>
    <w:rsid w:val="7F2C186C"/>
    <w:rsid w:val="7F385E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89"/>
    <w:qFormat/>
    <w:uiPriority w:val="9"/>
    <w:pPr>
      <w:keepNext/>
      <w:spacing w:before="240" w:after="240"/>
      <w:outlineLvl w:val="0"/>
    </w:pPr>
    <w:rPr>
      <w:rFonts w:ascii="Helvetica" w:hAnsi="Helvetica" w:cs="Arial"/>
      <w:b/>
      <w:bCs/>
      <w:kern w:val="32"/>
      <w:sz w:val="28"/>
      <w:szCs w:val="32"/>
    </w:rPr>
  </w:style>
  <w:style w:type="paragraph" w:styleId="3">
    <w:name w:val="heading 2"/>
    <w:basedOn w:val="1"/>
    <w:next w:val="4"/>
    <w:link w:val="85"/>
    <w:qFormat/>
    <w:uiPriority w:val="0"/>
    <w:pPr>
      <w:keepNext/>
      <w:spacing w:before="240" w:after="60"/>
      <w:outlineLvl w:val="1"/>
    </w:pPr>
    <w:rPr>
      <w:rFonts w:ascii="Helvetica" w:hAnsi="Helvetica" w:cs="Arial"/>
      <w:b/>
      <w:bCs/>
      <w:iCs/>
      <w:szCs w:val="28"/>
    </w:rPr>
  </w:style>
  <w:style w:type="paragraph" w:styleId="5">
    <w:name w:val="heading 3"/>
    <w:basedOn w:val="1"/>
    <w:next w:val="1"/>
    <w:link w:val="37"/>
    <w:qFormat/>
    <w:uiPriority w:val="0"/>
    <w:pPr>
      <w:keepNext/>
      <w:keepLines/>
      <w:numPr>
        <w:ilvl w:val="0"/>
        <w:numId w:val="1"/>
      </w:numPr>
      <w:spacing w:before="120" w:after="180"/>
      <w:outlineLvl w:val="2"/>
    </w:pPr>
    <w:rPr>
      <w:rFonts w:ascii="Arial" w:hAnsi="Arial" w:eastAsia="宋体"/>
      <w:b/>
      <w:bCs/>
      <w:sz w:val="21"/>
      <w:szCs w:val="26"/>
    </w:rPr>
  </w:style>
  <w:style w:type="paragraph" w:styleId="6">
    <w:name w:val="heading 4"/>
    <w:basedOn w:val="1"/>
    <w:next w:val="1"/>
    <w:qFormat/>
    <w:uiPriority w:val="0"/>
    <w:pPr>
      <w:keepNext/>
      <w:numPr>
        <w:ilvl w:val="3"/>
        <w:numId w:val="2"/>
      </w:numPr>
      <w:spacing w:before="240" w:after="60"/>
      <w:outlineLvl w:val="3"/>
    </w:pPr>
    <w:rPr>
      <w:b/>
      <w:bCs/>
      <w:i/>
      <w:sz w:val="20"/>
      <w:szCs w:val="28"/>
    </w:rPr>
  </w:style>
  <w:style w:type="paragraph" w:styleId="7">
    <w:name w:val="heading 5"/>
    <w:basedOn w:val="1"/>
    <w:next w:val="1"/>
    <w:link w:val="55"/>
    <w:qFormat/>
    <w:uiPriority w:val="0"/>
    <w:pPr>
      <w:keepNext/>
      <w:keepLines/>
      <w:spacing w:before="280" w:after="290" w:line="376" w:lineRule="auto"/>
      <w:outlineLvl w:val="4"/>
    </w:pPr>
    <w:rPr>
      <w:b/>
      <w:bCs/>
      <w:sz w:val="28"/>
      <w:szCs w:val="28"/>
    </w:rPr>
  </w:style>
  <w:style w:type="character" w:default="1" w:styleId="30">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w:basedOn w:val="1"/>
    <w:link w:val="40"/>
    <w:qFormat/>
    <w:uiPriority w:val="0"/>
    <w:pPr>
      <w:spacing w:after="120"/>
      <w:jc w:val="both"/>
    </w:pPr>
    <w:rPr>
      <w:rFonts w:ascii="Times" w:hAnsi="Times" w:eastAsia="宋体"/>
      <w:sz w:val="20"/>
    </w:rPr>
  </w:style>
  <w:style w:type="paragraph" w:styleId="8">
    <w:name w:val="caption"/>
    <w:basedOn w:val="1"/>
    <w:next w:val="1"/>
    <w:link w:val="59"/>
    <w:qFormat/>
    <w:uiPriority w:val="0"/>
    <w:pPr>
      <w:spacing w:before="120" w:after="120"/>
    </w:pPr>
    <w:rPr>
      <w:b/>
      <w:bCs/>
      <w:sz w:val="20"/>
      <w:szCs w:val="20"/>
    </w:rPr>
  </w:style>
  <w:style w:type="paragraph" w:styleId="9">
    <w:name w:val="Document Map"/>
    <w:basedOn w:val="1"/>
    <w:semiHidden/>
    <w:qFormat/>
    <w:uiPriority w:val="0"/>
    <w:pPr>
      <w:shd w:val="clear" w:color="auto" w:fill="000080"/>
    </w:pPr>
  </w:style>
  <w:style w:type="paragraph" w:styleId="10">
    <w:name w:val="annotation text"/>
    <w:basedOn w:val="1"/>
    <w:semiHidden/>
    <w:qFormat/>
    <w:uiPriority w:val="0"/>
    <w:rPr>
      <w:sz w:val="20"/>
      <w:szCs w:val="20"/>
    </w:rPr>
  </w:style>
  <w:style w:type="paragraph" w:styleId="11">
    <w:name w:val="List Number 3"/>
    <w:basedOn w:val="1"/>
    <w:qFormat/>
    <w:uiPriority w:val="0"/>
    <w:pPr>
      <w:numPr>
        <w:ilvl w:val="0"/>
        <w:numId w:val="3"/>
      </w:numPr>
      <w:overflowPunct w:val="0"/>
      <w:autoSpaceDE w:val="0"/>
      <w:autoSpaceDN w:val="0"/>
      <w:adjustRightInd w:val="0"/>
      <w:spacing w:after="180"/>
      <w:textAlignment w:val="baseline"/>
    </w:pPr>
    <w:rPr>
      <w:sz w:val="20"/>
      <w:szCs w:val="20"/>
      <w:lang w:val="en-GB"/>
    </w:rPr>
  </w:style>
  <w:style w:type="paragraph" w:styleId="12">
    <w:name w:val="List 2"/>
    <w:basedOn w:val="1"/>
    <w:qFormat/>
    <w:uiPriority w:val="0"/>
    <w:pPr>
      <w:ind w:left="100" w:leftChars="200" w:hanging="200" w:hangingChars="200"/>
    </w:pPr>
  </w:style>
  <w:style w:type="paragraph" w:styleId="13">
    <w:name w:val="endnote text"/>
    <w:basedOn w:val="1"/>
    <w:link w:val="43"/>
    <w:qFormat/>
    <w:uiPriority w:val="0"/>
    <w:pPr>
      <w:snapToGrid w:val="0"/>
    </w:pPr>
  </w:style>
  <w:style w:type="paragraph" w:styleId="14">
    <w:name w:val="Balloon Text"/>
    <w:basedOn w:val="1"/>
    <w:semiHidden/>
    <w:qFormat/>
    <w:uiPriority w:val="0"/>
    <w:rPr>
      <w:rFonts w:ascii="Arial" w:hAnsi="Arial" w:eastAsia="MS Gothic"/>
      <w:sz w:val="18"/>
      <w:szCs w:val="18"/>
    </w:rPr>
  </w:style>
  <w:style w:type="paragraph" w:styleId="15">
    <w:name w:val="footer"/>
    <w:basedOn w:val="1"/>
    <w:link w:val="45"/>
    <w:qFormat/>
    <w:uiPriority w:val="99"/>
    <w:pPr>
      <w:tabs>
        <w:tab w:val="center" w:pos="4153"/>
        <w:tab w:val="right" w:pos="8306"/>
      </w:tabs>
      <w:snapToGrid w:val="0"/>
    </w:pPr>
    <w:rPr>
      <w:sz w:val="18"/>
      <w:szCs w:val="18"/>
    </w:rPr>
  </w:style>
  <w:style w:type="paragraph" w:styleId="16">
    <w:name w:val="header"/>
    <w:basedOn w:val="1"/>
    <w:link w:val="72"/>
    <w:qFormat/>
    <w:uiPriority w:val="0"/>
    <w:pPr>
      <w:tabs>
        <w:tab w:val="left" w:pos="2552"/>
      </w:tabs>
    </w:pPr>
    <w:rPr>
      <w:rFonts w:ascii="Arial" w:hAnsi="Arial"/>
      <w:b/>
      <w:sz w:val="20"/>
    </w:rPr>
  </w:style>
  <w:style w:type="paragraph" w:styleId="17">
    <w:name w:val="List"/>
    <w:basedOn w:val="1"/>
    <w:qFormat/>
    <w:uiPriority w:val="0"/>
    <w:pPr>
      <w:ind w:left="200" w:hanging="200" w:hangingChars="200"/>
    </w:pPr>
  </w:style>
  <w:style w:type="paragraph" w:styleId="18">
    <w:name w:val="footnote text"/>
    <w:basedOn w:val="1"/>
    <w:link w:val="42"/>
    <w:qFormat/>
    <w:uiPriority w:val="0"/>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19">
    <w:name w:val="Normal (Web)"/>
    <w:basedOn w:val="1"/>
    <w:unhideWhenUsed/>
    <w:qFormat/>
    <w:uiPriority w:val="99"/>
    <w:pPr>
      <w:spacing w:before="100" w:beforeAutospacing="1" w:after="100" w:afterAutospacing="1"/>
    </w:pPr>
    <w:rPr>
      <w:rFonts w:ascii="宋体" w:hAnsi="宋体" w:eastAsia="宋体" w:cs="宋体"/>
      <w:lang w:eastAsia="zh-CN"/>
    </w:rPr>
  </w:style>
  <w:style w:type="paragraph" w:styleId="20">
    <w:name w:val="annotation subject"/>
    <w:basedOn w:val="10"/>
    <w:next w:val="10"/>
    <w:semiHidden/>
    <w:qFormat/>
    <w:uiPriority w:val="0"/>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3">
    <w:name w:val="Table Elegant"/>
    <w:basedOn w:val="21"/>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24">
    <w:name w:val="Table Classic 1"/>
    <w:basedOn w:val="21"/>
    <w:qFormat/>
    <w:uiPriority w:val="0"/>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25">
    <w:name w:val="Light Shading Accent 5"/>
    <w:basedOn w:val="21"/>
    <w:qFormat/>
    <w:uiPriority w:val="60"/>
    <w:rPr>
      <w:color w:val="31849B"/>
    </w:rPr>
    <w:tblPr>
      <w:tblBorders>
        <w:top w:val="single" w:color="4BACC6" w:sz="8" w:space="0"/>
        <w:bottom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1"/>
      </w:tcPr>
    </w:tblStylePr>
    <w:tblStylePr w:type="band1Horz">
      <w:tblPr>
        <w:tblLayout w:type="fixed"/>
      </w:tblPr>
      <w:tcPr>
        <w:tcBorders>
          <w:left w:val="nil"/>
          <w:right w:val="nil"/>
          <w:insideH w:val="nil"/>
          <w:insideV w:val="nil"/>
        </w:tcBorders>
        <w:shd w:val="clear" w:color="auto" w:fill="D2EAF1"/>
      </w:tcPr>
    </w:tblStylePr>
  </w:style>
  <w:style w:type="table" w:styleId="26">
    <w:name w:val="Light List Accent 5"/>
    <w:basedOn w:val="21"/>
    <w:qFormat/>
    <w:uiPriority w:val="61"/>
    <w:tblPr>
      <w:tblBorders>
        <w:top w:val="single" w:color="4BACC6" w:sz="8" w:space="0"/>
        <w:left w:val="single" w:color="4BACC6" w:sz="8" w:space="0"/>
        <w:bottom w:val="single" w:color="4BACC6" w:sz="8" w:space="0"/>
        <w:right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shd w:val="clear" w:color="auto" w:fill="4BACC6"/>
      </w:tcPr>
    </w:tblStylePr>
    <w:tblStylePr w:type="lastRow">
      <w:pPr>
        <w:spacing w:before="0" w:after="0" w:line="240" w:lineRule="auto"/>
      </w:pPr>
      <w:rPr>
        <w:b/>
        <w:bCs/>
      </w:rPr>
      <w:tblPr>
        <w:tblLayout w:type="fixed"/>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tcPr>
    </w:tblStylePr>
    <w:tblStylePr w:type="band1Horz">
      <w:tblPr>
        <w:tblLayout w:type="fixed"/>
      </w:tblPr>
      <w:tcPr>
        <w:tcBorders>
          <w:top w:val="single" w:color="4BACC6" w:sz="8" w:space="0"/>
          <w:left w:val="single" w:color="4BACC6" w:sz="8" w:space="0"/>
          <w:bottom w:val="single" w:color="4BACC6" w:sz="8" w:space="0"/>
          <w:right w:val="single" w:color="4BACC6" w:sz="8" w:space="0"/>
        </w:tcBorders>
      </w:tcPr>
    </w:tblStylePr>
  </w:style>
  <w:style w:type="table" w:styleId="27">
    <w:name w:val="Light Grid Accent 5"/>
    <w:basedOn w:val="21"/>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blPr>
        <w:tblLayout w:type="fixed"/>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Cambria" w:hAnsi="Cambria" w:eastAsia="宋体" w:cs="Times New Roman"/>
        <w:b/>
        <w:bCs/>
      </w:rPr>
      <w:tblPr>
        <w:tblLayout w:type="fixed"/>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blPr>
        <w:tblLayout w:type="fixed"/>
      </w:tblPr>
      <w:tcPr>
        <w:tcBorders>
          <w:top w:val="single" w:color="4BACC6" w:sz="8" w:space="0"/>
          <w:left w:val="single" w:color="4BACC6" w:sz="8" w:space="0"/>
          <w:bottom w:val="single" w:color="4BACC6" w:sz="8" w:space="0"/>
          <w:right w:val="single" w:color="4BACC6" w:sz="8" w:space="0"/>
        </w:tcBorders>
      </w:tc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blLayout w:type="fixed"/>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blLayout w:type="fixed"/>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28">
    <w:name w:val="Medium Shading 2 Accent 5"/>
    <w:basedOn w:val="21"/>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blLayout w:type="fixed"/>
      </w:tblPr>
      <w:tcPr>
        <w:tcBorders>
          <w:left w:val="nil"/>
          <w:right w:val="nil"/>
          <w:insideH w:val="nil"/>
          <w:insideV w:val="nil"/>
        </w:tcBorders>
        <w:shd w:val="clear" w:color="auto" w:fill="4BACC6"/>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29">
    <w:name w:val="Medium Grid 3 Accent 1"/>
    <w:basedOn w:val="21"/>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CellMar>
        <w:top w:w="0" w:type="dxa"/>
        <w:left w:w="108" w:type="dxa"/>
        <w:bottom w:w="0" w:type="dxa"/>
        <w:right w:w="108" w:type="dxa"/>
      </w:tblCellMar>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31">
    <w:name w:val="endnote reference"/>
    <w:qFormat/>
    <w:uiPriority w:val="0"/>
    <w:rPr>
      <w:vertAlign w:val="superscript"/>
    </w:rPr>
  </w:style>
  <w:style w:type="character" w:styleId="32">
    <w:name w:val="page number"/>
    <w:basedOn w:val="30"/>
    <w:qFormat/>
    <w:uiPriority w:val="0"/>
  </w:style>
  <w:style w:type="character" w:styleId="33">
    <w:name w:val="Emphasis"/>
    <w:basedOn w:val="30"/>
    <w:qFormat/>
    <w:uiPriority w:val="20"/>
    <w:rPr>
      <w:i/>
      <w:iCs/>
    </w:rPr>
  </w:style>
  <w:style w:type="character" w:styleId="34">
    <w:name w:val="Hyperlink"/>
    <w:qFormat/>
    <w:uiPriority w:val="99"/>
    <w:rPr>
      <w:color w:val="0000FF"/>
      <w:u w:val="single"/>
    </w:rPr>
  </w:style>
  <w:style w:type="character" w:styleId="35">
    <w:name w:val="annotation reference"/>
    <w:semiHidden/>
    <w:qFormat/>
    <w:uiPriority w:val="0"/>
    <w:rPr>
      <w:sz w:val="16"/>
      <w:szCs w:val="16"/>
    </w:rPr>
  </w:style>
  <w:style w:type="character" w:styleId="36">
    <w:name w:val="footnote reference"/>
    <w:qFormat/>
    <w:uiPriority w:val="0"/>
    <w:rPr>
      <w:position w:val="6"/>
      <w:sz w:val="18"/>
    </w:rPr>
  </w:style>
  <w:style w:type="character" w:customStyle="1" w:styleId="37">
    <w:name w:val="标题 3 Char"/>
    <w:link w:val="5"/>
    <w:qFormat/>
    <w:uiPriority w:val="0"/>
    <w:rPr>
      <w:rFonts w:ascii="Arial" w:hAnsi="Arial"/>
      <w:b/>
      <w:bCs/>
      <w:sz w:val="21"/>
      <w:szCs w:val="26"/>
      <w:lang w:eastAsia="en-US"/>
    </w:rPr>
  </w:style>
  <w:style w:type="paragraph" w:customStyle="1" w:styleId="38">
    <w:name w:val="Char Char16"/>
    <w:basedOn w:val="9"/>
    <w:qFormat/>
    <w:uiPriority w:val="0"/>
    <w:pPr>
      <w:widowControl w:val="0"/>
      <w:adjustRightInd w:val="0"/>
      <w:spacing w:line="436" w:lineRule="exact"/>
      <w:ind w:left="357"/>
      <w:outlineLvl w:val="3"/>
    </w:pPr>
    <w:rPr>
      <w:rFonts w:ascii="Tahoma" w:hAnsi="Tahoma" w:eastAsia="宋体"/>
      <w:b/>
      <w:kern w:val="2"/>
      <w:lang w:eastAsia="zh-CN"/>
    </w:rPr>
  </w:style>
  <w:style w:type="paragraph" w:customStyle="1" w:styleId="39">
    <w:name w:val="TF"/>
    <w:basedOn w:val="1"/>
    <w:qFormat/>
    <w:uiPriority w:val="0"/>
    <w:pPr>
      <w:keepLines/>
      <w:overflowPunct w:val="0"/>
      <w:autoSpaceDE w:val="0"/>
      <w:autoSpaceDN w:val="0"/>
      <w:adjustRightInd w:val="0"/>
      <w:spacing w:after="240"/>
      <w:jc w:val="center"/>
      <w:textAlignment w:val="baseline"/>
    </w:pPr>
    <w:rPr>
      <w:rFonts w:ascii="Arial" w:hAnsi="Arial" w:eastAsia="宋体"/>
      <w:b/>
      <w:sz w:val="20"/>
      <w:szCs w:val="20"/>
      <w:lang w:val="en-GB"/>
    </w:rPr>
  </w:style>
  <w:style w:type="character" w:customStyle="1" w:styleId="40">
    <w:name w:val="正文文本 Char1"/>
    <w:link w:val="4"/>
    <w:qFormat/>
    <w:uiPriority w:val="0"/>
    <w:rPr>
      <w:rFonts w:ascii="Times" w:hAnsi="Times"/>
      <w:szCs w:val="24"/>
      <w:lang w:val="en-US" w:eastAsia="en-US" w:bidi="ar-SA"/>
    </w:rPr>
  </w:style>
  <w:style w:type="paragraph" w:customStyle="1" w:styleId="41">
    <w:name w:val="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
    <w:name w:val="脚注文本 Char"/>
    <w:link w:val="18"/>
    <w:qFormat/>
    <w:uiPriority w:val="0"/>
    <w:rPr>
      <w:rFonts w:eastAsia="宋体"/>
      <w:sz w:val="22"/>
      <w:lang w:val="en-GB" w:eastAsia="en-US"/>
    </w:rPr>
  </w:style>
  <w:style w:type="character" w:customStyle="1" w:styleId="43">
    <w:name w:val="尾注文本 Char"/>
    <w:link w:val="13"/>
    <w:qFormat/>
    <w:uiPriority w:val="0"/>
    <w:rPr>
      <w:rFonts w:eastAsia="Times New Roman"/>
      <w:sz w:val="24"/>
      <w:szCs w:val="24"/>
      <w:lang w:eastAsia="en-US"/>
    </w:rPr>
  </w:style>
  <w:style w:type="paragraph" w:customStyle="1" w:styleId="44">
    <w:name w:val="彩色底纹 - 着色 11"/>
    <w:hidden/>
    <w:semiHidden/>
    <w:qFormat/>
    <w:uiPriority w:val="99"/>
    <w:rPr>
      <w:rFonts w:ascii="Times New Roman" w:hAnsi="Times New Roman" w:eastAsia="Times New Roman" w:cs="Times New Roman"/>
      <w:sz w:val="24"/>
      <w:szCs w:val="24"/>
      <w:lang w:val="en-US" w:eastAsia="en-US" w:bidi="ar-SA"/>
    </w:rPr>
  </w:style>
  <w:style w:type="character" w:customStyle="1" w:styleId="45">
    <w:name w:val="页脚 Char"/>
    <w:link w:val="15"/>
    <w:qFormat/>
    <w:uiPriority w:val="99"/>
    <w:rPr>
      <w:rFonts w:eastAsia="Times New Roman"/>
      <w:sz w:val="18"/>
      <w:szCs w:val="18"/>
      <w:lang w:eastAsia="en-US"/>
    </w:rPr>
  </w:style>
  <w:style w:type="paragraph" w:customStyle="1" w:styleId="46">
    <w:name w:val="Normal_after_title"/>
    <w:basedOn w:val="1"/>
    <w:next w:val="1"/>
    <w:link w:val="49"/>
    <w:qFormat/>
    <w:uiPriority w:val="0"/>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47">
    <w:name w:val="Equation"/>
    <w:basedOn w:val="1"/>
    <w:link w:val="50"/>
    <w:qFormat/>
    <w:uiPriority w:val="0"/>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48">
    <w:name w:val="Char1 Char Char1 Char"/>
    <w:basedOn w:val="1"/>
    <w:qFormat/>
    <w:uiPriority w:val="0"/>
    <w:pPr>
      <w:tabs>
        <w:tab w:val="left" w:pos="540"/>
        <w:tab w:val="left" w:pos="1260"/>
        <w:tab w:val="left" w:pos="1800"/>
      </w:tabs>
      <w:spacing w:before="240" w:after="160" w:line="240" w:lineRule="exact"/>
    </w:pPr>
    <w:rPr>
      <w:rFonts w:ascii="Verdana" w:hAnsi="Verdana" w:eastAsia="Batang"/>
      <w:szCs w:val="20"/>
    </w:rPr>
  </w:style>
  <w:style w:type="character" w:customStyle="1" w:styleId="49">
    <w:name w:val="Normal_after_title Char"/>
    <w:link w:val="46"/>
    <w:qFormat/>
    <w:uiPriority w:val="0"/>
    <w:rPr>
      <w:rFonts w:eastAsia="Batang"/>
      <w:sz w:val="24"/>
      <w:lang w:val="en-GB" w:eastAsia="en-US"/>
    </w:rPr>
  </w:style>
  <w:style w:type="character" w:customStyle="1" w:styleId="50">
    <w:name w:val="Equation.eq Char"/>
    <w:link w:val="47"/>
    <w:qFormat/>
    <w:uiPriority w:val="0"/>
    <w:rPr>
      <w:rFonts w:eastAsia="Batang"/>
      <w:sz w:val="24"/>
      <w:lang w:val="en-GB" w:eastAsia="en-US"/>
    </w:rPr>
  </w:style>
  <w:style w:type="paragraph" w:customStyle="1" w:styleId="51">
    <w:name w:val="Figure_title"/>
    <w:basedOn w:val="1"/>
    <w:next w:val="1"/>
    <w:link w:val="52"/>
    <w:qFormat/>
    <w:uiPriority w:val="0"/>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52">
    <w:name w:val="Figure_title Char"/>
    <w:link w:val="51"/>
    <w:qFormat/>
    <w:uiPriority w:val="0"/>
    <w:rPr>
      <w:rFonts w:eastAsia="Batang"/>
      <w:b/>
      <w:sz w:val="24"/>
      <w:lang w:val="en-GB" w:eastAsia="en-US"/>
    </w:rPr>
  </w:style>
  <w:style w:type="paragraph" w:customStyle="1" w:styleId="53">
    <w:name w:val="彩色列表 - 着色 11"/>
    <w:basedOn w:val="1"/>
    <w:qFormat/>
    <w:uiPriority w:val="34"/>
    <w:pPr>
      <w:ind w:firstLine="420" w:firstLineChars="200"/>
    </w:pPr>
    <w:rPr>
      <w:rFonts w:ascii="宋体" w:hAnsi="宋体" w:eastAsia="宋体" w:cs="宋体"/>
      <w:lang w:eastAsia="zh-CN"/>
    </w:rPr>
  </w:style>
  <w:style w:type="paragraph" w:customStyle="1" w:styleId="54">
    <w:name w:val="PaperTableCell"/>
    <w:basedOn w:val="1"/>
    <w:qFormat/>
    <w:uiPriority w:val="0"/>
    <w:pPr>
      <w:jc w:val="both"/>
    </w:pPr>
    <w:rPr>
      <w:sz w:val="16"/>
      <w:szCs w:val="20"/>
    </w:rPr>
  </w:style>
  <w:style w:type="character" w:customStyle="1" w:styleId="55">
    <w:name w:val="标题 5 Char"/>
    <w:link w:val="7"/>
    <w:semiHidden/>
    <w:qFormat/>
    <w:uiPriority w:val="0"/>
    <w:rPr>
      <w:rFonts w:eastAsia="Times New Roman"/>
      <w:b/>
      <w:bCs/>
      <w:sz w:val="28"/>
      <w:szCs w:val="28"/>
      <w:lang w:eastAsia="en-US"/>
    </w:rPr>
  </w:style>
  <w:style w:type="paragraph" w:customStyle="1" w:styleId="56">
    <w:name w:val="TAH"/>
    <w:basedOn w:val="57"/>
    <w:qFormat/>
    <w:uiPriority w:val="0"/>
    <w:rPr>
      <w:b/>
    </w:rPr>
  </w:style>
  <w:style w:type="paragraph" w:customStyle="1" w:styleId="57">
    <w:name w:val="TAC"/>
    <w:basedOn w:val="58"/>
    <w:link w:val="73"/>
    <w:qFormat/>
    <w:uiPriority w:val="0"/>
    <w:pPr>
      <w:overflowPunct w:val="0"/>
      <w:autoSpaceDE w:val="0"/>
      <w:autoSpaceDN w:val="0"/>
      <w:adjustRightInd w:val="0"/>
      <w:jc w:val="center"/>
      <w:textAlignment w:val="baseline"/>
    </w:pPr>
    <w:rPr>
      <w:szCs w:val="20"/>
      <w:lang w:val="en-GB" w:eastAsia="en-GB"/>
    </w:rPr>
  </w:style>
  <w:style w:type="paragraph" w:customStyle="1" w:styleId="58">
    <w:name w:val="TAL"/>
    <w:basedOn w:val="1"/>
    <w:qFormat/>
    <w:uiPriority w:val="0"/>
    <w:pPr>
      <w:keepNext/>
      <w:keepLines/>
    </w:pPr>
    <w:rPr>
      <w:rFonts w:ascii="Arial" w:hAnsi="Arial"/>
      <w:sz w:val="18"/>
    </w:rPr>
  </w:style>
  <w:style w:type="character" w:customStyle="1" w:styleId="59">
    <w:name w:val="题注 Char"/>
    <w:link w:val="8"/>
    <w:qFormat/>
    <w:uiPriority w:val="0"/>
    <w:rPr>
      <w:rFonts w:eastAsia="Times New Roman"/>
      <w:b/>
      <w:bCs/>
      <w:lang w:eastAsia="en-US"/>
    </w:rPr>
  </w:style>
  <w:style w:type="paragraph" w:customStyle="1" w:styleId="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6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2">
    <w:name w:val="B1"/>
    <w:basedOn w:val="17"/>
    <w:link w:val="64"/>
    <w:qFormat/>
    <w:uiPriority w:val="0"/>
    <w:pPr>
      <w:overflowPunct w:val="0"/>
      <w:autoSpaceDE w:val="0"/>
      <w:autoSpaceDN w:val="0"/>
      <w:adjustRightInd w:val="0"/>
      <w:spacing w:after="180"/>
      <w:ind w:left="568" w:hanging="284" w:firstLineChars="0"/>
      <w:textAlignment w:val="baseline"/>
    </w:pPr>
    <w:rPr>
      <w:rFonts w:eastAsia="宋体"/>
      <w:sz w:val="20"/>
      <w:szCs w:val="20"/>
      <w:lang w:val="en-GB" w:eastAsia="en-GB"/>
    </w:rPr>
  </w:style>
  <w:style w:type="paragraph" w:customStyle="1" w:styleId="63">
    <w:name w:val="B2"/>
    <w:basedOn w:val="12"/>
    <w:qFormat/>
    <w:uiPriority w:val="0"/>
    <w:pPr>
      <w:overflowPunct w:val="0"/>
      <w:autoSpaceDE w:val="0"/>
      <w:autoSpaceDN w:val="0"/>
      <w:adjustRightInd w:val="0"/>
      <w:spacing w:after="180"/>
      <w:ind w:left="851" w:leftChars="0" w:hanging="284" w:firstLineChars="0"/>
      <w:textAlignment w:val="baseline"/>
    </w:pPr>
    <w:rPr>
      <w:sz w:val="20"/>
      <w:szCs w:val="20"/>
      <w:lang w:val="en-GB" w:eastAsia="en-GB"/>
    </w:rPr>
  </w:style>
  <w:style w:type="character" w:customStyle="1" w:styleId="64">
    <w:name w:val="B1 (文字)"/>
    <w:link w:val="62"/>
    <w:qFormat/>
    <w:uiPriority w:val="0"/>
    <w:rPr>
      <w:lang w:val="en-GB" w:eastAsia="en-GB" w:bidi="ar-SA"/>
    </w:rPr>
  </w:style>
  <w:style w:type="paragraph" w:customStyle="1" w:styleId="65">
    <w:name w:val="TH"/>
    <w:basedOn w:val="1"/>
    <w:link w:val="66"/>
    <w:qFormat/>
    <w:uiPriority w:val="0"/>
    <w:pPr>
      <w:keepNext/>
      <w:keepLines/>
      <w:overflowPunct w:val="0"/>
      <w:autoSpaceDE w:val="0"/>
      <w:autoSpaceDN w:val="0"/>
      <w:adjustRightInd w:val="0"/>
      <w:spacing w:before="60" w:after="180"/>
      <w:jc w:val="center"/>
      <w:textAlignment w:val="baseline"/>
    </w:pPr>
    <w:rPr>
      <w:rFonts w:ascii="Arial" w:hAnsi="Arial" w:eastAsia="宋体"/>
      <w:b/>
      <w:sz w:val="20"/>
      <w:szCs w:val="20"/>
      <w:lang w:val="en-GB" w:eastAsia="en-GB"/>
    </w:rPr>
  </w:style>
  <w:style w:type="character" w:customStyle="1" w:styleId="66">
    <w:name w:val="TH Char"/>
    <w:link w:val="65"/>
    <w:qFormat/>
    <w:uiPriority w:val="0"/>
    <w:rPr>
      <w:rFonts w:ascii="Arial" w:hAnsi="Arial"/>
      <w:b/>
      <w:lang w:val="en-GB" w:eastAsia="en-GB" w:bidi="ar-SA"/>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8">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70">
    <w:name w:val="PL Char"/>
    <w:link w:val="69"/>
    <w:qFormat/>
    <w:uiPriority w:val="0"/>
    <w:rPr>
      <w:rFonts w:ascii="Courier New" w:hAnsi="Courier New"/>
      <w:sz w:val="16"/>
      <w:lang w:val="en-GB" w:eastAsia="ja-JP" w:bidi="ar-SA"/>
    </w:rPr>
  </w:style>
  <w:style w:type="paragraph" w:customStyle="1" w:styleId="71">
    <w:name w:val="References"/>
    <w:basedOn w:val="1"/>
    <w:qFormat/>
    <w:uiPriority w:val="0"/>
    <w:pPr>
      <w:numPr>
        <w:ilvl w:val="0"/>
        <w:numId w:val="5"/>
      </w:numPr>
      <w:autoSpaceDE w:val="0"/>
      <w:autoSpaceDN w:val="0"/>
      <w:spacing w:after="60"/>
      <w:jc w:val="both"/>
    </w:pPr>
    <w:rPr>
      <w:rFonts w:eastAsia="宋体"/>
      <w:sz w:val="22"/>
      <w:szCs w:val="16"/>
    </w:rPr>
  </w:style>
  <w:style w:type="character" w:customStyle="1" w:styleId="72">
    <w:name w:val="页眉 Char1"/>
    <w:link w:val="16"/>
    <w:qFormat/>
    <w:uiPriority w:val="0"/>
    <w:rPr>
      <w:rFonts w:ascii="Arial" w:hAnsi="Arial" w:eastAsia="Times New Roman"/>
      <w:b/>
      <w:szCs w:val="24"/>
      <w:lang w:eastAsia="en-US"/>
    </w:rPr>
  </w:style>
  <w:style w:type="character" w:customStyle="1" w:styleId="73">
    <w:name w:val="TAC Char"/>
    <w:link w:val="57"/>
    <w:qFormat/>
    <w:uiPriority w:val="0"/>
    <w:rPr>
      <w:rFonts w:ascii="Arial" w:hAnsi="Arial" w:eastAsia="Times New Roman"/>
      <w:sz w:val="18"/>
      <w:lang w:val="en-GB" w:eastAsia="en-GB"/>
    </w:rPr>
  </w:style>
  <w:style w:type="character" w:customStyle="1" w:styleId="74">
    <w:name w:val="正文文本 Char"/>
    <w:qFormat/>
    <w:uiPriority w:val="0"/>
    <w:rPr>
      <w:rFonts w:ascii="Times" w:hAnsi="Times"/>
      <w:szCs w:val="24"/>
      <w:lang w:val="en-US" w:eastAsia="en-US" w:bidi="ar-SA"/>
    </w:rPr>
  </w:style>
  <w:style w:type="character" w:customStyle="1" w:styleId="75">
    <w:name w:val="页眉 Char"/>
    <w:qFormat/>
    <w:uiPriority w:val="0"/>
    <w:rPr>
      <w:rFonts w:ascii="Arial" w:hAnsi="Arial" w:eastAsia="Times New Roman"/>
      <w:b/>
      <w:szCs w:val="24"/>
      <w:lang w:eastAsia="en-US"/>
    </w:rPr>
  </w:style>
  <w:style w:type="paragraph" w:customStyle="1" w:styleId="76">
    <w:name w:val="H6"/>
    <w:basedOn w:val="7"/>
    <w:next w:val="1"/>
    <w:qFormat/>
    <w:uiPriority w:val="0"/>
    <w:pPr>
      <w:spacing w:before="120" w:after="180" w:line="240" w:lineRule="auto"/>
      <w:ind w:left="1985" w:hanging="1985"/>
      <w:outlineLvl w:val="9"/>
    </w:pPr>
    <w:rPr>
      <w:rFonts w:ascii="Arial" w:hAnsi="Arial" w:eastAsia="宋体"/>
      <w:b w:val="0"/>
      <w:bCs w:val="0"/>
      <w:sz w:val="20"/>
      <w:szCs w:val="20"/>
      <w:lang w:val="en-GB"/>
    </w:rPr>
  </w:style>
  <w:style w:type="character" w:customStyle="1" w:styleId="77">
    <w:name w:val="ZGSM"/>
    <w:qFormat/>
    <w:uiPriority w:val="0"/>
  </w:style>
  <w:style w:type="paragraph" w:customStyle="1" w:styleId="7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styleId="79">
    <w:name w:val="List Paragraph"/>
    <w:basedOn w:val="1"/>
    <w:link w:val="84"/>
    <w:qFormat/>
    <w:uiPriority w:val="34"/>
    <w:pPr>
      <w:ind w:firstLine="420" w:firstLineChars="200"/>
    </w:pPr>
  </w:style>
  <w:style w:type="paragraph" w:customStyle="1" w:styleId="80">
    <w:name w:val="修订1"/>
    <w:hidden/>
    <w:semiHidden/>
    <w:qFormat/>
    <w:uiPriority w:val="99"/>
    <w:rPr>
      <w:rFonts w:ascii="Times New Roman" w:hAnsi="Times New Roman" w:eastAsia="Times New Roman" w:cs="Times New Roman"/>
      <w:sz w:val="24"/>
      <w:szCs w:val="24"/>
      <w:lang w:val="en-US" w:eastAsia="en-US" w:bidi="ar-SA"/>
    </w:rPr>
  </w:style>
  <w:style w:type="table" w:customStyle="1" w:styleId="81">
    <w:name w:val="浅色列表 - 强调文字颜色 11"/>
    <w:basedOn w:val="21"/>
    <w:qFormat/>
    <w:uiPriority w:val="61"/>
    <w:tblPr>
      <w:tblBorders>
        <w:top w:val="single" w:color="4F81BD" w:sz="8" w:space="0"/>
        <w:left w:val="single" w:color="4F81BD" w:sz="8" w:space="0"/>
        <w:bottom w:val="single" w:color="4F81BD" w:sz="8" w:space="0"/>
        <w:right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tcBorders>
      </w:tcPr>
    </w:tblStylePr>
    <w:tblStylePr w:type="band1Horz">
      <w:tcPr>
        <w:tcBorders>
          <w:top w:val="single" w:color="4F81BD" w:sz="8" w:space="0"/>
          <w:left w:val="single" w:color="4F81BD" w:sz="8" w:space="0"/>
          <w:bottom w:val="single" w:color="4F81BD" w:sz="8" w:space="0"/>
          <w:right w:val="single" w:color="4F81BD" w:sz="8" w:space="0"/>
        </w:tcBorders>
      </w:tcPr>
    </w:tblStylePr>
  </w:style>
  <w:style w:type="table" w:customStyle="1" w:styleId="82">
    <w:name w:val="中等深浅底纹 2 - 强调文字颜色 11"/>
    <w:basedOn w:val="21"/>
    <w:qFormat/>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character" w:customStyle="1" w:styleId="83">
    <w:name w:val="apple-converted-space"/>
    <w:basedOn w:val="30"/>
    <w:qFormat/>
    <w:uiPriority w:val="0"/>
  </w:style>
  <w:style w:type="character" w:customStyle="1" w:styleId="84">
    <w:name w:val="列出段落 Char"/>
    <w:link w:val="79"/>
    <w:qFormat/>
    <w:uiPriority w:val="34"/>
    <w:rPr>
      <w:rFonts w:eastAsia="Times New Roman"/>
      <w:sz w:val="24"/>
      <w:szCs w:val="24"/>
      <w:lang w:eastAsia="en-US"/>
    </w:rPr>
  </w:style>
  <w:style w:type="character" w:customStyle="1" w:styleId="85">
    <w:name w:val="标题 2 Char"/>
    <w:basedOn w:val="30"/>
    <w:link w:val="3"/>
    <w:qFormat/>
    <w:uiPriority w:val="0"/>
    <w:rPr>
      <w:rFonts w:ascii="Helvetica" w:hAnsi="Helvetica" w:eastAsia="Times New Roman" w:cs="Arial"/>
      <w:b/>
      <w:bCs/>
      <w:iCs/>
      <w:sz w:val="24"/>
      <w:szCs w:val="28"/>
      <w:lang w:eastAsia="en-US"/>
    </w:rPr>
  </w:style>
  <w:style w:type="table" w:customStyle="1" w:styleId="86">
    <w:name w:val="浅色底纹 - 强调文字颜色 11"/>
    <w:basedOn w:val="21"/>
    <w:qFormat/>
    <w:uiPriority w:val="60"/>
    <w:rPr>
      <w:color w:val="365F91"/>
    </w:rPr>
    <w:tblPr>
      <w:tblBorders>
        <w:top w:val="single" w:color="4F81BD" w:sz="8" w:space="0"/>
        <w:bottom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87">
    <w:name w:val="浅色网格1"/>
    <w:basedOn w:val="21"/>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宋体"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mbria" w:hAnsi="Cambria" w:eastAsia="宋体"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mbria" w:hAnsi="Cambria" w:eastAsia="宋体" w:cs="Times New Roman"/>
        <w:b/>
        <w:bCs/>
      </w:rPr>
    </w:tblStylePr>
    <w:tblStylePr w:type="lastCol">
      <w:rPr>
        <w:rFonts w:ascii="Cambria" w:hAnsi="Cambria" w:eastAsia="宋体"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paragraph" w:customStyle="1" w:styleId="8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89">
    <w:name w:val="标题 1 Char"/>
    <w:basedOn w:val="30"/>
    <w:link w:val="2"/>
    <w:qFormat/>
    <w:uiPriority w:val="9"/>
    <w:rPr>
      <w:rFonts w:ascii="Helvetica" w:hAnsi="Helvetica" w:eastAsia="Times New Roman" w:cs="Arial"/>
      <w:b/>
      <w:bCs/>
      <w:kern w:val="32"/>
      <w:sz w:val="28"/>
      <w:szCs w:val="32"/>
      <w:lang w:eastAsia="en-US"/>
    </w:rPr>
  </w:style>
  <w:style w:type="character" w:customStyle="1" w:styleId="90">
    <w:name w:val="basic-word"/>
    <w:basedOn w:val="30"/>
    <w:qFormat/>
    <w:uiPriority w:val="0"/>
  </w:style>
  <w:style w:type="paragraph" w:customStyle="1" w:styleId="91">
    <w:name w:val="正文2"/>
    <w:qFormat/>
    <w:uiPriority w:val="0"/>
    <w:pPr>
      <w:jc w:val="both"/>
    </w:pPr>
    <w:rPr>
      <w:rFonts w:ascii="MS Mincho" w:hAnsi="MS Mincho" w:eastAsia="宋体" w:cs="宋体"/>
      <w:kern w:val="2"/>
      <w:sz w:val="21"/>
      <w:szCs w:val="21"/>
      <w:lang w:val="en-US" w:eastAsia="zh-CN" w:bidi="ar-SA"/>
    </w:rPr>
  </w:style>
  <w:style w:type="paragraph" w:customStyle="1" w:styleId="92">
    <w:name w:val="List Paragraph1"/>
    <w:basedOn w:val="1"/>
    <w:qFormat/>
    <w:uiPriority w:val="0"/>
    <w:pPr>
      <w:spacing w:before="100" w:beforeAutospacing="1" w:after="100" w:afterAutospacing="1"/>
      <w:ind w:left="840" w:leftChars="400" w:hanging="1440"/>
    </w:pPr>
    <w:rPr>
      <w:rFonts w:ascii="Times" w:hAnsi="Times" w:eastAsia="Batang"/>
      <w:sz w:val="20"/>
      <w:szCs w:val="20"/>
      <w:lang w:eastAsia="zh-CN"/>
    </w:rPr>
  </w:style>
  <w:style w:type="paragraph" w:customStyle="1" w:styleId="93">
    <w:name w:val="3GPP_Header"/>
    <w:basedOn w:val="1"/>
    <w:qFormat/>
    <w:uiPriority w:val="0"/>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94">
    <w:name w:val="Eqn"/>
    <w:basedOn w:val="1"/>
    <w:qFormat/>
    <w:uiPriority w:val="0"/>
    <w:pPr>
      <w:tabs>
        <w:tab w:val="center" w:pos="4608"/>
        <w:tab w:val="right" w:pos="9216"/>
      </w:tabs>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018DEA-CBA0-45F8-9663-334B87F8D73E}">
  <ds:schemaRefs/>
</ds:datastoreItem>
</file>

<file path=docProps/app.xml><?xml version="1.0" encoding="utf-8"?>
<Properties xmlns="http://schemas.openxmlformats.org/officeDocument/2006/extended-properties" xmlns:vt="http://schemas.openxmlformats.org/officeDocument/2006/docPropsVTypes">
  <Template>Normal</Template>
  <Pages>4</Pages>
  <Words>1677</Words>
  <Characters>9561</Characters>
  <Lines>79</Lines>
  <Paragraphs>22</Paragraphs>
  <TotalTime>30</TotalTime>
  <ScaleCrop>false</ScaleCrop>
  <LinksUpToDate>false</LinksUpToDate>
  <CharactersWithSpaces>11216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2019-09-23T06:08:00Z</dcterms:created>
  <dc:creator>cmri</dc:creator>
  <cp:lastModifiedBy>Walyspirit</cp:lastModifiedBy>
  <cp:lastPrinted>2017-08-31T07:09:00Z</cp:lastPrinted>
  <dcterms:modified xsi:type="dcterms:W3CDTF">2019-09-29T06:23:15Z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2052-11.1.0.9098</vt:lpwstr>
  </property>
</Properties>
</file>