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bookmarkStart w:id="0" w:name="_GoBack"/>
      <w:bookmarkEnd w:id="0"/>
      <w:r w:rsidRPr="00C905EB">
        <w:rPr>
          <w:rFonts w:eastAsia="MS Mincho" w:cs="Arial"/>
          <w:b/>
          <w:bCs/>
          <w:szCs w:val="24"/>
          <w:lang w:val="de-DE"/>
        </w:rPr>
        <w:t>3GPP TSG RAN WG1 Meeting #9</w:t>
      </w:r>
      <w:r w:rsidR="00B605A9">
        <w:rPr>
          <w:rFonts w:eastAsiaTheme="minorEastAsia" w:cs="Arial" w:hint="eastAsia"/>
          <w:b/>
          <w:bCs/>
          <w:szCs w:val="24"/>
          <w:lang w:val="de-DE" w:eastAsia="zh-CN"/>
        </w:rPr>
        <w:t>3</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53647E">
        <w:rPr>
          <w:rFonts w:eastAsiaTheme="minorEastAsia" w:cs="Arial" w:hint="eastAsia"/>
          <w:b/>
          <w:bCs/>
          <w:szCs w:val="24"/>
          <w:lang w:val="de-DE" w:eastAsia="zh-CN"/>
        </w:rPr>
        <w:t>0</w:t>
      </w:r>
      <w:r w:rsidR="001C1AF9">
        <w:rPr>
          <w:rFonts w:eastAsiaTheme="minorEastAsia" w:cs="Arial" w:hint="eastAsia"/>
          <w:b/>
          <w:bCs/>
          <w:szCs w:val="24"/>
          <w:lang w:val="de-DE" w:eastAsia="zh-CN"/>
        </w:rPr>
        <w:t>66</w:t>
      </w:r>
      <w:r w:rsidR="00597F84">
        <w:rPr>
          <w:rFonts w:eastAsiaTheme="minorEastAsia" w:cs="Arial" w:hint="eastAsia"/>
          <w:b/>
          <w:bCs/>
          <w:szCs w:val="24"/>
          <w:lang w:val="de-DE" w:eastAsia="zh-CN"/>
        </w:rPr>
        <w:t>95</w:t>
      </w:r>
    </w:p>
    <w:p w:rsidR="0096352B" w:rsidRPr="0096352B" w:rsidRDefault="00B605A9" w:rsidP="0096352B">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Busan</w:t>
      </w:r>
      <w:r w:rsidR="0096352B" w:rsidRPr="0096352B">
        <w:rPr>
          <w:rFonts w:ascii="Arial" w:eastAsia="Times New Roman" w:hAnsi="Arial"/>
          <w:b/>
          <w:noProof/>
          <w:lang w:val="en-GB"/>
        </w:rPr>
        <w:t xml:space="preserve">, </w:t>
      </w:r>
      <w:r>
        <w:rPr>
          <w:rFonts w:ascii="Arial" w:eastAsiaTheme="minorEastAsia" w:hAnsi="Arial" w:hint="eastAsia"/>
          <w:b/>
          <w:noProof/>
          <w:lang w:val="en-GB"/>
        </w:rPr>
        <w:t>Korea</w:t>
      </w:r>
      <w:r w:rsidR="0096352B" w:rsidRPr="0096352B">
        <w:rPr>
          <w:rFonts w:ascii="Arial" w:eastAsia="Times New Roman" w:hAnsi="Arial"/>
          <w:b/>
          <w:noProof/>
          <w:lang w:val="en-GB"/>
        </w:rPr>
        <w:t xml:space="preserve">, </w:t>
      </w:r>
      <w:r>
        <w:rPr>
          <w:rFonts w:ascii="Arial" w:eastAsiaTheme="minorEastAsia" w:hAnsi="Arial" w:hint="eastAsia"/>
          <w:b/>
          <w:noProof/>
          <w:lang w:val="en-GB"/>
        </w:rPr>
        <w:t>May 21</w:t>
      </w:r>
      <w:r w:rsidRPr="00B605A9">
        <w:rPr>
          <w:rFonts w:ascii="Arial" w:eastAsiaTheme="minorEastAsia" w:hAnsi="Arial" w:hint="eastAsia"/>
          <w:b/>
          <w:noProof/>
          <w:vertAlign w:val="superscript"/>
          <w:lang w:val="en-GB"/>
        </w:rPr>
        <w:t>st</w:t>
      </w:r>
      <w:r w:rsidR="0096352B" w:rsidRPr="0096352B">
        <w:rPr>
          <w:rFonts w:ascii="Arial" w:eastAsia="Times New Roman" w:hAnsi="Arial"/>
          <w:b/>
          <w:noProof/>
          <w:lang w:val="en-GB"/>
        </w:rPr>
        <w:t xml:space="preserve"> – </w:t>
      </w:r>
      <w:r w:rsidR="0096352B" w:rsidRPr="0096352B">
        <w:rPr>
          <w:rFonts w:ascii="Arial" w:eastAsiaTheme="minorEastAsia" w:hAnsi="Arial" w:hint="eastAsia"/>
          <w:b/>
          <w:noProof/>
          <w:lang w:val="en-GB"/>
        </w:rPr>
        <w:t>2</w:t>
      </w:r>
      <w:r>
        <w:rPr>
          <w:rFonts w:ascii="Arial" w:eastAsiaTheme="minorEastAsia" w:hAnsi="Arial" w:hint="eastAsia"/>
          <w:b/>
          <w:noProof/>
          <w:lang w:val="en-GB"/>
        </w:rPr>
        <w:t>5</w:t>
      </w:r>
      <w:r w:rsidR="0096352B" w:rsidRPr="0096352B">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96352B">
        <w:rPr>
          <w:rFonts w:hint="eastAsia"/>
          <w:b/>
          <w:noProof/>
          <w:lang w:eastAsia="zh-CN"/>
        </w:rPr>
        <w:t>7</w:t>
      </w:r>
      <w:r w:rsidR="00EA5A19">
        <w:rPr>
          <w:rFonts w:hint="eastAsia"/>
          <w:b/>
          <w:noProof/>
          <w:lang w:eastAsia="zh-CN"/>
        </w:rPr>
        <w:t>.</w:t>
      </w:r>
      <w:r w:rsidR="00B605A9">
        <w:rPr>
          <w:rFonts w:hint="eastAsia"/>
          <w:b/>
          <w:noProof/>
          <w:lang w:eastAsia="zh-CN"/>
        </w:rPr>
        <w:t>3</w:t>
      </w:r>
      <w:r w:rsidR="00C905EB">
        <w:rPr>
          <w:rFonts w:hint="eastAsia"/>
          <w:b/>
          <w:noProof/>
          <w:lang w:eastAsia="zh-CN"/>
        </w:rPr>
        <w:t>.2</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405DC4">
        <w:rPr>
          <w:rFonts w:hint="eastAsia"/>
          <w:b/>
          <w:noProof/>
          <w:lang w:eastAsia="zh-CN"/>
        </w:rPr>
        <w:t xml:space="preserve">UL </w:t>
      </w:r>
      <w:r w:rsidR="00E57EA5">
        <w:rPr>
          <w:rFonts w:hint="eastAsia"/>
          <w:b/>
          <w:noProof/>
          <w:lang w:eastAsia="zh-CN"/>
        </w:rPr>
        <w:t>channels</w:t>
      </w:r>
      <w:r w:rsidR="00203DA9" w:rsidRPr="00203DA9">
        <w:rPr>
          <w:b/>
          <w:noProof/>
          <w:lang w:eastAsia="zh-CN"/>
        </w:rPr>
        <w:t xml:space="preserve"> for TDD 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0D159E">
      <w:pPr>
        <w:pBdr>
          <w:bottom w:val="single" w:sz="12" w:space="1" w:color="auto"/>
        </w:pBdr>
        <w:spacing w:after="120" w:line="276" w:lineRule="auto"/>
      </w:pPr>
    </w:p>
    <w:p w:rsidR="00285240" w:rsidRDefault="00285240" w:rsidP="000D159E">
      <w:pPr>
        <w:pStyle w:val="Heading1"/>
        <w:spacing w:line="276" w:lineRule="auto"/>
        <w:ind w:left="432" w:hanging="432"/>
        <w:rPr>
          <w:noProof/>
          <w:lang w:eastAsia="ko-KR"/>
        </w:rPr>
      </w:pPr>
      <w:bookmarkStart w:id="1" w:name="_Ref349588338"/>
      <w:r>
        <w:rPr>
          <w:rFonts w:hint="eastAsia"/>
          <w:noProof/>
          <w:lang w:eastAsia="ko-KR"/>
        </w:rPr>
        <w:t xml:space="preserve">1. </w:t>
      </w:r>
      <w:r w:rsidRPr="00F52DED">
        <w:rPr>
          <w:noProof/>
          <w:lang w:eastAsia="ko-KR"/>
        </w:rPr>
        <w:t>Introduction</w:t>
      </w:r>
      <w:bookmarkEnd w:id="1"/>
    </w:p>
    <w:p w:rsidR="00DB1222" w:rsidRDefault="00DB1222" w:rsidP="000D159E">
      <w:pPr>
        <w:spacing w:line="276" w:lineRule="auto"/>
        <w:ind w:right="-99"/>
        <w:rPr>
          <w:color w:val="000000"/>
          <w:kern w:val="24"/>
        </w:rPr>
      </w:pPr>
      <w:bookmarkStart w:id="2" w:name="_Ref421460494"/>
      <w:r>
        <w:rPr>
          <w:lang w:val="x-none"/>
        </w:rPr>
        <w:t xml:space="preserve">On </w:t>
      </w:r>
      <w:r>
        <w:rPr>
          <w:rFonts w:eastAsiaTheme="minorEastAsia" w:hint="eastAsia"/>
        </w:rPr>
        <w:t>design target</w:t>
      </w:r>
      <w:r w:rsidR="00B931FD">
        <w:rPr>
          <w:rFonts w:eastAsiaTheme="minorEastAsia"/>
          <w:lang w:val="x-none"/>
        </w:rPr>
        <w:t xml:space="preserve"> </w:t>
      </w:r>
      <w:r w:rsidR="00B931FD">
        <w:rPr>
          <w:rFonts w:eastAsiaTheme="minorEastAsia" w:hint="eastAsia"/>
          <w:lang w:val="x-none"/>
        </w:rPr>
        <w:t>of physical channel</w:t>
      </w:r>
      <w:r w:rsidR="007E2AC6">
        <w:rPr>
          <w:rFonts w:eastAsiaTheme="minorEastAsia" w:hint="eastAsia"/>
          <w:lang w:val="x-none"/>
        </w:rPr>
        <w:t>s</w:t>
      </w:r>
      <w:r w:rsidR="00B931FD">
        <w:rPr>
          <w:rFonts w:eastAsiaTheme="minorEastAsia" w:hint="eastAsia"/>
          <w:lang w:val="x-none"/>
        </w:rPr>
        <w:t xml:space="preserve"> for</w:t>
      </w:r>
      <w:r>
        <w:rPr>
          <w:lang w:val="x-none"/>
        </w:rPr>
        <w:t xml:space="preserve"> TDD NB-IoT, the following agreements are made in </w:t>
      </w:r>
      <w:r w:rsidR="007A762E">
        <w:rPr>
          <w:rFonts w:hint="eastAsia"/>
          <w:lang w:val="x-none"/>
        </w:rPr>
        <w:t>RAN1 #9</w:t>
      </w:r>
      <w:r w:rsidR="00322577">
        <w:rPr>
          <w:rFonts w:hint="eastAsia"/>
          <w:lang w:val="x-none"/>
        </w:rPr>
        <w:t>2</w:t>
      </w:r>
      <w:r w:rsidR="007A762E">
        <w:rPr>
          <w:rFonts w:hint="eastAsia"/>
          <w:lang w:val="x-none"/>
        </w:rPr>
        <w:t>b</w:t>
      </w:r>
      <w:r w:rsidR="00322577">
        <w:rPr>
          <w:rFonts w:hint="eastAsia"/>
          <w:lang w:val="x-none"/>
        </w:rPr>
        <w:t xml:space="preserve"> meeting </w:t>
      </w:r>
      <w:r>
        <w:rPr>
          <w:color w:val="000000"/>
          <w:kern w:val="24"/>
        </w:rPr>
        <w:t>as</w:t>
      </w:r>
    </w:p>
    <w:p w:rsidR="00674219" w:rsidRPr="006B4D00" w:rsidRDefault="00674219" w:rsidP="00674219">
      <w:pPr>
        <w:ind w:left="720" w:hanging="720"/>
        <w:rPr>
          <w:rFonts w:eastAsia="Yu Mincho"/>
          <w:lang w:eastAsia="ja-JP"/>
        </w:rPr>
      </w:pPr>
      <w:r w:rsidRPr="006B4D00">
        <w:rPr>
          <w:rFonts w:eastAsia="Yu Mincho"/>
          <w:highlight w:val="green"/>
          <w:lang w:eastAsia="ja-JP"/>
        </w:rPr>
        <w:t>Agreement</w:t>
      </w:r>
    </w:p>
    <w:p w:rsidR="00674219" w:rsidRPr="006B4D00" w:rsidRDefault="00674219" w:rsidP="00674219">
      <w:pPr>
        <w:ind w:left="420" w:hanging="420"/>
      </w:pPr>
      <w:r w:rsidRPr="006B4D00">
        <w:rPr>
          <w:rFonts w:hint="eastAsia"/>
        </w:rPr>
        <w:t xml:space="preserve">Mapping table for TDD UL/DL </w:t>
      </w:r>
      <w:r w:rsidRPr="006B4D00">
        <w:t>configuration</w:t>
      </w:r>
      <w:r w:rsidRPr="006B4D00">
        <w:rPr>
          <w:rFonts w:hint="eastAsia"/>
        </w:rPr>
        <w:t xml:space="preserve"> </w:t>
      </w:r>
      <w:r w:rsidRPr="006B4D00">
        <w:t>and TDD</w:t>
      </w:r>
      <w:r w:rsidRPr="006B4D00">
        <w:rPr>
          <w:rFonts w:hint="eastAsia"/>
        </w:rPr>
        <w:t xml:space="preserve"> NPRACH formats is list in Table X</w:t>
      </w:r>
    </w:p>
    <w:p w:rsidR="00674219" w:rsidRPr="006B4D00" w:rsidRDefault="00674219" w:rsidP="00674219">
      <w:pPr>
        <w:numPr>
          <w:ilvl w:val="0"/>
          <w:numId w:val="38"/>
        </w:numPr>
        <w:spacing w:after="0"/>
        <w:rPr>
          <w:rFonts w:eastAsia="Yu Mincho"/>
          <w:lang w:eastAsia="ja-JP"/>
        </w:rPr>
      </w:pPr>
      <w:r w:rsidRPr="006B4D00">
        <w:rPr>
          <w:rFonts w:eastAsia="Yu Mincho"/>
          <w:lang w:eastAsia="ja-JP"/>
        </w:rPr>
        <w:t>FFS configuration 6 if it is supported</w:t>
      </w:r>
    </w:p>
    <w:p w:rsidR="00674219" w:rsidRPr="006B4D00" w:rsidRDefault="00674219" w:rsidP="00674219">
      <w:pPr>
        <w:numPr>
          <w:ilvl w:val="0"/>
          <w:numId w:val="38"/>
        </w:numPr>
        <w:spacing w:after="0"/>
        <w:rPr>
          <w:rFonts w:eastAsia="Yu Mincho"/>
          <w:lang w:eastAsia="ja-JP"/>
        </w:rPr>
      </w:pPr>
      <w:r w:rsidRPr="006B4D00">
        <w:rPr>
          <w:rFonts w:eastAsia="Yu Mincho"/>
          <w:lang w:eastAsia="ja-JP"/>
        </w:rPr>
        <w:t>Transmit Format 0 and Format 0-a in all NPRACH subframes, and aligned with subframe boundary</w:t>
      </w:r>
    </w:p>
    <w:p w:rsidR="00674219" w:rsidRPr="006B4D00" w:rsidRDefault="00674219" w:rsidP="00674219">
      <w:pPr>
        <w:spacing w:beforeLines="50" w:before="120" w:after="120"/>
        <w:jc w:val="center"/>
      </w:pPr>
      <w:r w:rsidRPr="006B4D00">
        <w:rPr>
          <w:rFonts w:hint="eastAsia"/>
        </w:rPr>
        <w:t xml:space="preserve">Table X Mapping table for UL/DL </w:t>
      </w:r>
      <w:r w:rsidRPr="006B4D00">
        <w:t>configuration</w:t>
      </w:r>
      <w:r w:rsidRPr="006B4D00">
        <w:rPr>
          <w:rFonts w:hint="eastAsia"/>
        </w:rPr>
        <w:t xml:space="preserve"> and NPRACH format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41"/>
        <w:gridCol w:w="1068"/>
        <w:gridCol w:w="1164"/>
        <w:gridCol w:w="981"/>
        <w:gridCol w:w="1170"/>
        <w:gridCol w:w="1358"/>
      </w:tblGrid>
      <w:tr w:rsidR="00674219" w:rsidRPr="006B4D00" w:rsidTr="00660FE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H"/>
            </w:pPr>
            <w:r w:rsidRPr="006B4D00">
              <w:t>UL/DL Configuration index</w:t>
            </w:r>
          </w:p>
        </w:tc>
        <w:tc>
          <w:tcPr>
            <w:tcW w:w="1068"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H"/>
            </w:pPr>
            <w:r w:rsidRPr="006B4D00">
              <w:t>Format 0</w:t>
            </w:r>
          </w:p>
        </w:tc>
        <w:tc>
          <w:tcPr>
            <w:tcW w:w="1164"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H"/>
            </w:pPr>
            <w:r w:rsidRPr="006B4D00">
              <w:t>Format 1</w:t>
            </w:r>
          </w:p>
        </w:tc>
        <w:tc>
          <w:tcPr>
            <w:tcW w:w="981"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H"/>
            </w:pPr>
            <w:r w:rsidRPr="006B4D00">
              <w:t>Format 2</w:t>
            </w:r>
          </w:p>
        </w:tc>
        <w:tc>
          <w:tcPr>
            <w:tcW w:w="1170"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H"/>
            </w:pPr>
            <w:r w:rsidRPr="006B4D00">
              <w:t>Format 0-a</w:t>
            </w:r>
          </w:p>
        </w:tc>
        <w:tc>
          <w:tcPr>
            <w:tcW w:w="1358"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H"/>
            </w:pPr>
            <w:r w:rsidRPr="006B4D00">
              <w:t>Format 1-a</w:t>
            </w:r>
          </w:p>
        </w:tc>
      </w:tr>
      <w:tr w:rsidR="00674219" w:rsidRPr="006B4D00" w:rsidTr="00660FEA">
        <w:trPr>
          <w:trHeight w:val="20"/>
          <w:jc w:val="center"/>
        </w:trPr>
        <w:tc>
          <w:tcPr>
            <w:tcW w:w="1641"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1</w:t>
            </w:r>
          </w:p>
        </w:tc>
        <w:tc>
          <w:tcPr>
            <w:tcW w:w="1068"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1164"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981"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p>
        </w:tc>
        <w:tc>
          <w:tcPr>
            <w:tcW w:w="1170"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1358"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r>
      <w:tr w:rsidR="00674219" w:rsidRPr="006B4D00" w:rsidTr="00660FEA">
        <w:trPr>
          <w:trHeight w:val="20"/>
          <w:jc w:val="center"/>
        </w:trPr>
        <w:tc>
          <w:tcPr>
            <w:tcW w:w="1641"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2</w:t>
            </w:r>
          </w:p>
        </w:tc>
        <w:tc>
          <w:tcPr>
            <w:tcW w:w="1068"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1164"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p>
        </w:tc>
        <w:tc>
          <w:tcPr>
            <w:tcW w:w="981"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p>
        </w:tc>
        <w:tc>
          <w:tcPr>
            <w:tcW w:w="1170"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1358"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p>
        </w:tc>
      </w:tr>
      <w:tr w:rsidR="00674219" w:rsidRPr="006B4D00" w:rsidTr="00660FEA">
        <w:trPr>
          <w:trHeight w:val="20"/>
          <w:jc w:val="center"/>
        </w:trPr>
        <w:tc>
          <w:tcPr>
            <w:tcW w:w="1641"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[3]</w:t>
            </w:r>
          </w:p>
        </w:tc>
        <w:tc>
          <w:tcPr>
            <w:tcW w:w="1068"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1164"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rPr>
                <w:rFonts w:eastAsia="Yu Mincho"/>
              </w:rPr>
            </w:pPr>
          </w:p>
        </w:tc>
        <w:tc>
          <w:tcPr>
            <w:tcW w:w="981"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1170"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1358"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rPr>
                <w:highlight w:val="yellow"/>
              </w:rPr>
            </w:pPr>
          </w:p>
        </w:tc>
      </w:tr>
      <w:tr w:rsidR="00674219" w:rsidRPr="006B4D00" w:rsidTr="00660FEA">
        <w:trPr>
          <w:trHeight w:val="20"/>
          <w:jc w:val="center"/>
        </w:trPr>
        <w:tc>
          <w:tcPr>
            <w:tcW w:w="1641"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4</w:t>
            </w:r>
          </w:p>
        </w:tc>
        <w:tc>
          <w:tcPr>
            <w:tcW w:w="1068"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1164"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981"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p>
        </w:tc>
        <w:tc>
          <w:tcPr>
            <w:tcW w:w="1170"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1358"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r>
      <w:tr w:rsidR="00674219" w:rsidRPr="006B4D00" w:rsidTr="00660FEA">
        <w:trPr>
          <w:trHeight w:val="20"/>
          <w:jc w:val="center"/>
        </w:trPr>
        <w:tc>
          <w:tcPr>
            <w:tcW w:w="1641"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5</w:t>
            </w:r>
          </w:p>
        </w:tc>
        <w:tc>
          <w:tcPr>
            <w:tcW w:w="1068"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1164"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p>
        </w:tc>
        <w:tc>
          <w:tcPr>
            <w:tcW w:w="981"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p>
        </w:tc>
        <w:tc>
          <w:tcPr>
            <w:tcW w:w="1170"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r w:rsidRPr="006B4D00">
              <w:t>√</w:t>
            </w:r>
          </w:p>
        </w:tc>
        <w:tc>
          <w:tcPr>
            <w:tcW w:w="1358" w:type="dxa"/>
            <w:tcBorders>
              <w:top w:val="single" w:sz="4" w:space="0" w:color="000000"/>
              <w:left w:val="single" w:sz="4" w:space="0" w:color="000000"/>
              <w:bottom w:val="single" w:sz="4" w:space="0" w:color="000000"/>
              <w:right w:val="single" w:sz="4" w:space="0" w:color="000000"/>
            </w:tcBorders>
          </w:tcPr>
          <w:p w:rsidR="00674219" w:rsidRPr="006B4D00" w:rsidRDefault="00674219" w:rsidP="00660FEA">
            <w:pPr>
              <w:pStyle w:val="TAC"/>
            </w:pPr>
          </w:p>
        </w:tc>
      </w:tr>
    </w:tbl>
    <w:p w:rsidR="00674219" w:rsidRPr="006B4D00" w:rsidRDefault="00674219" w:rsidP="00674219"/>
    <w:p w:rsidR="00674219" w:rsidRPr="006B4D00" w:rsidRDefault="00674219" w:rsidP="00674219">
      <w:pPr>
        <w:ind w:left="720" w:hanging="720"/>
        <w:rPr>
          <w:rFonts w:eastAsia="Yu Mincho"/>
          <w:lang w:eastAsia="ja-JP"/>
        </w:rPr>
      </w:pPr>
      <w:r w:rsidRPr="006B4D00">
        <w:rPr>
          <w:rFonts w:eastAsia="Yu Mincho"/>
          <w:highlight w:val="green"/>
          <w:lang w:eastAsia="ja-JP"/>
        </w:rPr>
        <w:t>Agreement</w:t>
      </w:r>
    </w:p>
    <w:p w:rsidR="00674219" w:rsidRPr="006B4D00" w:rsidRDefault="00674219" w:rsidP="00674219">
      <w:r w:rsidRPr="006B4D00">
        <w:t>For NPUSCH transmission with 15 kHz subcarrier spacing, the number of subcarriers supported in TDD UL/DL configuration #3 is 1, 3, 6 and 12.</w:t>
      </w:r>
    </w:p>
    <w:p w:rsidR="00674219" w:rsidRPr="005361F5" w:rsidRDefault="00674219" w:rsidP="00674219">
      <w:pPr>
        <w:pStyle w:val="ListParagraph"/>
        <w:numPr>
          <w:ilvl w:val="0"/>
          <w:numId w:val="39"/>
        </w:numPr>
        <w:overflowPunct w:val="0"/>
        <w:autoSpaceDE w:val="0"/>
        <w:autoSpaceDN w:val="0"/>
        <w:adjustRightInd w:val="0"/>
        <w:ind w:firstLineChars="0"/>
        <w:contextualSpacing/>
        <w:textAlignment w:val="baseline"/>
        <w:rPr>
          <w:rFonts w:eastAsia="Yu Mincho"/>
        </w:rPr>
      </w:pPr>
      <w:r w:rsidRPr="005361F5">
        <w:rPr>
          <w:lang w:eastAsia="zh-CN"/>
        </w:rPr>
        <w:t>RU length reuses FDD</w:t>
      </w:r>
    </w:p>
    <w:p w:rsidR="00674219" w:rsidRPr="006B4D00" w:rsidRDefault="00674219" w:rsidP="00674219">
      <w:pPr>
        <w:ind w:left="720" w:hanging="720"/>
        <w:rPr>
          <w:rFonts w:eastAsia="Yu Mincho"/>
          <w:lang w:eastAsia="ja-JP"/>
        </w:rPr>
      </w:pPr>
      <w:r w:rsidRPr="006B4D00">
        <w:rPr>
          <w:rFonts w:eastAsia="Yu Mincho"/>
          <w:highlight w:val="green"/>
          <w:lang w:eastAsia="ja-JP"/>
        </w:rPr>
        <w:t>Agreement</w:t>
      </w:r>
    </w:p>
    <w:p w:rsidR="00674219" w:rsidRPr="005361F5" w:rsidRDefault="00674219" w:rsidP="00674219">
      <w:pPr>
        <w:pStyle w:val="ListParagraph"/>
        <w:numPr>
          <w:ilvl w:val="0"/>
          <w:numId w:val="39"/>
        </w:numPr>
        <w:overflowPunct w:val="0"/>
        <w:autoSpaceDE w:val="0"/>
        <w:autoSpaceDN w:val="0"/>
        <w:adjustRightInd w:val="0"/>
        <w:ind w:firstLineChars="0"/>
        <w:contextualSpacing/>
        <w:textAlignment w:val="baseline"/>
      </w:pPr>
      <w:r w:rsidRPr="005361F5">
        <w:t>For TDD NB-IoT with 15 kHz subcarrier spacing, the resource unit of NPUSCH format 2 is single tone with RU length 2 ms.</w:t>
      </w:r>
    </w:p>
    <w:p w:rsidR="00674219" w:rsidRPr="005361F5" w:rsidRDefault="00674219" w:rsidP="00674219">
      <w:pPr>
        <w:pStyle w:val="ListParagraph"/>
        <w:numPr>
          <w:ilvl w:val="0"/>
          <w:numId w:val="39"/>
        </w:numPr>
        <w:overflowPunct w:val="0"/>
        <w:autoSpaceDE w:val="0"/>
        <w:autoSpaceDN w:val="0"/>
        <w:adjustRightInd w:val="0"/>
        <w:ind w:firstLineChars="0"/>
        <w:contextualSpacing/>
        <w:textAlignment w:val="baseline"/>
      </w:pPr>
      <w:r w:rsidRPr="005361F5">
        <w:t>The previous agreement above refers to NPUSCH format 1</w:t>
      </w:r>
    </w:p>
    <w:p w:rsidR="00674219" w:rsidRPr="006B4D00" w:rsidRDefault="00674219" w:rsidP="00674219">
      <w:pPr>
        <w:ind w:left="720" w:hanging="720"/>
        <w:rPr>
          <w:rFonts w:eastAsia="Yu Mincho"/>
          <w:lang w:eastAsia="ja-JP"/>
        </w:rPr>
      </w:pPr>
      <w:r w:rsidRPr="006B4D00">
        <w:rPr>
          <w:rFonts w:eastAsia="Yu Mincho" w:hint="eastAsia"/>
          <w:highlight w:val="green"/>
          <w:lang w:eastAsia="ja-JP"/>
        </w:rPr>
        <w:t>A</w:t>
      </w:r>
      <w:r w:rsidRPr="006B4D00">
        <w:rPr>
          <w:rFonts w:eastAsia="Yu Mincho"/>
          <w:highlight w:val="green"/>
          <w:lang w:eastAsia="ja-JP"/>
        </w:rPr>
        <w:t>greement</w:t>
      </w:r>
    </w:p>
    <w:p w:rsidR="00674219" w:rsidRPr="006B4D00" w:rsidRDefault="00674219" w:rsidP="00674219">
      <w:pPr>
        <w:ind w:left="420" w:hanging="420"/>
      </w:pPr>
      <w:r w:rsidRPr="006B4D00">
        <w:t>3.75kHz subcarrier spacing is not supported for TDD UL/DL configuration #3.</w:t>
      </w:r>
    </w:p>
    <w:p w:rsidR="00674219" w:rsidRDefault="00674219" w:rsidP="00674219">
      <w:pPr>
        <w:ind w:left="720" w:hanging="720"/>
        <w:rPr>
          <w:rFonts w:eastAsia="Yu Mincho"/>
          <w:lang w:eastAsia="ja-JP"/>
        </w:rPr>
      </w:pPr>
    </w:p>
    <w:p w:rsidR="005230D9" w:rsidRDefault="005230D9" w:rsidP="000D159E">
      <w:pPr>
        <w:spacing w:line="276" w:lineRule="auto"/>
        <w:ind w:right="-99"/>
        <w:rPr>
          <w:rFonts w:eastAsiaTheme="minorEastAsia"/>
        </w:rPr>
      </w:pPr>
      <w:r>
        <w:rPr>
          <w:rFonts w:eastAsiaTheme="minorEastAsia" w:hint="eastAsia"/>
        </w:rPr>
        <w:t xml:space="preserve">In this contribution, UL </w:t>
      </w:r>
      <w:r w:rsidR="00E57EA5">
        <w:rPr>
          <w:rFonts w:eastAsiaTheme="minorEastAsia" w:hint="eastAsia"/>
        </w:rPr>
        <w:t>related issues</w:t>
      </w:r>
      <w:r>
        <w:rPr>
          <w:rFonts w:eastAsiaTheme="minorEastAsia" w:hint="eastAsia"/>
        </w:rPr>
        <w:t>, including</w:t>
      </w:r>
      <w:r w:rsidR="008607AB">
        <w:rPr>
          <w:rFonts w:eastAsiaTheme="minorEastAsia" w:hint="eastAsia"/>
        </w:rPr>
        <w:t xml:space="preserve"> </w:t>
      </w:r>
      <w:r w:rsidR="00E57EA5">
        <w:rPr>
          <w:rFonts w:eastAsiaTheme="minorEastAsia" w:hint="eastAsia"/>
        </w:rPr>
        <w:t xml:space="preserve">UL carrier frequency, </w:t>
      </w:r>
      <w:r w:rsidR="008607AB">
        <w:rPr>
          <w:rFonts w:eastAsiaTheme="minorEastAsia" w:hint="eastAsia"/>
        </w:rPr>
        <w:t>NPRACH and</w:t>
      </w:r>
      <w:r>
        <w:rPr>
          <w:rFonts w:eastAsiaTheme="minorEastAsia" w:hint="eastAsia"/>
        </w:rPr>
        <w:t xml:space="preserve"> NPUSCH are discussed in this paper. </w:t>
      </w:r>
    </w:p>
    <w:bookmarkEnd w:id="2"/>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755E05">
        <w:rPr>
          <w:rFonts w:eastAsia="宋体" w:hint="eastAsia"/>
          <w:color w:val="000000"/>
          <w:sz w:val="32"/>
          <w:lang w:val="en-US" w:eastAsia="zh-CN"/>
        </w:rPr>
        <w:t xml:space="preserve">UL carrier frequency </w:t>
      </w:r>
      <w:r w:rsidR="00E57EA5">
        <w:rPr>
          <w:rFonts w:eastAsia="宋体" w:hint="eastAsia"/>
          <w:color w:val="000000"/>
          <w:sz w:val="32"/>
          <w:lang w:val="en-US" w:eastAsia="zh-CN"/>
        </w:rPr>
        <w:t xml:space="preserve">configuration </w:t>
      </w:r>
    </w:p>
    <w:p w:rsidR="00742E0A" w:rsidRDefault="00E57EA5" w:rsidP="000D159E">
      <w:pPr>
        <w:spacing w:line="276" w:lineRule="auto"/>
      </w:pPr>
      <w:r>
        <w:rPr>
          <w:rFonts w:hint="eastAsia"/>
        </w:rPr>
        <w:t xml:space="preserve">For </w:t>
      </w:r>
      <w:r w:rsidR="00431CB3">
        <w:rPr>
          <w:rFonts w:hint="eastAsia"/>
        </w:rPr>
        <w:t>in-band</w:t>
      </w:r>
      <w:r>
        <w:rPr>
          <w:rFonts w:hint="eastAsia"/>
        </w:rPr>
        <w:t xml:space="preserve"> or </w:t>
      </w:r>
      <w:r w:rsidR="00431CB3">
        <w:rPr>
          <w:rFonts w:hint="eastAsia"/>
        </w:rPr>
        <w:t>guard-band</w:t>
      </w:r>
      <w:r>
        <w:rPr>
          <w:rFonts w:hint="eastAsia"/>
        </w:rPr>
        <w:t xml:space="preserve"> operation mode, NB-IoT will be deployed in LTE </w:t>
      </w:r>
      <w:r w:rsidR="00431CB3">
        <w:rPr>
          <w:rFonts w:hint="eastAsia"/>
        </w:rPr>
        <w:t>in-band</w:t>
      </w:r>
      <w:r>
        <w:rPr>
          <w:rFonts w:hint="eastAsia"/>
        </w:rPr>
        <w:t xml:space="preserve"> or guard. </w:t>
      </w:r>
      <w:r>
        <w:t>F</w:t>
      </w:r>
      <w:r>
        <w:rPr>
          <w:rFonts w:hint="eastAsia"/>
        </w:rPr>
        <w:t xml:space="preserve">or LTE DL, DC carrier is not counted for PRB </w:t>
      </w:r>
      <w:r>
        <w:t>definition</w:t>
      </w:r>
      <w:r>
        <w:rPr>
          <w:rFonts w:hint="eastAsia"/>
        </w:rPr>
        <w:t xml:space="preserve">. However, for LTE UL, DC carrier is put into the middle of two subcarriers. </w:t>
      </w:r>
      <w:r>
        <w:t>T</w:t>
      </w:r>
      <w:r>
        <w:rPr>
          <w:rFonts w:hint="eastAsia"/>
        </w:rPr>
        <w:t>herefore, shown as F</w:t>
      </w:r>
      <w:r>
        <w:t>i</w:t>
      </w:r>
      <w:r>
        <w:rPr>
          <w:rFonts w:hint="eastAsia"/>
        </w:rPr>
        <w:t xml:space="preserve">gure 1, there will have </w:t>
      </w:r>
      <w:r>
        <w:t>±</w:t>
      </w:r>
      <w:r>
        <w:rPr>
          <w:rFonts w:hint="eastAsia"/>
        </w:rPr>
        <w:t xml:space="preserve">7.5kHz offset between UL </w:t>
      </w:r>
      <w:r>
        <w:t>and</w:t>
      </w:r>
      <w:r>
        <w:rPr>
          <w:rFonts w:hint="eastAsia"/>
        </w:rPr>
        <w:t xml:space="preserve"> DL PRB</w:t>
      </w:r>
      <w:r w:rsidR="000D159E">
        <w:rPr>
          <w:rFonts w:hint="eastAsia"/>
        </w:rPr>
        <w:t>. T</w:t>
      </w:r>
      <w:r>
        <w:t>hat</w:t>
      </w:r>
      <w:r>
        <w:rPr>
          <w:rFonts w:hint="eastAsia"/>
        </w:rPr>
        <w:t xml:space="preserve"> is a carrier for NB-IoT. </w:t>
      </w:r>
      <w:r>
        <w:rPr>
          <w:rFonts w:hint="eastAsia"/>
        </w:rPr>
        <w:lastRenderedPageBreak/>
        <w:t xml:space="preserve">For FDD NB-IoT, because UL carrier frequency is configured in SIB, there is no problem. However, for TDD NB-IoT deploying </w:t>
      </w:r>
      <w:r w:rsidR="00431CB3">
        <w:rPr>
          <w:rFonts w:hint="eastAsia"/>
        </w:rPr>
        <w:t>in-band</w:t>
      </w:r>
      <w:r>
        <w:rPr>
          <w:rFonts w:hint="eastAsia"/>
        </w:rPr>
        <w:t xml:space="preserve"> or </w:t>
      </w:r>
      <w:r w:rsidR="00431CB3">
        <w:rPr>
          <w:rFonts w:hint="eastAsia"/>
        </w:rPr>
        <w:t>guard-band</w:t>
      </w:r>
      <w:r>
        <w:rPr>
          <w:rFonts w:hint="eastAsia"/>
        </w:rPr>
        <w:t xml:space="preserve"> of LTE, UE needs to know the offset (+ or -) between UL and DL carrier frequency to avoid the interference of normal LTE.</w:t>
      </w:r>
    </w:p>
    <w:p w:rsidR="00A52EA0" w:rsidRPr="00742E0A" w:rsidRDefault="00742E0A" w:rsidP="000D159E">
      <w:pPr>
        <w:spacing w:line="276" w:lineRule="auto"/>
        <w:rPr>
          <w:b/>
        </w:rPr>
      </w:pPr>
      <w:r w:rsidRPr="000D159E">
        <w:rPr>
          <w:rFonts w:hint="eastAsia"/>
          <w:b/>
        </w:rPr>
        <w:t xml:space="preserve">Proposal #1:  </w:t>
      </w:r>
      <w:r>
        <w:rPr>
          <w:rFonts w:hint="eastAsia"/>
          <w:b/>
        </w:rPr>
        <w:t xml:space="preserve">Introduce </w:t>
      </w:r>
      <w:r w:rsidRPr="00686E3A">
        <w:rPr>
          <w:rFonts w:hint="eastAsia"/>
          <w:b/>
        </w:rPr>
        <w:t>±</w:t>
      </w:r>
      <w:r w:rsidRPr="00686E3A">
        <w:rPr>
          <w:b/>
        </w:rPr>
        <w:t xml:space="preserve">7.5kHz offset between UL and DL </w:t>
      </w:r>
      <w:r>
        <w:rPr>
          <w:rFonts w:hint="eastAsia"/>
          <w:b/>
        </w:rPr>
        <w:t xml:space="preserve">carrier frequency for TDD NB-IoT for in-band and guard-band deployment. </w:t>
      </w:r>
      <w:r w:rsidR="00E57EA5">
        <w:rPr>
          <w:rFonts w:hint="eastAsia"/>
        </w:rPr>
        <w:t xml:space="preserve"> </w:t>
      </w:r>
    </w:p>
    <w:p w:rsidR="00D65974" w:rsidRDefault="003F31F4" w:rsidP="000D159E">
      <w:pPr>
        <w:spacing w:line="276" w:lineRule="auto"/>
      </w:pPr>
      <w:r>
        <w:rPr>
          <w:rFonts w:hint="eastAsia"/>
        </w:rPr>
        <w:t xml:space="preserve">For </w:t>
      </w:r>
      <w:r w:rsidR="00D65974">
        <w:rPr>
          <w:rFonts w:hint="eastAsia"/>
        </w:rPr>
        <w:t>anchor carrier for both in-band and guard-band deployments, UE can acquire the information of in higher or lower frequency side (left or right side of DC carrier) with channel raster. However, for non-anchor carrier, because UE doesn</w:t>
      </w:r>
      <w:r w:rsidR="00D65974">
        <w:t>’</w:t>
      </w:r>
      <w:r w:rsidR="00D65974">
        <w:rPr>
          <w:rFonts w:hint="eastAsia"/>
        </w:rPr>
        <w:t xml:space="preserve">t know the system </w:t>
      </w:r>
      <w:r w:rsidR="00D65974">
        <w:t>bandwidth</w:t>
      </w:r>
      <w:r w:rsidR="00D65974">
        <w:rPr>
          <w:rFonts w:hint="eastAsia"/>
        </w:rPr>
        <w:t xml:space="preserve">, UE cannot derive the non-anchor carrier locates </w:t>
      </w:r>
      <w:r w:rsidR="00D65974">
        <w:t>on which</w:t>
      </w:r>
      <w:r w:rsidR="00D65974">
        <w:rPr>
          <w:rFonts w:hint="eastAsia"/>
        </w:rPr>
        <w:t xml:space="preserve"> side of DC carrier. Therefore, at least for in-band mode, </w:t>
      </w:r>
      <w:r w:rsidR="00D65974">
        <w:t>the</w:t>
      </w:r>
      <w:r w:rsidR="00D65974">
        <w:rPr>
          <w:rFonts w:hint="eastAsia"/>
        </w:rPr>
        <w:t xml:space="preserve"> offset between UL and DL carrier shall be </w:t>
      </w:r>
      <w:r w:rsidR="00D65974">
        <w:t>signaled</w:t>
      </w:r>
      <w:r w:rsidR="00D65974">
        <w:rPr>
          <w:rFonts w:hint="eastAsia"/>
        </w:rPr>
        <w:t xml:space="preserve"> with dedicated RRC </w:t>
      </w:r>
      <w:r w:rsidR="00D65974">
        <w:t>signaling</w:t>
      </w:r>
      <w:r w:rsidR="00D65974">
        <w:rPr>
          <w:rFonts w:hint="eastAsia"/>
        </w:rPr>
        <w:t xml:space="preserve"> for non-anchor </w:t>
      </w:r>
      <w:r w:rsidR="00D65974">
        <w:t>configuration</w:t>
      </w:r>
      <w:r w:rsidR="00D65974">
        <w:rPr>
          <w:rFonts w:hint="eastAsia"/>
        </w:rPr>
        <w:t xml:space="preserve">. </w:t>
      </w:r>
    </w:p>
    <w:p w:rsidR="00D65974" w:rsidRDefault="00D65974" w:rsidP="000D159E">
      <w:pPr>
        <w:spacing w:line="276" w:lineRule="auto"/>
      </w:pPr>
      <w:r>
        <w:t>F</w:t>
      </w:r>
      <w:r>
        <w:rPr>
          <w:rFonts w:hint="eastAsia"/>
        </w:rPr>
        <w:t xml:space="preserve">or guard-band mode, if </w:t>
      </w:r>
      <w:r w:rsidR="00742E0A">
        <w:rPr>
          <w:rFonts w:hint="eastAsia"/>
        </w:rPr>
        <w:t xml:space="preserve">SIB1-NB can be </w:t>
      </w:r>
      <w:r w:rsidR="00742E0A">
        <w:t>transmitted</w:t>
      </w:r>
      <w:r w:rsidR="00742E0A">
        <w:rPr>
          <w:rFonts w:hint="eastAsia"/>
        </w:rPr>
        <w:t xml:space="preserve"> </w:t>
      </w:r>
      <w:r w:rsidR="00742E0A">
        <w:t>on the other</w:t>
      </w:r>
      <w:r w:rsidR="00742E0A">
        <w:rPr>
          <w:rFonts w:hint="eastAsia"/>
        </w:rPr>
        <w:t xml:space="preserve"> side of system, UE will </w:t>
      </w:r>
      <w:r w:rsidR="00742E0A">
        <w:t>obtain system bandwidth based on the signaling in MIB</w:t>
      </w:r>
      <w:r w:rsidR="00742E0A">
        <w:rPr>
          <w:rFonts w:hint="eastAsia"/>
        </w:rPr>
        <w:t xml:space="preserve">-NB. </w:t>
      </w:r>
      <w:r w:rsidR="00742E0A">
        <w:t>I</w:t>
      </w:r>
      <w:r w:rsidR="00742E0A">
        <w:rPr>
          <w:rFonts w:hint="eastAsia"/>
        </w:rPr>
        <w:t xml:space="preserve">n this case, without this UL/DL carrier offset, UE can </w:t>
      </w:r>
      <w:r w:rsidR="00742E0A">
        <w:t>still</w:t>
      </w:r>
      <w:r w:rsidR="00742E0A">
        <w:rPr>
          <w:rFonts w:hint="eastAsia"/>
        </w:rPr>
        <w:t xml:space="preserve"> derive the  non-anchor PRB location. </w:t>
      </w:r>
      <w:r w:rsidR="00742E0A">
        <w:t>B</w:t>
      </w:r>
      <w:r w:rsidR="00742E0A">
        <w:rPr>
          <w:rFonts w:hint="eastAsia"/>
        </w:rPr>
        <w:t>ut for other cases</w:t>
      </w:r>
      <w:r w:rsidR="00742E0A">
        <w:t>, the</w:t>
      </w:r>
      <w:r w:rsidR="00742E0A">
        <w:rPr>
          <w:rFonts w:hint="eastAsia"/>
        </w:rPr>
        <w:t xml:space="preserve"> UL/DL carrier offset is still needed. </w:t>
      </w:r>
    </w:p>
    <w:p w:rsidR="00742E0A" w:rsidRDefault="00686E3A" w:rsidP="000D159E">
      <w:pPr>
        <w:spacing w:line="276" w:lineRule="auto"/>
        <w:rPr>
          <w:b/>
        </w:rPr>
      </w:pPr>
      <w:r>
        <w:rPr>
          <w:rFonts w:hint="eastAsia"/>
          <w:b/>
        </w:rPr>
        <w:t xml:space="preserve">Proposal #2: </w:t>
      </w:r>
      <w:r w:rsidR="00742E0A">
        <w:rPr>
          <w:rFonts w:hint="eastAsia"/>
          <w:b/>
        </w:rPr>
        <w:t xml:space="preserve">Introduce a RRC signaling to indicate UL/DL carrier offset in the RRC message for non-anchor carrier configuration at least for in-band and guard-band without information of LTE system </w:t>
      </w:r>
      <w:r w:rsidR="00742E0A">
        <w:rPr>
          <w:b/>
        </w:rPr>
        <w:t>bandwidth</w:t>
      </w:r>
      <w:r w:rsidR="00742E0A">
        <w:rPr>
          <w:rFonts w:hint="eastAsia"/>
          <w:b/>
        </w:rPr>
        <w:t xml:space="preserve">.  </w:t>
      </w:r>
    </w:p>
    <w:p w:rsidR="00686E3A" w:rsidRPr="000D159E" w:rsidRDefault="00686E3A" w:rsidP="000D159E">
      <w:pPr>
        <w:spacing w:line="276" w:lineRule="auto"/>
        <w:rPr>
          <w:b/>
        </w:rPr>
      </w:pPr>
    </w:p>
    <w:p w:rsidR="00755E05" w:rsidRDefault="00E16442" w:rsidP="000D159E">
      <w:pPr>
        <w:spacing w:line="276" w:lineRule="auto"/>
        <w:jc w:val="center"/>
      </w:pPr>
      <w:r>
        <w:object w:dxaOrig="3240" w:dyaOrig="2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6pt" o:ole="">
            <v:imagedata r:id="rId9" o:title=""/>
          </v:shape>
          <o:OLEObject Type="Embed" ProgID="Visio.Drawing.15" ShapeID="_x0000_i1025" DrawAspect="Content" ObjectID="_1587565873" r:id="rId10"/>
        </w:object>
      </w:r>
    </w:p>
    <w:p w:rsidR="00F71BC5" w:rsidRDefault="00F71BC5" w:rsidP="000D159E">
      <w:pPr>
        <w:spacing w:line="276" w:lineRule="auto"/>
        <w:jc w:val="center"/>
      </w:pPr>
      <w:r>
        <w:rPr>
          <w:rFonts w:hint="eastAsia"/>
        </w:rPr>
        <w:t>Figure 1</w:t>
      </w:r>
    </w:p>
    <w:p w:rsidR="00604F1B" w:rsidRDefault="001B0768" w:rsidP="001B0768">
      <w:pPr>
        <w:spacing w:line="276" w:lineRule="auto"/>
      </w:pPr>
      <w:r>
        <w:rPr>
          <w:rFonts w:hint="eastAsia"/>
        </w:rPr>
        <w:t xml:space="preserve">Because </w:t>
      </w:r>
      <w:r w:rsidR="007F384B">
        <w:rPr>
          <w:rFonts w:hint="eastAsia"/>
        </w:rPr>
        <w:t xml:space="preserve">the low cost of NB-IoT UE, </w:t>
      </w:r>
      <w:r>
        <w:rPr>
          <w:rFonts w:hint="eastAsia"/>
        </w:rPr>
        <w:t>the requirement</w:t>
      </w:r>
      <w:r w:rsidR="007F384B">
        <w:rPr>
          <w:rFonts w:hint="eastAsia"/>
        </w:rPr>
        <w:t xml:space="preserve"> of OOB is looser than LTE. </w:t>
      </w:r>
      <w:r w:rsidR="00505B72">
        <w:rPr>
          <w:rFonts w:hint="eastAsia"/>
        </w:rPr>
        <w:t>UE</w:t>
      </w:r>
      <w:r w:rsidR="007F384B">
        <w:rPr>
          <w:rFonts w:hint="eastAsia"/>
        </w:rPr>
        <w:t xml:space="preserve"> cannot </w:t>
      </w:r>
      <w:r w:rsidR="00505B72">
        <w:rPr>
          <w:rFonts w:hint="eastAsia"/>
        </w:rPr>
        <w:t>transmit uplink</w:t>
      </w:r>
      <w:r w:rsidR="007F384B">
        <w:rPr>
          <w:rFonts w:hint="eastAsia"/>
        </w:rPr>
        <w:t xml:space="preserve"> at the edge of </w:t>
      </w:r>
      <w:r w:rsidR="00431CB3">
        <w:rPr>
          <w:rFonts w:hint="eastAsia"/>
        </w:rPr>
        <w:t>guard-band</w:t>
      </w:r>
      <w:r w:rsidR="007F384B">
        <w:rPr>
          <w:rFonts w:hint="eastAsia"/>
        </w:rPr>
        <w:t xml:space="preserve">. </w:t>
      </w:r>
      <w:r w:rsidR="007F384B">
        <w:t>F</w:t>
      </w:r>
      <w:r w:rsidR="007F384B">
        <w:rPr>
          <w:rFonts w:hint="eastAsia"/>
        </w:rPr>
        <w:t>or FDD NB-IoT, since the frequency of uplink is configured by eNB, no need to special</w:t>
      </w:r>
      <w:r w:rsidR="00604F1B">
        <w:rPr>
          <w:rFonts w:hint="eastAsia"/>
        </w:rPr>
        <w:t>ly</w:t>
      </w:r>
      <w:r w:rsidR="007F384B">
        <w:rPr>
          <w:rFonts w:hint="eastAsia"/>
        </w:rPr>
        <w:t xml:space="preserve"> handle this issue. </w:t>
      </w:r>
      <w:r w:rsidR="00505B72">
        <w:rPr>
          <w:rFonts w:hint="eastAsia"/>
        </w:rPr>
        <w:t xml:space="preserve">However, for TDD NB-IoT in </w:t>
      </w:r>
      <w:r w:rsidR="00431CB3">
        <w:rPr>
          <w:rFonts w:hint="eastAsia"/>
        </w:rPr>
        <w:t>guard-band</w:t>
      </w:r>
      <w:r w:rsidR="00505B72">
        <w:rPr>
          <w:rFonts w:hint="eastAsia"/>
        </w:rPr>
        <w:t xml:space="preserve"> deployment, two carriers can be used to transmit DL but only one carrier can be used for uplink </w:t>
      </w:r>
      <w:r w:rsidR="00505B72">
        <w:t>transmission</w:t>
      </w:r>
      <w:r w:rsidR="00E16442">
        <w:rPr>
          <w:rFonts w:hint="eastAsia"/>
        </w:rPr>
        <w:t>, shown as Figure 2</w:t>
      </w:r>
      <w:r w:rsidR="00505B72">
        <w:rPr>
          <w:rFonts w:hint="eastAsia"/>
        </w:rPr>
        <w:t xml:space="preserve">. </w:t>
      </w:r>
    </w:p>
    <w:p w:rsidR="00E16442" w:rsidRDefault="00505B72" w:rsidP="001B0768">
      <w:pPr>
        <w:spacing w:line="276" w:lineRule="auto"/>
      </w:pPr>
      <w:r>
        <w:rPr>
          <w:rFonts w:hint="eastAsia"/>
        </w:rPr>
        <w:t xml:space="preserve">Since the DL overhead is quite heavy, it is </w:t>
      </w:r>
      <w:r>
        <w:t>benefit</w:t>
      </w:r>
      <w:r>
        <w:rPr>
          <w:rFonts w:hint="eastAsia"/>
        </w:rPr>
        <w:t xml:space="preserve"> to use that DL carrier. In order to use that DL carrier, eNB needs to configure a UL carrier to the corresponding DL carrier. On the other hand, as </w:t>
      </w:r>
      <w:r>
        <w:t>discussed</w:t>
      </w:r>
      <w:r>
        <w:rPr>
          <w:rFonts w:hint="eastAsia"/>
        </w:rPr>
        <w:t xml:space="preserve"> in [</w:t>
      </w:r>
      <w:r w:rsidR="005C2D48">
        <w:rPr>
          <w:rFonts w:hint="eastAsia"/>
        </w:rPr>
        <w:t>2</w:t>
      </w:r>
      <w:r>
        <w:rPr>
          <w:rFonts w:hint="eastAsia"/>
        </w:rPr>
        <w:t xml:space="preserve">], from eNB scheduling flexibility point of view, cross carrier scheduling is </w:t>
      </w:r>
      <w:r>
        <w:t>benefit</w:t>
      </w:r>
      <w:r>
        <w:rPr>
          <w:rFonts w:hint="eastAsia"/>
        </w:rPr>
        <w:t xml:space="preserve">. </w:t>
      </w:r>
      <w:r>
        <w:t>T</w:t>
      </w:r>
      <w:r>
        <w:rPr>
          <w:rFonts w:hint="eastAsia"/>
        </w:rPr>
        <w:t xml:space="preserve">herefore, </w:t>
      </w:r>
      <w:r w:rsidR="00E16442">
        <w:rPr>
          <w:rFonts w:hint="eastAsia"/>
        </w:rPr>
        <w:t>it is suggested to configure an uplink carrier for TDD NB-IoT for all the deployment modes.</w:t>
      </w:r>
    </w:p>
    <w:p w:rsidR="00B71743" w:rsidRDefault="00B46784" w:rsidP="001B0768">
      <w:pPr>
        <w:spacing w:line="276" w:lineRule="auto"/>
      </w:pPr>
      <w:r>
        <w:rPr>
          <w:rFonts w:hint="eastAsia"/>
        </w:rPr>
        <w:t>If no paired UL carrier is configured, for the purpose of relaxing DL overhead, the unpaired DL carrier can be configured to transmit some DL signals which need no UL response, e.g. SIBs, SC-PTM and paging.</w:t>
      </w:r>
    </w:p>
    <w:p w:rsidR="00686E3A" w:rsidRDefault="00E16442" w:rsidP="001B0768">
      <w:pPr>
        <w:spacing w:line="276" w:lineRule="auto"/>
        <w:rPr>
          <w:b/>
        </w:rPr>
      </w:pPr>
      <w:r>
        <w:rPr>
          <w:rFonts w:hint="eastAsia"/>
          <w:b/>
        </w:rPr>
        <w:t xml:space="preserve">Proposal #3: At least for </w:t>
      </w:r>
      <w:r w:rsidR="00431CB3">
        <w:rPr>
          <w:rFonts w:hint="eastAsia"/>
          <w:b/>
        </w:rPr>
        <w:t>guard-band</w:t>
      </w:r>
      <w:r>
        <w:rPr>
          <w:rFonts w:hint="eastAsia"/>
          <w:b/>
        </w:rPr>
        <w:t xml:space="preserve"> mode, introduce a RRC </w:t>
      </w:r>
      <w:r>
        <w:rPr>
          <w:b/>
        </w:rPr>
        <w:t>signaling</w:t>
      </w:r>
      <w:r>
        <w:rPr>
          <w:rFonts w:hint="eastAsia"/>
          <w:b/>
        </w:rPr>
        <w:t xml:space="preserve"> to configure carrier frequency of uplink </w:t>
      </w:r>
      <w:r w:rsidR="00950F0B">
        <w:rPr>
          <w:rFonts w:hint="eastAsia"/>
          <w:b/>
        </w:rPr>
        <w:t>for</w:t>
      </w:r>
      <w:r>
        <w:rPr>
          <w:rFonts w:hint="eastAsia"/>
          <w:b/>
        </w:rPr>
        <w:t xml:space="preserve"> the DL carrier</w:t>
      </w:r>
      <w:r w:rsidR="00950F0B">
        <w:rPr>
          <w:rFonts w:hint="eastAsia"/>
          <w:b/>
        </w:rPr>
        <w:t xml:space="preserve"> </w:t>
      </w:r>
      <w:r>
        <w:rPr>
          <w:rFonts w:hint="eastAsia"/>
          <w:b/>
        </w:rPr>
        <w:t xml:space="preserve">at </w:t>
      </w:r>
      <w:r w:rsidR="00950F0B">
        <w:rPr>
          <w:rFonts w:hint="eastAsia"/>
          <w:b/>
        </w:rPr>
        <w:t xml:space="preserve">edge of </w:t>
      </w:r>
      <w:r w:rsidR="00431CB3">
        <w:rPr>
          <w:rFonts w:hint="eastAsia"/>
          <w:b/>
        </w:rPr>
        <w:t>guard-band</w:t>
      </w:r>
      <w:r>
        <w:rPr>
          <w:rFonts w:hint="eastAsia"/>
          <w:b/>
        </w:rPr>
        <w:t xml:space="preserve">. </w:t>
      </w:r>
    </w:p>
    <w:p w:rsidR="00604F1B" w:rsidRPr="00B46784" w:rsidRDefault="00B46784" w:rsidP="001B0768">
      <w:pPr>
        <w:spacing w:line="276" w:lineRule="auto"/>
        <w:rPr>
          <w:b/>
        </w:rPr>
      </w:pPr>
      <w:r w:rsidRPr="00B46784">
        <w:rPr>
          <w:rFonts w:hint="eastAsia"/>
          <w:b/>
        </w:rPr>
        <w:t>Proposal #4:</w:t>
      </w:r>
      <w:r>
        <w:rPr>
          <w:rFonts w:hint="eastAsia"/>
          <w:b/>
        </w:rPr>
        <w:t xml:space="preserve"> If DL carrier in guard-band is not configured with a paired UL carrier, it can be used to transmit SIBs, SC-PTM and paging.</w:t>
      </w:r>
    </w:p>
    <w:p w:rsidR="00505B72" w:rsidRDefault="00171FB8" w:rsidP="00171FB8">
      <w:pPr>
        <w:spacing w:line="276" w:lineRule="auto"/>
        <w:jc w:val="center"/>
      </w:pPr>
      <w:r>
        <w:rPr>
          <w:noProof/>
          <w:lang w:eastAsia="en-US"/>
        </w:rPr>
        <w:lastRenderedPageBreak/>
        <w:drawing>
          <wp:inline distT="0" distB="0" distL="0" distR="0" wp14:anchorId="5918533D" wp14:editId="153E21DB">
            <wp:extent cx="5486400" cy="1196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1196340"/>
                    </a:xfrm>
                    <a:prstGeom prst="rect">
                      <a:avLst/>
                    </a:prstGeom>
                  </pic:spPr>
                </pic:pic>
              </a:graphicData>
            </a:graphic>
          </wp:inline>
        </w:drawing>
      </w:r>
    </w:p>
    <w:p w:rsidR="00505B72" w:rsidRDefault="00505B72" w:rsidP="00505B72">
      <w:pPr>
        <w:spacing w:line="276" w:lineRule="auto"/>
        <w:jc w:val="center"/>
      </w:pPr>
      <w:r>
        <w:rPr>
          <w:rFonts w:hint="eastAsia"/>
        </w:rPr>
        <w:t>Figure 2</w:t>
      </w:r>
    </w:p>
    <w:p w:rsidR="005D3B2A" w:rsidRPr="007C4D57"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5D3B2A" w:rsidRPr="007C4D57">
        <w:rPr>
          <w:rFonts w:eastAsia="宋体" w:hint="eastAsia"/>
          <w:color w:val="000000"/>
          <w:sz w:val="32"/>
          <w:lang w:val="en-US" w:eastAsia="ko-KR"/>
        </w:rPr>
        <w:t xml:space="preserve">. </w:t>
      </w:r>
      <w:r w:rsidR="006B0C38" w:rsidRPr="007C4D57">
        <w:rPr>
          <w:rFonts w:eastAsia="宋体" w:hint="eastAsia"/>
          <w:color w:val="000000"/>
          <w:sz w:val="32"/>
          <w:lang w:val="en-US" w:eastAsia="ko-KR"/>
        </w:rPr>
        <w:t>N</w:t>
      </w:r>
      <w:r w:rsidR="00983629" w:rsidRPr="007C4D57">
        <w:rPr>
          <w:rFonts w:eastAsia="宋体" w:hint="eastAsia"/>
          <w:color w:val="000000"/>
          <w:sz w:val="32"/>
          <w:lang w:val="en-US" w:eastAsia="ko-KR"/>
        </w:rPr>
        <w:t>PUSCH</w:t>
      </w:r>
    </w:p>
    <w:p w:rsidR="004F44D6" w:rsidRDefault="00562A9E" w:rsidP="000D159E">
      <w:pPr>
        <w:spacing w:line="276" w:lineRule="auto"/>
        <w:rPr>
          <w:rFonts w:eastAsiaTheme="minorEastAsia"/>
        </w:rPr>
      </w:pPr>
      <w:r>
        <w:rPr>
          <w:rFonts w:eastAsiaTheme="minorEastAsia" w:hint="eastAsia"/>
        </w:rPr>
        <w:t xml:space="preserve">In TDD system, different UL/DL </w:t>
      </w:r>
      <w:r>
        <w:rPr>
          <w:rFonts w:eastAsiaTheme="minorEastAsia"/>
        </w:rPr>
        <w:t>configuration</w:t>
      </w:r>
      <w:r>
        <w:rPr>
          <w:rFonts w:eastAsiaTheme="minorEastAsia" w:hint="eastAsia"/>
        </w:rPr>
        <w:t xml:space="preserve">s, the resource for UL and DL may be not </w:t>
      </w:r>
      <w:r>
        <w:rPr>
          <w:rFonts w:eastAsiaTheme="minorEastAsia"/>
        </w:rPr>
        <w:t>balanced</w:t>
      </w:r>
      <w:r>
        <w:rPr>
          <w:rFonts w:eastAsiaTheme="minorEastAsia" w:hint="eastAsia"/>
        </w:rPr>
        <w:t xml:space="preserve">. For example, </w:t>
      </w:r>
      <w:r w:rsidR="007D75F8">
        <w:rPr>
          <w:rFonts w:eastAsiaTheme="minorEastAsia" w:hint="eastAsia"/>
        </w:rPr>
        <w:t xml:space="preserve">UL/DL </w:t>
      </w:r>
      <w:r w:rsidR="007D75F8">
        <w:rPr>
          <w:rFonts w:eastAsiaTheme="minorEastAsia"/>
        </w:rPr>
        <w:t>configuration</w:t>
      </w:r>
      <w:r w:rsidR="007D75F8">
        <w:rPr>
          <w:rFonts w:eastAsiaTheme="minorEastAsia" w:hint="eastAsia"/>
        </w:rPr>
        <w:t xml:space="preserve"> #2, there are only two uplink subframes. In order to be able to </w:t>
      </w:r>
      <w:r w:rsidR="007D75F8">
        <w:rPr>
          <w:rFonts w:eastAsiaTheme="minorEastAsia"/>
        </w:rPr>
        <w:t>achieve</w:t>
      </w:r>
      <w:r w:rsidR="007D75F8">
        <w:rPr>
          <w:rFonts w:eastAsiaTheme="minorEastAsia" w:hint="eastAsia"/>
        </w:rPr>
        <w:t xml:space="preserve"> the peak data rate, i.e., 12 tones </w:t>
      </w:r>
      <w:r w:rsidR="007D75F8">
        <w:rPr>
          <w:rFonts w:eastAsiaTheme="minorEastAsia"/>
        </w:rPr>
        <w:t>scheduling</w:t>
      </w:r>
      <w:r w:rsidR="007D75F8">
        <w:rPr>
          <w:rFonts w:eastAsiaTheme="minorEastAsia" w:hint="eastAsia"/>
        </w:rPr>
        <w:t xml:space="preserve"> for NPUSCH format 1, it is better to support cross carrier </w:t>
      </w:r>
      <w:r w:rsidR="007D75F8">
        <w:rPr>
          <w:rFonts w:eastAsiaTheme="minorEastAsia"/>
        </w:rPr>
        <w:t>scheduling</w:t>
      </w:r>
      <w:r w:rsidR="007D75F8">
        <w:rPr>
          <w:rFonts w:eastAsiaTheme="minorEastAsia" w:hint="eastAsia"/>
        </w:rPr>
        <w:t xml:space="preserve"> as discussed in [3]. Similar </w:t>
      </w:r>
      <w:r w:rsidR="007D75F8" w:rsidRPr="007D75F8">
        <w:rPr>
          <w:rFonts w:eastAsiaTheme="minorEastAsia"/>
        </w:rPr>
        <w:t>mechanism</w:t>
      </w:r>
      <w:r w:rsidR="007D75F8">
        <w:rPr>
          <w:rFonts w:eastAsiaTheme="minorEastAsia" w:hint="eastAsia"/>
        </w:rPr>
        <w:t xml:space="preserve"> can be adopted for NPUSCH </w:t>
      </w:r>
      <w:r w:rsidR="007D75F8">
        <w:rPr>
          <w:rFonts w:eastAsiaTheme="minorEastAsia"/>
        </w:rPr>
        <w:t>format</w:t>
      </w:r>
      <w:r w:rsidR="007D75F8">
        <w:rPr>
          <w:rFonts w:eastAsiaTheme="minorEastAsia" w:hint="eastAsia"/>
        </w:rPr>
        <w:t xml:space="preserve"> 2. NPUSCH format 2 may be </w:t>
      </w:r>
      <w:r w:rsidR="007D75F8">
        <w:rPr>
          <w:rFonts w:eastAsiaTheme="minorEastAsia"/>
        </w:rPr>
        <w:t>transmitted</w:t>
      </w:r>
      <w:r w:rsidR="007D75F8">
        <w:rPr>
          <w:rFonts w:eastAsiaTheme="minorEastAsia" w:hint="eastAsia"/>
        </w:rPr>
        <w:t xml:space="preserve"> on the carrier same or different from NPDSCH</w:t>
      </w:r>
      <w:r w:rsidR="00AA35DE">
        <w:rPr>
          <w:rFonts w:eastAsiaTheme="minorEastAsia" w:hint="eastAsia"/>
        </w:rPr>
        <w:t xml:space="preserve"> and/</w:t>
      </w:r>
      <w:r w:rsidR="007D75F8">
        <w:rPr>
          <w:rFonts w:eastAsiaTheme="minorEastAsia" w:hint="eastAsia"/>
        </w:rPr>
        <w:t xml:space="preserve">or NPDCCH </w:t>
      </w:r>
      <w:r w:rsidR="007D75F8">
        <w:rPr>
          <w:rFonts w:eastAsiaTheme="minorEastAsia"/>
        </w:rPr>
        <w:t>scheduled</w:t>
      </w:r>
      <w:r w:rsidR="007D75F8">
        <w:rPr>
          <w:rFonts w:eastAsiaTheme="minorEastAsia" w:hint="eastAsia"/>
        </w:rPr>
        <w:t xml:space="preserve"> NPDSCH. </w:t>
      </w:r>
      <w:r w:rsidR="007D75F8">
        <w:rPr>
          <w:rFonts w:eastAsiaTheme="minorEastAsia"/>
        </w:rPr>
        <w:t>T</w:t>
      </w:r>
      <w:r w:rsidR="007D75F8">
        <w:rPr>
          <w:rFonts w:eastAsiaTheme="minorEastAsia" w:hint="eastAsia"/>
        </w:rPr>
        <w:t xml:space="preserve">he carrier </w:t>
      </w:r>
      <w:r w:rsidR="009F3874">
        <w:rPr>
          <w:rFonts w:eastAsiaTheme="minorEastAsia" w:hint="eastAsia"/>
        </w:rPr>
        <w:t xml:space="preserve">for UCI </w:t>
      </w:r>
      <w:r w:rsidR="009F3874">
        <w:rPr>
          <w:rFonts w:eastAsiaTheme="minorEastAsia"/>
        </w:rPr>
        <w:t>transmission</w:t>
      </w:r>
      <w:r w:rsidR="009F3874">
        <w:rPr>
          <w:rFonts w:eastAsiaTheme="minorEastAsia" w:hint="eastAsia"/>
        </w:rPr>
        <w:t xml:space="preserve"> </w:t>
      </w:r>
      <w:r w:rsidR="007D75F8">
        <w:rPr>
          <w:rFonts w:eastAsiaTheme="minorEastAsia" w:hint="eastAsia"/>
        </w:rPr>
        <w:t xml:space="preserve">can be configured by RRC. </w:t>
      </w:r>
    </w:p>
    <w:p w:rsidR="004F44D6" w:rsidRPr="00FD3856" w:rsidRDefault="004F44D6" w:rsidP="000D159E">
      <w:pPr>
        <w:spacing w:line="276" w:lineRule="auto"/>
        <w:rPr>
          <w:rFonts w:eastAsiaTheme="minorEastAsia"/>
          <w:b/>
        </w:rPr>
      </w:pPr>
      <w:r w:rsidRPr="00FD3856">
        <w:rPr>
          <w:rFonts w:eastAsiaTheme="minorEastAsia" w:hint="eastAsia"/>
          <w:b/>
        </w:rPr>
        <w:t>Proposal #</w:t>
      </w:r>
      <w:r w:rsidR="007F01CE">
        <w:rPr>
          <w:rFonts w:eastAsiaTheme="minorEastAsia" w:hint="eastAsia"/>
          <w:b/>
        </w:rPr>
        <w:t>5</w:t>
      </w:r>
      <w:r w:rsidRPr="00FD3856">
        <w:rPr>
          <w:rFonts w:eastAsiaTheme="minorEastAsia" w:hint="eastAsia"/>
          <w:b/>
        </w:rPr>
        <w:t xml:space="preserve">: </w:t>
      </w:r>
      <w:r w:rsidR="007D4627">
        <w:rPr>
          <w:rFonts w:eastAsiaTheme="minorEastAsia" w:hint="eastAsia"/>
          <w:b/>
        </w:rPr>
        <w:t xml:space="preserve">The carrier for NPUSCH format 2 is </w:t>
      </w:r>
      <w:r w:rsidR="007D4627">
        <w:rPr>
          <w:rFonts w:eastAsiaTheme="minorEastAsia"/>
          <w:b/>
        </w:rPr>
        <w:t>configured by RRC.</w:t>
      </w:r>
      <w:r w:rsidR="007D4627">
        <w:rPr>
          <w:rFonts w:eastAsiaTheme="minorEastAsia" w:hint="eastAsia"/>
          <w:b/>
        </w:rPr>
        <w:t xml:space="preserve"> </w:t>
      </w:r>
    </w:p>
    <w:p w:rsidR="00AE73C5" w:rsidRPr="0017313F" w:rsidRDefault="00AE73C5" w:rsidP="000D159E">
      <w:pPr>
        <w:spacing w:before="60" w:line="276" w:lineRule="auto"/>
        <w:jc w:val="center"/>
        <w:rPr>
          <w:rFonts w:ascii="Arial" w:eastAsiaTheme="minorEastAsia" w:hAnsi="Arial" w:cs="Arial"/>
          <w:lang w:val="en-GB"/>
        </w:rPr>
      </w:pPr>
      <w:r>
        <w:rPr>
          <w:rFonts w:ascii="Arial" w:eastAsiaTheme="minorEastAsia" w:hAnsi="Arial" w:cs="Arial" w:hint="eastAsia"/>
          <w:b/>
          <w:bCs/>
          <w:lang w:val="en-GB"/>
        </w:rPr>
        <w:t xml:space="preserve">Table 1: </w:t>
      </w:r>
      <w:r w:rsidRPr="0017313F">
        <w:rPr>
          <w:rFonts w:ascii="Arial" w:eastAsia="Times New Roman" w:hAnsi="Arial" w:cs="Arial"/>
          <w:b/>
          <w:bCs/>
          <w:lang w:val="en-GB"/>
        </w:rPr>
        <w:t>Uplink-downlink configurations</w:t>
      </w:r>
      <w:r>
        <w:rPr>
          <w:rFonts w:ascii="Arial" w:eastAsiaTheme="minorEastAsia" w:hAnsi="Arial" w:cs="Arial" w:hint="eastAsia"/>
          <w:b/>
          <w:bCs/>
          <w:lang w:val="en-GB"/>
        </w:rPr>
        <w:t xml:space="preserve"> (</w:t>
      </w:r>
      <w:r>
        <w:rPr>
          <w:rFonts w:ascii="Arial" w:eastAsia="Times New Roman" w:hAnsi="Arial" w:cs="Arial"/>
          <w:b/>
          <w:bCs/>
          <w:lang w:val="en-GB"/>
        </w:rPr>
        <w:t>Table 4.2-2 in TS 36.211</w:t>
      </w:r>
      <w:r>
        <w:rPr>
          <w:rFonts w:ascii="Arial" w:eastAsiaTheme="minorEastAsia" w:hAnsi="Arial" w:cs="Arial" w:hint="eastAsia"/>
          <w:b/>
          <w:bCs/>
          <w:lang w:val="en-GB"/>
        </w:rPr>
        <w:t>)</w:t>
      </w:r>
    </w:p>
    <w:tbl>
      <w:tblPr>
        <w:tblStyle w:val="TableGrid"/>
        <w:tblW w:w="0" w:type="auto"/>
        <w:tblLook w:val="04A0" w:firstRow="1" w:lastRow="0" w:firstColumn="1" w:lastColumn="0" w:noHBand="0" w:noVBand="1"/>
      </w:tblPr>
      <w:tblGrid>
        <w:gridCol w:w="1668"/>
        <w:gridCol w:w="1978"/>
        <w:gridCol w:w="620"/>
        <w:gridCol w:w="621"/>
        <w:gridCol w:w="621"/>
        <w:gridCol w:w="621"/>
        <w:gridCol w:w="621"/>
        <w:gridCol w:w="620"/>
        <w:gridCol w:w="621"/>
        <w:gridCol w:w="621"/>
        <w:gridCol w:w="621"/>
        <w:gridCol w:w="621"/>
      </w:tblGrid>
      <w:tr w:rsidR="00AE73C5" w:rsidRPr="0017313F" w:rsidTr="00DD0049">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 xml:space="preserve">Uplink-downlink </w:t>
            </w:r>
          </w:p>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configuration</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 xml:space="preserve">Downlink-to-Uplink </w:t>
            </w:r>
          </w:p>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Switch-point periodicity</w:t>
            </w:r>
          </w:p>
        </w:tc>
        <w:tc>
          <w:tcPr>
            <w:tcW w:w="6208" w:type="dxa"/>
            <w:gridSpan w:val="10"/>
            <w:hideMark/>
          </w:tcPr>
          <w:p w:rsidR="00AE73C5" w:rsidRPr="0017313F" w:rsidRDefault="00AE73C5" w:rsidP="000D159E">
            <w:pPr>
              <w:spacing w:after="0" w:line="276" w:lineRule="auto"/>
              <w:jc w:val="center"/>
              <w:rPr>
                <w:rFonts w:ascii="Arial" w:eastAsiaTheme="minorEastAsia" w:hAnsi="Arial" w:cs="Arial"/>
                <w:sz w:val="18"/>
                <w:szCs w:val="18"/>
                <w:lang w:val="en-GB"/>
              </w:rPr>
            </w:pPr>
            <w:r w:rsidRPr="0017313F">
              <w:rPr>
                <w:rFonts w:ascii="Arial" w:eastAsia="Times New Roman" w:hAnsi="Arial" w:cs="Arial"/>
                <w:b/>
                <w:bCs/>
                <w:sz w:val="18"/>
                <w:szCs w:val="18"/>
                <w:lang w:val="en-GB"/>
              </w:rPr>
              <w:t>Subframe number</w:t>
            </w:r>
          </w:p>
        </w:tc>
      </w:tr>
      <w:tr w:rsidR="00AE73C5" w:rsidRPr="0017313F" w:rsidTr="00AE73C5">
        <w:tc>
          <w:tcPr>
            <w:tcW w:w="1668" w:type="dxa"/>
            <w:hideMark/>
          </w:tcPr>
          <w:p w:rsidR="00AE73C5" w:rsidRPr="0017313F" w:rsidRDefault="00AE73C5" w:rsidP="000D159E">
            <w:pPr>
              <w:spacing w:after="0" w:line="276" w:lineRule="auto"/>
              <w:rPr>
                <w:rFonts w:ascii="Calibri" w:eastAsia="Times New Roman" w:hAnsi="Calibri"/>
                <w:sz w:val="22"/>
                <w:szCs w:val="22"/>
              </w:rPr>
            </w:pPr>
            <w:r w:rsidRPr="0017313F">
              <w:rPr>
                <w:rFonts w:ascii="Calibri" w:eastAsia="Times New Roman" w:hAnsi="Calibri"/>
                <w:sz w:val="22"/>
                <w:szCs w:val="22"/>
              </w:rPr>
              <w:t> </w:t>
            </w:r>
          </w:p>
        </w:tc>
        <w:tc>
          <w:tcPr>
            <w:tcW w:w="1978" w:type="dxa"/>
            <w:hideMark/>
          </w:tcPr>
          <w:p w:rsidR="00AE73C5" w:rsidRPr="0017313F" w:rsidRDefault="00AE73C5" w:rsidP="000D159E">
            <w:pPr>
              <w:spacing w:after="0" w:line="276" w:lineRule="auto"/>
              <w:rPr>
                <w:rFonts w:ascii="Calibri" w:eastAsia="Times New Roman" w:hAnsi="Calibri"/>
                <w:sz w:val="22"/>
                <w:szCs w:val="22"/>
              </w:rPr>
            </w:pPr>
            <w:r w:rsidRPr="0017313F">
              <w:rPr>
                <w:rFonts w:ascii="Calibri" w:eastAsia="Times New Roman" w:hAnsi="Calibri"/>
                <w:sz w:val="22"/>
                <w:szCs w:val="22"/>
              </w:rPr>
              <w:t> </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0</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1</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2</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3</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4</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5</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6</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7</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8</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9</w:t>
            </w:r>
          </w:p>
        </w:tc>
      </w:tr>
      <w:tr w:rsidR="00AE73C5" w:rsidRPr="0017313F" w:rsidTr="00AE73C5">
        <w:tc>
          <w:tcPr>
            <w:tcW w:w="1668"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0</w:t>
            </w:r>
          </w:p>
        </w:tc>
        <w:tc>
          <w:tcPr>
            <w:tcW w:w="1978"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5 ms</w:t>
            </w:r>
          </w:p>
        </w:tc>
        <w:tc>
          <w:tcPr>
            <w:tcW w:w="620"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S</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0"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S</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r>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1</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5 ms</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bookmarkStart w:id="3" w:name="_Hlk498442207"/>
            <w:r w:rsidRPr="0017313F">
              <w:rPr>
                <w:rFonts w:ascii="Arial" w:eastAsia="Times New Roman" w:hAnsi="Arial" w:cs="Arial"/>
                <w:sz w:val="18"/>
                <w:szCs w:val="18"/>
                <w:lang w:val="en-GB"/>
              </w:rPr>
              <w:t>2</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5 ms</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bookmarkEnd w:id="3"/>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3</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10 ms</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4</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10 ms</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5</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10 ms</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AE73C5">
        <w:tc>
          <w:tcPr>
            <w:tcW w:w="1668"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6</w:t>
            </w:r>
          </w:p>
        </w:tc>
        <w:tc>
          <w:tcPr>
            <w:tcW w:w="1978"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5 ms</w:t>
            </w:r>
          </w:p>
        </w:tc>
        <w:tc>
          <w:tcPr>
            <w:tcW w:w="620"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D</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S</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0"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D</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S</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D</w:t>
            </w:r>
          </w:p>
        </w:tc>
      </w:tr>
    </w:tbl>
    <w:p w:rsidR="00AE73C5" w:rsidRDefault="00AE73C5" w:rsidP="000D159E">
      <w:pPr>
        <w:spacing w:line="276" w:lineRule="auto"/>
        <w:rPr>
          <w:rFonts w:eastAsiaTheme="minorEastAsia"/>
        </w:rPr>
      </w:pPr>
    </w:p>
    <w:p w:rsidR="00F85B16" w:rsidRDefault="00E47637" w:rsidP="000D159E">
      <w:pPr>
        <w:spacing w:line="276" w:lineRule="auto"/>
        <w:rPr>
          <w:rFonts w:eastAsiaTheme="minorEastAsia"/>
        </w:rPr>
      </w:pPr>
      <w:r>
        <w:rPr>
          <w:rFonts w:eastAsiaTheme="minorEastAsia" w:hint="eastAsia"/>
        </w:rPr>
        <w:t xml:space="preserve">Early termination for NPUSCH transmission was discussed in MTC. Similarly, the concept can be introduced for NB-IoT in TDD with natural utilization of the interlaced UL/DL subframe structure. </w:t>
      </w:r>
      <w:r w:rsidR="001351A2">
        <w:rPr>
          <w:rFonts w:eastAsiaTheme="minorEastAsia" w:hint="eastAsia"/>
        </w:rPr>
        <w:t xml:space="preserve">However, in order to reduce the complexity and specification impact of early termination in TDD NB-IoT, no new mechanism </w:t>
      </w:r>
      <w:r w:rsidR="00742E0A">
        <w:rPr>
          <w:rFonts w:eastAsiaTheme="minorEastAsia" w:hint="eastAsia"/>
        </w:rPr>
        <w:t xml:space="preserve">(i.e., new NPDCCH search space) </w:t>
      </w:r>
      <w:r w:rsidR="001351A2">
        <w:rPr>
          <w:rFonts w:eastAsiaTheme="minorEastAsia" w:hint="eastAsia"/>
        </w:rPr>
        <w:t>should be introduced</w:t>
      </w:r>
      <w:r w:rsidR="00F85B16">
        <w:rPr>
          <w:rFonts w:eastAsiaTheme="minorEastAsia" w:hint="eastAsia"/>
        </w:rPr>
        <w:t xml:space="preserve">, and the design of early termination in MTC should be reused as </w:t>
      </w:r>
      <w:r w:rsidR="00742E0A">
        <w:rPr>
          <w:rFonts w:eastAsiaTheme="minorEastAsia" w:hint="eastAsia"/>
        </w:rPr>
        <w:t xml:space="preserve">much as </w:t>
      </w:r>
      <w:r w:rsidR="00F85B16">
        <w:rPr>
          <w:rFonts w:eastAsiaTheme="minorEastAsia" w:hint="eastAsia"/>
        </w:rPr>
        <w:t>possible</w:t>
      </w:r>
      <w:r w:rsidR="001351A2">
        <w:rPr>
          <w:rFonts w:eastAsiaTheme="minorEastAsia" w:hint="eastAsia"/>
        </w:rPr>
        <w:t>.</w:t>
      </w:r>
    </w:p>
    <w:p w:rsidR="001351A2" w:rsidRDefault="00F85B16" w:rsidP="000D159E">
      <w:pPr>
        <w:spacing w:line="276" w:lineRule="auto"/>
        <w:rPr>
          <w:rFonts w:eastAsiaTheme="minorEastAsia"/>
        </w:rPr>
      </w:pPr>
      <w:r>
        <w:rPr>
          <w:rFonts w:eastAsiaTheme="minorEastAsia" w:hint="eastAsia"/>
        </w:rPr>
        <w:t>Specifically, the early termination could be indicated by legacy UL grant with new data indicator and HARQ process ID of the ongoing UL transmission. UE receives UL grant carrying new data scheduling, then early terminates the ongoing NPUSCH transmission and prepare new data.</w:t>
      </w:r>
    </w:p>
    <w:p w:rsidR="00BC6FAB" w:rsidRPr="00484D20" w:rsidRDefault="001351A2" w:rsidP="000D159E">
      <w:pPr>
        <w:spacing w:line="276" w:lineRule="auto"/>
        <w:rPr>
          <w:rFonts w:eastAsiaTheme="minorEastAsia"/>
          <w:b/>
        </w:rPr>
      </w:pPr>
      <w:r w:rsidRPr="00C01CD3">
        <w:rPr>
          <w:rFonts w:eastAsiaTheme="minorEastAsia" w:hint="eastAsia"/>
          <w:b/>
        </w:rPr>
        <w:t>Proposal #6: Early termination can be defined as an optional capability in TDD NB-IoT</w:t>
      </w:r>
      <w:r w:rsidR="00C719BD" w:rsidRPr="00C01CD3">
        <w:rPr>
          <w:rFonts w:eastAsiaTheme="minorEastAsia" w:hint="eastAsia"/>
          <w:b/>
        </w:rPr>
        <w:t xml:space="preserve">. </w:t>
      </w:r>
      <w:r w:rsidR="00F85B16">
        <w:rPr>
          <w:rFonts w:eastAsiaTheme="minorEastAsia" w:hint="eastAsia"/>
          <w:b/>
        </w:rPr>
        <w:t xml:space="preserve">UL grant carrying </w:t>
      </w:r>
      <w:r w:rsidR="00C719BD" w:rsidRPr="00C01CD3">
        <w:rPr>
          <w:rFonts w:eastAsiaTheme="minorEastAsia" w:hint="eastAsia"/>
          <w:b/>
        </w:rPr>
        <w:t xml:space="preserve">NDI for the ongoing UL HARQ process </w:t>
      </w:r>
      <w:r w:rsidR="00484D20">
        <w:rPr>
          <w:rFonts w:eastAsiaTheme="minorEastAsia" w:hint="eastAsia"/>
          <w:b/>
        </w:rPr>
        <w:t xml:space="preserve">can be used </w:t>
      </w:r>
      <w:r w:rsidR="00DC58FF">
        <w:rPr>
          <w:rFonts w:eastAsiaTheme="minorEastAsia" w:hint="eastAsia"/>
          <w:b/>
        </w:rPr>
        <w:t xml:space="preserve">to trigger </w:t>
      </w:r>
      <w:r w:rsidR="00484D20">
        <w:rPr>
          <w:rFonts w:eastAsiaTheme="minorEastAsia" w:hint="eastAsia"/>
          <w:b/>
        </w:rPr>
        <w:t>early termination</w:t>
      </w:r>
      <w:r w:rsidR="00C719BD" w:rsidRPr="00C01CD3">
        <w:rPr>
          <w:rFonts w:eastAsiaTheme="minorEastAsia" w:hint="eastAsia"/>
          <w:b/>
        </w:rPr>
        <w:t>.</w:t>
      </w:r>
    </w:p>
    <w:p w:rsidR="004F44D6" w:rsidRPr="007C4D57" w:rsidRDefault="00780501"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bookmarkStart w:id="4" w:name="OLE_LINK1"/>
      <w:bookmarkStart w:id="5" w:name="OLE_LINK2"/>
      <w:r>
        <w:rPr>
          <w:rFonts w:eastAsia="宋体" w:hint="eastAsia"/>
          <w:color w:val="000000"/>
          <w:sz w:val="32"/>
          <w:lang w:val="en-US" w:eastAsia="zh-CN"/>
        </w:rPr>
        <w:t>4</w:t>
      </w:r>
      <w:r w:rsidR="004F44D6" w:rsidRPr="007C4D57">
        <w:rPr>
          <w:rFonts w:eastAsia="宋体" w:hint="eastAsia"/>
          <w:color w:val="000000"/>
          <w:sz w:val="32"/>
          <w:lang w:val="en-US" w:eastAsia="ko-KR"/>
        </w:rPr>
        <w:t>. NPRACH</w:t>
      </w:r>
    </w:p>
    <w:bookmarkEnd w:id="4"/>
    <w:bookmarkEnd w:id="5"/>
    <w:p w:rsidR="00BB36EA" w:rsidRDefault="00FC16D9" w:rsidP="000E445F">
      <w:pPr>
        <w:spacing w:line="276" w:lineRule="auto"/>
      </w:pPr>
      <w:r>
        <w:rPr>
          <w:rFonts w:hint="eastAsia"/>
        </w:rPr>
        <w:t xml:space="preserve">In last meetings, </w:t>
      </w:r>
      <w:r w:rsidR="00742E0A">
        <w:rPr>
          <w:rFonts w:hint="eastAsia"/>
        </w:rPr>
        <w:t xml:space="preserve">the supported NPRACH formats in each UL/DL </w:t>
      </w:r>
      <w:r w:rsidR="00742E0A">
        <w:t>configurations</w:t>
      </w:r>
      <w:r w:rsidR="00742E0A">
        <w:rPr>
          <w:rFonts w:hint="eastAsia"/>
        </w:rPr>
        <w:t xml:space="preserve"> were discussed.  </w:t>
      </w:r>
    </w:p>
    <w:p w:rsidR="00EA5B9C" w:rsidRDefault="00FC16D9" w:rsidP="000E445F">
      <w:pPr>
        <w:spacing w:line="276" w:lineRule="auto"/>
      </w:pPr>
      <w:r>
        <w:rPr>
          <w:rFonts w:hint="eastAsia"/>
        </w:rPr>
        <w:t xml:space="preserve">However, when some UL subframes </w:t>
      </w:r>
      <w:r w:rsidR="00BB36EA">
        <w:rPr>
          <w:rFonts w:hint="eastAsia"/>
        </w:rPr>
        <w:t xml:space="preserve">in a UL burst </w:t>
      </w:r>
      <w:r>
        <w:rPr>
          <w:rFonts w:hint="eastAsia"/>
        </w:rPr>
        <w:t xml:space="preserve">in a radio frame are configured as invalid, the UE behavior </w:t>
      </w:r>
      <w:r w:rsidR="00F62C7A">
        <w:rPr>
          <w:rFonts w:hint="eastAsia"/>
        </w:rPr>
        <w:t xml:space="preserve">of NPRACH transmission </w:t>
      </w:r>
      <w:r w:rsidR="00361BC6">
        <w:rPr>
          <w:rFonts w:hint="eastAsia"/>
        </w:rPr>
        <w:t>should be clarified.</w:t>
      </w:r>
      <w:r w:rsidR="00BB36EA">
        <w:rPr>
          <w:rFonts w:hint="eastAsia"/>
        </w:rPr>
        <w:t xml:space="preserve"> For example, when at least one UL subframe of the first </w:t>
      </w:r>
      <w:r w:rsidR="001F5178">
        <w:rPr>
          <w:rFonts w:hint="eastAsia"/>
        </w:rPr>
        <w:t xml:space="preserve">two </w:t>
      </w:r>
      <w:r w:rsidR="001F5178" w:rsidRPr="001F5178">
        <w:t>consecutive</w:t>
      </w:r>
      <w:r w:rsidR="001F5178">
        <w:rPr>
          <w:rFonts w:hint="eastAsia"/>
        </w:rPr>
        <w:t xml:space="preserve"> </w:t>
      </w:r>
      <w:r w:rsidR="00BB36EA">
        <w:rPr>
          <w:rFonts w:hint="eastAsia"/>
        </w:rPr>
        <w:t xml:space="preserve">UL </w:t>
      </w:r>
      <w:r w:rsidR="001F5178">
        <w:rPr>
          <w:rFonts w:hint="eastAsia"/>
        </w:rPr>
        <w:t xml:space="preserve">subframes </w:t>
      </w:r>
      <w:r w:rsidR="00BB36EA">
        <w:rPr>
          <w:rFonts w:hint="eastAsia"/>
        </w:rPr>
        <w:t xml:space="preserve">(subframe #2~#3) in TDD UL/DL configuration #1 is configured as invalid, NPRACH </w:t>
      </w:r>
      <w:r w:rsidR="00BB36EA">
        <w:t>format</w:t>
      </w:r>
      <w:r w:rsidR="00BB36EA">
        <w:rPr>
          <w:rFonts w:hint="eastAsia"/>
        </w:rPr>
        <w:t xml:space="preserve"> 1/1-a </w:t>
      </w:r>
      <w:r w:rsidR="00BB36EA">
        <w:rPr>
          <w:rFonts w:hint="eastAsia"/>
        </w:rPr>
        <w:lastRenderedPageBreak/>
        <w:t xml:space="preserve">should not be transmitted </w:t>
      </w:r>
      <w:r w:rsidR="001F5178">
        <w:rPr>
          <w:rFonts w:hint="eastAsia"/>
        </w:rPr>
        <w:t>when there are notwo consecutive UL subframes</w:t>
      </w:r>
      <w:r w:rsidR="00F254CC">
        <w:rPr>
          <w:rFonts w:hint="eastAsia"/>
        </w:rPr>
        <w:t xml:space="preserve">, </w:t>
      </w:r>
      <w:r w:rsidR="001F5178">
        <w:rPr>
          <w:rFonts w:hint="eastAsia"/>
        </w:rPr>
        <w:t>and postponed to</w:t>
      </w:r>
      <w:r w:rsidR="00F254CC">
        <w:rPr>
          <w:rFonts w:hint="eastAsia"/>
        </w:rPr>
        <w:t xml:space="preserve"> </w:t>
      </w:r>
      <w:r w:rsidR="001F5178">
        <w:rPr>
          <w:rFonts w:hint="eastAsia"/>
        </w:rPr>
        <w:t xml:space="preserve">next UL </w:t>
      </w:r>
      <w:r w:rsidR="001F5178">
        <w:t>transmission</w:t>
      </w:r>
      <w:r w:rsidR="001F5178">
        <w:rPr>
          <w:rFonts w:hint="eastAsia"/>
        </w:rPr>
        <w:t xml:space="preserve"> chance with two consecutive</w:t>
      </w:r>
      <w:r w:rsidR="00F254CC">
        <w:rPr>
          <w:rFonts w:hint="eastAsia"/>
        </w:rPr>
        <w:t xml:space="preserve"> UL </w:t>
      </w:r>
      <w:r w:rsidR="001F5178">
        <w:rPr>
          <w:rFonts w:hint="eastAsia"/>
        </w:rPr>
        <w:t>subframe</w:t>
      </w:r>
      <w:r w:rsidR="00BB36EA">
        <w:rPr>
          <w:rFonts w:hint="eastAsia"/>
        </w:rPr>
        <w:t xml:space="preserve">. </w:t>
      </w:r>
    </w:p>
    <w:p w:rsidR="00C800A1" w:rsidRPr="00C800A1" w:rsidRDefault="00A83FD1" w:rsidP="00F5148C">
      <w:r w:rsidRPr="00F5148C">
        <w:rPr>
          <w:b/>
        </w:rPr>
        <w:t>Proposal #7:</w:t>
      </w:r>
      <w:r w:rsidR="00C800A1" w:rsidRPr="00F5148C">
        <w:rPr>
          <w:b/>
        </w:rPr>
        <w:t xml:space="preserve"> </w:t>
      </w:r>
      <w:r w:rsidR="001F5178" w:rsidRPr="00F5148C">
        <w:rPr>
          <w:b/>
        </w:rPr>
        <w:t xml:space="preserve">When there are no enough consecutive UL subframes to transmit a NPRACH block, postpone the NPRACH to next UL chance with enough consecutive UL subframes. </w:t>
      </w:r>
    </w:p>
    <w:p w:rsidR="001F5178" w:rsidRDefault="001F5178" w:rsidP="000C623D">
      <w:pPr>
        <w:spacing w:line="276" w:lineRule="auto"/>
      </w:pPr>
      <w:r>
        <w:rPr>
          <w:rFonts w:hint="eastAsia"/>
        </w:rPr>
        <w:t>T</w:t>
      </w:r>
      <w:r>
        <w:t>h</w:t>
      </w:r>
      <w:r>
        <w:rPr>
          <w:rFonts w:hint="eastAsia"/>
        </w:rPr>
        <w:t xml:space="preserve">ere is one open issue on the support NPRACH format(s) for UL/DL configuration # 3, which has 3 </w:t>
      </w:r>
      <w:r>
        <w:t>consecutive</w:t>
      </w:r>
      <w:r>
        <w:rPr>
          <w:rFonts w:hint="eastAsia"/>
        </w:rPr>
        <w:t xml:space="preserve"> UL subframes. </w:t>
      </w:r>
      <w:r>
        <w:t>A</w:t>
      </w:r>
      <w:r>
        <w:rPr>
          <w:rFonts w:hint="eastAsia"/>
        </w:rPr>
        <w:t xml:space="preserve">s discussed above, it UL subframe may be </w:t>
      </w:r>
      <w:r>
        <w:t>configured</w:t>
      </w:r>
      <w:r>
        <w:rPr>
          <w:rFonts w:hint="eastAsia"/>
        </w:rPr>
        <w:t xml:space="preserve"> as invalid subframe, in this case,  it is reasonable to configure other NPRACH format(s) than NPRACH format 2. NPRACH format 0 with 1ms shall be supported, as well as NPRACH format 1 with less CP overhead. </w:t>
      </w:r>
      <w:r>
        <w:t>O</w:t>
      </w:r>
      <w:r>
        <w:rPr>
          <w:rFonts w:hint="eastAsia"/>
        </w:rPr>
        <w:t xml:space="preserve">n the other hand, as discussed in [3], there is </w:t>
      </w:r>
      <w:r>
        <w:t>benefit</w:t>
      </w:r>
      <w:r>
        <w:rPr>
          <w:rFonts w:hint="eastAsia"/>
        </w:rPr>
        <w:t xml:space="preserve"> if some UL resource can be used for NPUSCH </w:t>
      </w:r>
      <w:r>
        <w:t>transmission</w:t>
      </w:r>
      <w:r>
        <w:rPr>
          <w:rFonts w:hint="eastAsia"/>
        </w:rPr>
        <w:t xml:space="preserve">. </w:t>
      </w:r>
      <w:r>
        <w:t>T</w:t>
      </w:r>
      <w:r>
        <w:rPr>
          <w:rFonts w:hint="eastAsia"/>
        </w:rPr>
        <w:t xml:space="preserve">herefore, even when there is no </w:t>
      </w:r>
      <w:r>
        <w:t>invalid</w:t>
      </w:r>
      <w:r>
        <w:rPr>
          <w:rFonts w:hint="eastAsia"/>
        </w:rPr>
        <w:t xml:space="preserve"> UL subframe configured by eNB, NPRACH format 0 and 1 can also be supported in UL/DL configuration 3. </w:t>
      </w:r>
      <w:r w:rsidR="00070D24">
        <w:t>A</w:t>
      </w:r>
      <w:r w:rsidR="00070D24">
        <w:rPr>
          <w:rFonts w:hint="eastAsia"/>
        </w:rPr>
        <w:t xml:space="preserve">t this time, in order to use the third UL subframe,  it is suggested to not treat the third subfame as part of NPRACH resource. </w:t>
      </w:r>
    </w:p>
    <w:p w:rsidR="00A559FE" w:rsidRDefault="00070D24" w:rsidP="000C623D">
      <w:pPr>
        <w:spacing w:line="276" w:lineRule="auto"/>
      </w:pPr>
      <w:r>
        <w:rPr>
          <w:rFonts w:hint="eastAsia"/>
        </w:rPr>
        <w:t>f</w:t>
      </w:r>
      <w:r w:rsidR="002F3017">
        <w:rPr>
          <w:rFonts w:hint="eastAsia"/>
        </w:rPr>
        <w:t xml:space="preserve">or the 3 </w:t>
      </w:r>
      <w:r>
        <w:t>consecutive</w:t>
      </w:r>
      <w:r>
        <w:rPr>
          <w:rFonts w:hint="eastAsia"/>
        </w:rPr>
        <w:t xml:space="preserve"> </w:t>
      </w:r>
      <w:r w:rsidR="002F3017">
        <w:rPr>
          <w:rFonts w:hint="eastAsia"/>
        </w:rPr>
        <w:t xml:space="preserve">UL subframes </w:t>
      </w:r>
      <w:r w:rsidR="00DB0F51">
        <w:rPr>
          <w:rFonts w:hint="eastAsia"/>
        </w:rPr>
        <w:t>in configuration #3 and #6</w:t>
      </w:r>
      <w:r w:rsidR="002F3017">
        <w:rPr>
          <w:rFonts w:hint="eastAsia"/>
        </w:rPr>
        <w:t xml:space="preserve">, UE transmits NPRACH </w:t>
      </w:r>
      <w:r w:rsidR="00DB0F51">
        <w:rPr>
          <w:rFonts w:hint="eastAsia"/>
        </w:rPr>
        <w:t xml:space="preserve">format 1/1-a </w:t>
      </w:r>
      <w:r w:rsidR="002F3017">
        <w:rPr>
          <w:rFonts w:hint="eastAsia"/>
        </w:rPr>
        <w:t xml:space="preserve">with </w:t>
      </w:r>
      <w:r w:rsidR="00DB0F51">
        <w:rPr>
          <w:rFonts w:hint="eastAsia"/>
        </w:rPr>
        <w:t xml:space="preserve">2ms length </w:t>
      </w:r>
      <w:r w:rsidR="002F3017">
        <w:rPr>
          <w:rFonts w:hint="eastAsia"/>
        </w:rPr>
        <w:t>from the first UL subframe after DL/UL switching one time before the next DL/UL switching</w:t>
      </w:r>
      <w:r w:rsidR="00DB0F51">
        <w:rPr>
          <w:rFonts w:hint="eastAsia"/>
        </w:rPr>
        <w:t xml:space="preserve"> (i.e. subframe #2~#3)</w:t>
      </w:r>
      <w:r w:rsidR="002F3017">
        <w:rPr>
          <w:rFonts w:hint="eastAsia"/>
        </w:rPr>
        <w:t xml:space="preserve">. </w:t>
      </w:r>
      <w:r w:rsidR="00A559FE">
        <w:rPr>
          <w:rFonts w:hint="eastAsia"/>
        </w:rPr>
        <w:t>The o</w:t>
      </w:r>
      <w:r w:rsidR="00DB0F51">
        <w:rPr>
          <w:rFonts w:hint="eastAsia"/>
        </w:rPr>
        <w:t xml:space="preserve">ngoing </w:t>
      </w:r>
      <w:r w:rsidR="002F3017">
        <w:rPr>
          <w:rFonts w:hint="eastAsia"/>
        </w:rPr>
        <w:t xml:space="preserve">NPUSCH </w:t>
      </w:r>
      <w:r w:rsidR="00A559FE">
        <w:rPr>
          <w:rFonts w:hint="eastAsia"/>
        </w:rPr>
        <w:t xml:space="preserve">transmission, if there are any, </w:t>
      </w:r>
      <w:r w:rsidR="00DB0F51">
        <w:rPr>
          <w:rFonts w:hint="eastAsia"/>
        </w:rPr>
        <w:t>in the remain</w:t>
      </w:r>
      <w:r w:rsidR="00A559FE">
        <w:rPr>
          <w:rFonts w:hint="eastAsia"/>
        </w:rPr>
        <w:t>ing</w:t>
      </w:r>
      <w:r w:rsidR="00DB0F51">
        <w:rPr>
          <w:rFonts w:hint="eastAsia"/>
        </w:rPr>
        <w:t xml:space="preserve"> UL subframe (i.e. subframe #4)</w:t>
      </w:r>
      <w:r w:rsidR="009D4AAB">
        <w:rPr>
          <w:rFonts w:hint="eastAsia"/>
        </w:rPr>
        <w:t xml:space="preserve"> is not postponed</w:t>
      </w:r>
      <w:r w:rsidR="00A559FE">
        <w:rPr>
          <w:rFonts w:hint="eastAsia"/>
        </w:rPr>
        <w:t xml:space="preserve">, as shown in </w:t>
      </w:r>
      <w:r w:rsidR="00803E2F">
        <w:rPr>
          <w:rFonts w:hint="eastAsia"/>
        </w:rPr>
        <w:t>Figure 4.</w:t>
      </w:r>
      <w:r w:rsidR="006B0ED5">
        <w:rPr>
          <w:rFonts w:hint="eastAsia"/>
        </w:rPr>
        <w:t xml:space="preserve"> </w:t>
      </w:r>
      <w:r>
        <w:rPr>
          <w:rFonts w:hint="eastAsia"/>
        </w:rPr>
        <w:t xml:space="preserve"> </w:t>
      </w:r>
    </w:p>
    <w:p w:rsidR="000C623D" w:rsidRDefault="006B0ED5" w:rsidP="000C623D">
      <w:pPr>
        <w:spacing w:line="276" w:lineRule="auto"/>
      </w:pPr>
      <w:r>
        <w:rPr>
          <w:rFonts w:hint="eastAsia"/>
        </w:rPr>
        <w:t xml:space="preserve">This solution </w:t>
      </w:r>
      <w:r>
        <w:t>naturally</w:t>
      </w:r>
      <w:r>
        <w:rPr>
          <w:rFonts w:hint="eastAsia"/>
        </w:rPr>
        <w:t xml:space="preserve"> support UL/DL configuration #6 using same NPRACH format in the first UL subframe burst </w:t>
      </w:r>
      <w:r>
        <w:t>and the</w:t>
      </w:r>
      <w:r>
        <w:rPr>
          <w:rFonts w:hint="eastAsia"/>
        </w:rPr>
        <w:t xml:space="preserve"> second UL subframe burst in </w:t>
      </w:r>
      <w:r w:rsidR="005E549E">
        <w:rPr>
          <w:rFonts w:hint="eastAsia"/>
        </w:rPr>
        <w:t>the same</w:t>
      </w:r>
      <w:r>
        <w:rPr>
          <w:rFonts w:hint="eastAsia"/>
        </w:rPr>
        <w:t xml:space="preserve"> radio </w:t>
      </w:r>
      <w:r>
        <w:t>subframe</w:t>
      </w:r>
      <w:r>
        <w:rPr>
          <w:rFonts w:hint="eastAsia"/>
        </w:rPr>
        <w:t xml:space="preserve"> though the two bursts have different length.</w:t>
      </w:r>
      <w:r w:rsidR="00385991">
        <w:rPr>
          <w:rFonts w:hint="eastAsia"/>
        </w:rPr>
        <w:t xml:space="preserve"> </w:t>
      </w:r>
    </w:p>
    <w:p w:rsidR="00DB0F51" w:rsidRDefault="00DB0F51" w:rsidP="00B34C1B">
      <w:pPr>
        <w:spacing w:line="276" w:lineRule="auto"/>
        <w:jc w:val="center"/>
      </w:pPr>
    </w:p>
    <w:p w:rsidR="00DB0F51" w:rsidRDefault="00DB0F51" w:rsidP="00B34C1B">
      <w:pPr>
        <w:spacing w:line="276" w:lineRule="auto"/>
        <w:jc w:val="center"/>
      </w:pPr>
      <w:r>
        <w:object w:dxaOrig="10720" w:dyaOrig="4720">
          <v:shape id="_x0000_i1026" type="#_x0000_t75" style="width:274.2pt;height:120.6pt" o:ole="">
            <v:imagedata r:id="rId12" o:title=""/>
          </v:shape>
          <o:OLEObject Type="Embed" ProgID="Visio.Drawing.15" ShapeID="_x0000_i1026" DrawAspect="Content" ObjectID="_1587565874" r:id="rId13"/>
        </w:object>
      </w:r>
    </w:p>
    <w:p w:rsidR="00B34C1B" w:rsidRDefault="00B34C1B" w:rsidP="00B34C1B">
      <w:pPr>
        <w:spacing w:line="276" w:lineRule="auto"/>
        <w:jc w:val="center"/>
      </w:pPr>
      <w:r>
        <w:rPr>
          <w:rFonts w:hint="eastAsia"/>
        </w:rPr>
        <w:t>Figure 4</w:t>
      </w:r>
    </w:p>
    <w:p w:rsidR="000E445F" w:rsidRDefault="000E445F" w:rsidP="000E445F">
      <w:pPr>
        <w:spacing w:line="276" w:lineRule="auto"/>
        <w:rPr>
          <w:b/>
        </w:rPr>
      </w:pPr>
      <w:r w:rsidRPr="0090390B">
        <w:rPr>
          <w:rFonts w:hint="eastAsia"/>
          <w:b/>
        </w:rPr>
        <w:t>Proposal #</w:t>
      </w:r>
      <w:r w:rsidR="00A83FD1">
        <w:rPr>
          <w:rFonts w:hint="eastAsia"/>
          <w:b/>
        </w:rPr>
        <w:t>8</w:t>
      </w:r>
      <w:r w:rsidRPr="0090390B">
        <w:rPr>
          <w:rFonts w:hint="eastAsia"/>
          <w:b/>
        </w:rPr>
        <w:t xml:space="preserve">: </w:t>
      </w:r>
      <w:r w:rsidR="00AA4EE4" w:rsidRPr="0090390B">
        <w:rPr>
          <w:rFonts w:hint="eastAsia"/>
          <w:b/>
        </w:rPr>
        <w:t>For TDD UL/DL configuration #</w:t>
      </w:r>
      <w:r w:rsidR="00AA4EE4">
        <w:rPr>
          <w:rFonts w:hint="eastAsia"/>
          <w:b/>
        </w:rPr>
        <w:t xml:space="preserve"> </w:t>
      </w:r>
      <w:r w:rsidR="00AA4EE4" w:rsidRPr="0090390B">
        <w:rPr>
          <w:rFonts w:hint="eastAsia"/>
          <w:b/>
        </w:rPr>
        <w:t>3</w:t>
      </w:r>
      <w:r w:rsidR="00070D24">
        <w:rPr>
          <w:rFonts w:hint="eastAsia"/>
          <w:b/>
        </w:rPr>
        <w:t xml:space="preserve"> and #6</w:t>
      </w:r>
      <w:r w:rsidR="00AA4EE4" w:rsidRPr="0090390B">
        <w:rPr>
          <w:rFonts w:hint="eastAsia"/>
          <w:b/>
        </w:rPr>
        <w:t xml:space="preserve">, </w:t>
      </w:r>
      <w:r w:rsidR="00070D24">
        <w:rPr>
          <w:rFonts w:hint="eastAsia"/>
          <w:b/>
        </w:rPr>
        <w:t>all NPRACH formats are</w:t>
      </w:r>
      <w:r w:rsidR="00AA4EE4">
        <w:rPr>
          <w:rFonts w:hint="eastAsia"/>
          <w:b/>
        </w:rPr>
        <w:t xml:space="preserve"> </w:t>
      </w:r>
      <w:r w:rsidR="00AA4EE4" w:rsidRPr="0090390B">
        <w:rPr>
          <w:rFonts w:hint="eastAsia"/>
          <w:b/>
        </w:rPr>
        <w:t>support</w:t>
      </w:r>
      <w:r w:rsidR="00AA4EE4">
        <w:rPr>
          <w:rFonts w:hint="eastAsia"/>
          <w:b/>
        </w:rPr>
        <w:t>ed</w:t>
      </w:r>
      <w:r w:rsidR="00AA4EE4" w:rsidRPr="0090390B">
        <w:rPr>
          <w:rFonts w:hint="eastAsia"/>
          <w:b/>
        </w:rPr>
        <w:t>.</w:t>
      </w:r>
    </w:p>
    <w:p w:rsidR="00070D24" w:rsidRDefault="00070D24" w:rsidP="000E445F">
      <w:pPr>
        <w:spacing w:line="276" w:lineRule="auto"/>
        <w:rPr>
          <w:b/>
        </w:rPr>
      </w:pPr>
      <w:r>
        <w:rPr>
          <w:rFonts w:hint="eastAsia"/>
          <w:b/>
        </w:rPr>
        <w:t xml:space="preserve">Proposal #9: </w:t>
      </w:r>
      <w:r w:rsidRPr="0090390B">
        <w:rPr>
          <w:rFonts w:hint="eastAsia"/>
          <w:b/>
        </w:rPr>
        <w:t>For TDD UL/DL configuration #</w:t>
      </w:r>
      <w:r>
        <w:rPr>
          <w:rFonts w:hint="eastAsia"/>
          <w:b/>
        </w:rPr>
        <w:t xml:space="preserve"> </w:t>
      </w:r>
      <w:r w:rsidRPr="0090390B">
        <w:rPr>
          <w:rFonts w:hint="eastAsia"/>
          <w:b/>
        </w:rPr>
        <w:t>3</w:t>
      </w:r>
      <w:r>
        <w:rPr>
          <w:rFonts w:hint="eastAsia"/>
          <w:b/>
        </w:rPr>
        <w:t xml:space="preserve"> and #6, NPUSCH can be </w:t>
      </w:r>
      <w:r>
        <w:rPr>
          <w:b/>
        </w:rPr>
        <w:t>transmitted</w:t>
      </w:r>
      <w:r>
        <w:rPr>
          <w:rFonts w:hint="eastAsia"/>
          <w:b/>
        </w:rPr>
        <w:t xml:space="preserve"> on the third UL subframe of the three </w:t>
      </w:r>
      <w:r w:rsidRPr="00070D24">
        <w:rPr>
          <w:b/>
        </w:rPr>
        <w:t>consecutive</w:t>
      </w:r>
      <w:r w:rsidRPr="00070D24">
        <w:rPr>
          <w:rFonts w:hint="eastAsia"/>
          <w:b/>
        </w:rPr>
        <w:t xml:space="preserve"> subframes</w:t>
      </w:r>
      <w:r>
        <w:rPr>
          <w:rFonts w:hint="eastAsia"/>
          <w:b/>
        </w:rPr>
        <w:t xml:space="preserve"> </w:t>
      </w:r>
      <w:r>
        <w:rPr>
          <w:b/>
        </w:rPr>
        <w:t>with</w:t>
      </w:r>
      <w:r>
        <w:rPr>
          <w:rFonts w:hint="eastAsia"/>
          <w:b/>
        </w:rPr>
        <w:t xml:space="preserve"> in NPRRACH </w:t>
      </w:r>
      <w:r>
        <w:rPr>
          <w:b/>
        </w:rPr>
        <w:t>transmission</w:t>
      </w:r>
      <w:r>
        <w:rPr>
          <w:rFonts w:hint="eastAsia"/>
          <w:b/>
        </w:rPr>
        <w:t>.</w:t>
      </w:r>
    </w:p>
    <w:p w:rsidR="00E661C1" w:rsidRDefault="00E661C1" w:rsidP="000E445F">
      <w:pPr>
        <w:spacing w:line="276" w:lineRule="auto"/>
      </w:pPr>
      <w:r>
        <w:rPr>
          <w:rFonts w:hint="eastAsia"/>
        </w:rPr>
        <w:t xml:space="preserve">For FDD NB-IoT system, NPRACH resource can be partitioned into two set of resources to indicate if UE can support multi-tone NPUSCH </w:t>
      </w:r>
      <w:r>
        <w:t xml:space="preserve">transmission. </w:t>
      </w:r>
      <w:r>
        <w:rPr>
          <w:rFonts w:hint="eastAsia"/>
        </w:rPr>
        <w:t>S</w:t>
      </w:r>
      <w:r>
        <w:t>i</w:t>
      </w:r>
      <w:r>
        <w:rPr>
          <w:rFonts w:hint="eastAsia"/>
        </w:rPr>
        <w:t xml:space="preserve">nce TDD NB-IoT system is introduced in Rel-15, all the Rel-15 NB-IoT UEs shall be able to support multi-tone. Without support multi-tone, the uplink data rate is too low for even </w:t>
      </w:r>
      <w:r>
        <w:t>IoT</w:t>
      </w:r>
      <w:r>
        <w:rPr>
          <w:rFonts w:hint="eastAsia"/>
        </w:rPr>
        <w:t xml:space="preserve"> t</w:t>
      </w:r>
      <w:r>
        <w:t>raffic</w:t>
      </w:r>
      <w:r>
        <w:rPr>
          <w:rFonts w:hint="eastAsia"/>
        </w:rPr>
        <w:t>. Therefore, there is no need to partitioning NPRACH anymore. T</w:t>
      </w:r>
      <w:r>
        <w:t>h</w:t>
      </w:r>
      <w:r>
        <w:rPr>
          <w:rFonts w:hint="eastAsia"/>
        </w:rPr>
        <w:t xml:space="preserve">is can also avoid NPRACH resource </w:t>
      </w:r>
      <w:r>
        <w:t>segmentation</w:t>
      </w:r>
      <w:r>
        <w:rPr>
          <w:rFonts w:hint="eastAsia"/>
        </w:rPr>
        <w:t xml:space="preserve">.  </w:t>
      </w:r>
    </w:p>
    <w:p w:rsidR="00E661C1" w:rsidRPr="00E661C1" w:rsidRDefault="00E661C1" w:rsidP="000E445F">
      <w:pPr>
        <w:spacing w:line="276" w:lineRule="auto"/>
        <w:rPr>
          <w:b/>
        </w:rPr>
      </w:pPr>
      <w:r w:rsidRPr="00E661C1">
        <w:rPr>
          <w:rFonts w:hint="eastAsia"/>
          <w:b/>
        </w:rPr>
        <w:t>Proposal #10</w:t>
      </w:r>
      <w:r w:rsidRPr="00E661C1">
        <w:rPr>
          <w:b/>
        </w:rPr>
        <w:t>:</w:t>
      </w:r>
      <w:r>
        <w:rPr>
          <w:rFonts w:hint="eastAsia"/>
          <w:b/>
        </w:rPr>
        <w:t xml:space="preserve"> </w:t>
      </w:r>
      <w:r w:rsidR="001B11EE">
        <w:rPr>
          <w:rFonts w:hint="eastAsia"/>
          <w:b/>
        </w:rPr>
        <w:t>Do not support NPRACH resource partition to indi</w:t>
      </w:r>
      <w:r w:rsidR="00BA3153">
        <w:rPr>
          <w:rFonts w:hint="eastAsia"/>
          <w:b/>
        </w:rPr>
        <w:t xml:space="preserve">cate the support of multi-tone, i.e., Multi-tone </w:t>
      </w:r>
      <w:r w:rsidR="00BA3153">
        <w:rPr>
          <w:b/>
        </w:rPr>
        <w:t>transmission</w:t>
      </w:r>
      <w:r w:rsidR="00BA3153">
        <w:rPr>
          <w:rFonts w:hint="eastAsia"/>
          <w:b/>
        </w:rPr>
        <w:t xml:space="preserve"> is </w:t>
      </w:r>
      <w:r w:rsidR="00BA3153">
        <w:rPr>
          <w:b/>
        </w:rPr>
        <w:t>mandatory</w:t>
      </w:r>
      <w:r w:rsidR="00BA3153">
        <w:rPr>
          <w:rFonts w:hint="eastAsia"/>
          <w:b/>
        </w:rPr>
        <w:t xml:space="preserve"> for TDD NB-IoT UEs.  </w:t>
      </w:r>
    </w:p>
    <w:p w:rsidR="00285240" w:rsidRPr="007C4D57" w:rsidRDefault="007C4D5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4</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163252" w:rsidRPr="002F0881" w:rsidRDefault="00163252" w:rsidP="00163252">
      <w:pPr>
        <w:spacing w:line="276" w:lineRule="auto"/>
        <w:rPr>
          <w:u w:val="single"/>
        </w:rPr>
      </w:pPr>
      <w:r w:rsidRPr="002F0881">
        <w:rPr>
          <w:rFonts w:hint="eastAsia"/>
          <w:b/>
          <w:u w:val="single"/>
        </w:rPr>
        <w:t>Observation #1</w:t>
      </w:r>
      <w:r w:rsidRPr="002F0881">
        <w:rPr>
          <w:rFonts w:hint="eastAsia"/>
          <w:u w:val="single"/>
        </w:rPr>
        <w:t xml:space="preserve">: Compared with long NPRACH format, short NPRACH </w:t>
      </w:r>
      <w:r w:rsidRPr="002F0881">
        <w:rPr>
          <w:u w:val="single"/>
        </w:rPr>
        <w:t>format</w:t>
      </w:r>
      <w:r w:rsidRPr="002F0881">
        <w:rPr>
          <w:rFonts w:hint="eastAsia"/>
          <w:u w:val="single"/>
        </w:rPr>
        <w:t xml:space="preserve"> with repetitions transmitted in multiple contiguous UL subframes have higher CP overhead and worse performance.</w:t>
      </w:r>
    </w:p>
    <w:p w:rsidR="00AA4EE4" w:rsidRPr="0086134C" w:rsidRDefault="00AA4EE4" w:rsidP="00AA4EE4">
      <w:pPr>
        <w:spacing w:line="276" w:lineRule="auto"/>
        <w:rPr>
          <w:u w:val="single"/>
        </w:rPr>
      </w:pPr>
      <w:r w:rsidRPr="0086134C">
        <w:rPr>
          <w:rFonts w:hint="eastAsia"/>
          <w:b/>
          <w:u w:val="single"/>
        </w:rPr>
        <w:lastRenderedPageBreak/>
        <w:t>Observation 2</w:t>
      </w:r>
      <w:r w:rsidRPr="0086134C">
        <w:rPr>
          <w:rFonts w:hint="eastAsia"/>
          <w:u w:val="single"/>
        </w:rPr>
        <w:t xml:space="preserve">: In TDD NB-IoT, the peak rate of NPUSCH </w:t>
      </w:r>
      <w:r>
        <w:rPr>
          <w:rFonts w:hint="eastAsia"/>
          <w:u w:val="single"/>
        </w:rPr>
        <w:t xml:space="preserve">is </w:t>
      </w:r>
      <w:r w:rsidRPr="0086134C">
        <w:rPr>
          <w:rFonts w:hint="eastAsia"/>
          <w:u w:val="single"/>
        </w:rPr>
        <w:t xml:space="preserve">limited </w:t>
      </w:r>
      <w:r>
        <w:rPr>
          <w:rFonts w:hint="eastAsia"/>
          <w:u w:val="single"/>
        </w:rPr>
        <w:t xml:space="preserve">during </w:t>
      </w:r>
      <w:r w:rsidRPr="0086134C">
        <w:rPr>
          <w:rFonts w:hint="eastAsia"/>
          <w:u w:val="single"/>
        </w:rPr>
        <w:t>NPRACH transmission</w:t>
      </w:r>
      <w:r>
        <w:rPr>
          <w:rFonts w:hint="eastAsia"/>
          <w:u w:val="single"/>
        </w:rPr>
        <w:t xml:space="preserve">, which could be </w:t>
      </w:r>
      <w:r w:rsidRPr="0086134C">
        <w:rPr>
          <w:rFonts w:hint="eastAsia"/>
          <w:u w:val="single"/>
        </w:rPr>
        <w:t xml:space="preserve">a </w:t>
      </w:r>
      <w:r>
        <w:rPr>
          <w:rFonts w:hint="eastAsia"/>
          <w:u w:val="single"/>
        </w:rPr>
        <w:t xml:space="preserve">very </w:t>
      </w:r>
      <w:r w:rsidRPr="0086134C">
        <w:rPr>
          <w:rFonts w:hint="eastAsia"/>
          <w:u w:val="single"/>
        </w:rPr>
        <w:t>long time interval</w:t>
      </w:r>
      <w:r>
        <w:rPr>
          <w:rFonts w:hint="eastAsia"/>
          <w:u w:val="single"/>
        </w:rPr>
        <w:t xml:space="preserve"> under some TDD UL/DL configurations</w:t>
      </w:r>
      <w:r w:rsidRPr="0086134C">
        <w:rPr>
          <w:rFonts w:hint="eastAsia"/>
          <w:u w:val="single"/>
        </w:rPr>
        <w:t>.</w:t>
      </w:r>
    </w:p>
    <w:p w:rsidR="00AA4EE4" w:rsidRDefault="00AA4EE4" w:rsidP="00AA4EE4">
      <w:pPr>
        <w:spacing w:line="276" w:lineRule="auto"/>
        <w:rPr>
          <w:b/>
        </w:rPr>
      </w:pPr>
      <w:r w:rsidRPr="000D159E">
        <w:rPr>
          <w:rFonts w:hint="eastAsia"/>
          <w:b/>
        </w:rPr>
        <w:t xml:space="preserve">Proposal #1:  </w:t>
      </w:r>
      <w:r>
        <w:rPr>
          <w:rFonts w:hint="eastAsia"/>
          <w:b/>
        </w:rPr>
        <w:t xml:space="preserve">Introduce </w:t>
      </w:r>
      <w:r w:rsidRPr="00686E3A">
        <w:rPr>
          <w:rFonts w:hint="eastAsia"/>
          <w:b/>
        </w:rPr>
        <w:t>±</w:t>
      </w:r>
      <w:r w:rsidRPr="00686E3A">
        <w:rPr>
          <w:b/>
        </w:rPr>
        <w:t xml:space="preserve">7.5kHz offset between UL and DL </w:t>
      </w:r>
      <w:r>
        <w:rPr>
          <w:rFonts w:hint="eastAsia"/>
          <w:b/>
        </w:rPr>
        <w:t xml:space="preserve">carrier frequency for TDD NB-IoT for in-band and guard-band deployment. </w:t>
      </w:r>
    </w:p>
    <w:p w:rsidR="00AA4EE4" w:rsidRPr="000D159E" w:rsidRDefault="00AA4EE4" w:rsidP="00AA4EE4">
      <w:pPr>
        <w:spacing w:line="276" w:lineRule="auto"/>
        <w:rPr>
          <w:b/>
        </w:rPr>
      </w:pPr>
      <w:r>
        <w:rPr>
          <w:rFonts w:hint="eastAsia"/>
          <w:b/>
        </w:rPr>
        <w:t xml:space="preserve">Proposal #2: </w:t>
      </w:r>
      <w:r w:rsidR="00742E0A">
        <w:rPr>
          <w:rFonts w:hint="eastAsia"/>
          <w:b/>
        </w:rPr>
        <w:t xml:space="preserve">Introduce a RRC signaling to indicate UL/DL carrier offset in the RRC message for non-anchor carrier configuration at least for in-band and guard-band without information of LTE system </w:t>
      </w:r>
      <w:r w:rsidR="00742E0A">
        <w:rPr>
          <w:b/>
        </w:rPr>
        <w:t>bandwidth</w:t>
      </w:r>
      <w:r w:rsidR="00742E0A">
        <w:rPr>
          <w:rFonts w:hint="eastAsia"/>
          <w:b/>
        </w:rPr>
        <w:t xml:space="preserve">.  </w:t>
      </w:r>
    </w:p>
    <w:p w:rsidR="00AA4EE4" w:rsidRDefault="00AA4EE4" w:rsidP="00AA4EE4">
      <w:pPr>
        <w:spacing w:line="276" w:lineRule="auto"/>
        <w:rPr>
          <w:b/>
        </w:rPr>
      </w:pPr>
      <w:r>
        <w:rPr>
          <w:rFonts w:hint="eastAsia"/>
          <w:b/>
        </w:rPr>
        <w:t xml:space="preserve">Proposal #3: At least for guard-band mode, introduce a RRC </w:t>
      </w:r>
      <w:r>
        <w:rPr>
          <w:b/>
        </w:rPr>
        <w:t>signaling</w:t>
      </w:r>
      <w:r>
        <w:rPr>
          <w:rFonts w:hint="eastAsia"/>
          <w:b/>
        </w:rPr>
        <w:t xml:space="preserve"> to configure carrier frequency of uplink for the DL carrier at edge of guard-band. </w:t>
      </w:r>
    </w:p>
    <w:p w:rsidR="00AA4EE4" w:rsidRPr="00B46784" w:rsidRDefault="00AA4EE4" w:rsidP="00AA4EE4">
      <w:pPr>
        <w:spacing w:line="276" w:lineRule="auto"/>
        <w:rPr>
          <w:b/>
        </w:rPr>
      </w:pPr>
      <w:r w:rsidRPr="00B46784">
        <w:rPr>
          <w:rFonts w:hint="eastAsia"/>
          <w:b/>
        </w:rPr>
        <w:t>Proposal #4:</w:t>
      </w:r>
      <w:r>
        <w:rPr>
          <w:rFonts w:hint="eastAsia"/>
          <w:b/>
        </w:rPr>
        <w:t xml:space="preserve"> If DL carrier in guard-band is not configured with a paired UL carrier, it can be used to transmit SIBs, SC-PTM and paging.</w:t>
      </w:r>
    </w:p>
    <w:p w:rsidR="00AA4EE4" w:rsidRPr="00FD3856" w:rsidRDefault="00AA4EE4" w:rsidP="00AA4EE4">
      <w:pPr>
        <w:spacing w:line="276" w:lineRule="auto"/>
        <w:rPr>
          <w:rFonts w:eastAsiaTheme="minorEastAsia"/>
          <w:b/>
        </w:rPr>
      </w:pPr>
      <w:r w:rsidRPr="00FD3856">
        <w:rPr>
          <w:rFonts w:eastAsiaTheme="minorEastAsia" w:hint="eastAsia"/>
          <w:b/>
        </w:rPr>
        <w:t>Proposal #</w:t>
      </w:r>
      <w:r>
        <w:rPr>
          <w:rFonts w:eastAsiaTheme="minorEastAsia" w:hint="eastAsia"/>
          <w:b/>
        </w:rPr>
        <w:t>5</w:t>
      </w:r>
      <w:r w:rsidRPr="00FD3856">
        <w:rPr>
          <w:rFonts w:eastAsiaTheme="minorEastAsia" w:hint="eastAsia"/>
          <w:b/>
        </w:rPr>
        <w:t xml:space="preserve">: </w:t>
      </w:r>
      <w:r>
        <w:rPr>
          <w:rFonts w:eastAsiaTheme="minorEastAsia" w:hint="eastAsia"/>
          <w:b/>
        </w:rPr>
        <w:t xml:space="preserve">The carrier for NPUSCH format 2 is </w:t>
      </w:r>
      <w:r>
        <w:rPr>
          <w:rFonts w:eastAsiaTheme="minorEastAsia"/>
          <w:b/>
        </w:rPr>
        <w:t>configured by RRC.</w:t>
      </w:r>
      <w:r>
        <w:rPr>
          <w:rFonts w:eastAsiaTheme="minorEastAsia" w:hint="eastAsia"/>
          <w:b/>
        </w:rPr>
        <w:t xml:space="preserve"> </w:t>
      </w:r>
    </w:p>
    <w:p w:rsidR="00AA4EE4" w:rsidRPr="00484D20" w:rsidRDefault="00AA4EE4" w:rsidP="00AA4EE4">
      <w:pPr>
        <w:spacing w:line="276" w:lineRule="auto"/>
        <w:rPr>
          <w:rFonts w:eastAsiaTheme="minorEastAsia"/>
          <w:b/>
        </w:rPr>
      </w:pPr>
      <w:r w:rsidRPr="00C01CD3">
        <w:rPr>
          <w:rFonts w:eastAsiaTheme="minorEastAsia" w:hint="eastAsia"/>
          <w:b/>
        </w:rPr>
        <w:t xml:space="preserve">Proposal #6: Early termination can be defined as an optional capability in TDD NB-IoT. </w:t>
      </w:r>
      <w:r>
        <w:rPr>
          <w:rFonts w:eastAsiaTheme="minorEastAsia" w:hint="eastAsia"/>
          <w:b/>
        </w:rPr>
        <w:t xml:space="preserve">UL grant carrying </w:t>
      </w:r>
      <w:r w:rsidRPr="00C01CD3">
        <w:rPr>
          <w:rFonts w:eastAsiaTheme="minorEastAsia" w:hint="eastAsia"/>
          <w:b/>
        </w:rPr>
        <w:t xml:space="preserve">NDI for the ongoing UL HARQ process </w:t>
      </w:r>
      <w:r>
        <w:rPr>
          <w:rFonts w:eastAsiaTheme="minorEastAsia" w:hint="eastAsia"/>
          <w:b/>
        </w:rPr>
        <w:t>can be used to trigger early termination</w:t>
      </w:r>
      <w:r w:rsidRPr="00C01CD3">
        <w:rPr>
          <w:rFonts w:eastAsiaTheme="minorEastAsia" w:hint="eastAsia"/>
          <w:b/>
        </w:rPr>
        <w:t>.</w:t>
      </w:r>
    </w:p>
    <w:p w:rsidR="005160B4" w:rsidRDefault="005160B4" w:rsidP="005160B4">
      <w:pPr>
        <w:spacing w:line="276" w:lineRule="auto"/>
        <w:rPr>
          <w:b/>
        </w:rPr>
      </w:pPr>
      <w:r w:rsidRPr="00C800A1">
        <w:rPr>
          <w:rFonts w:hint="eastAsia"/>
          <w:b/>
        </w:rPr>
        <w:t>Proposal #7:</w:t>
      </w:r>
      <w:r>
        <w:rPr>
          <w:rFonts w:hint="eastAsia"/>
          <w:b/>
        </w:rPr>
        <w:t xml:space="preserve"> </w:t>
      </w:r>
      <w:r w:rsidR="001F5178">
        <w:rPr>
          <w:rFonts w:hint="eastAsia"/>
          <w:b/>
        </w:rPr>
        <w:t>W</w:t>
      </w:r>
      <w:r w:rsidR="001F5178">
        <w:rPr>
          <w:b/>
        </w:rPr>
        <w:t>h</w:t>
      </w:r>
      <w:r w:rsidR="001F5178">
        <w:rPr>
          <w:rFonts w:hint="eastAsia"/>
          <w:b/>
        </w:rPr>
        <w:t xml:space="preserve">en there are no enough consecutive UL subframes to transmit a NPRACH block, postpone the NPRACH to next UL chance with enough consecutive UL subframes. </w:t>
      </w:r>
      <w:r w:rsidRPr="0090390B">
        <w:rPr>
          <w:rFonts w:hint="eastAsia"/>
          <w:b/>
        </w:rPr>
        <w:t>Proposal #</w:t>
      </w:r>
      <w:r>
        <w:rPr>
          <w:rFonts w:hint="eastAsia"/>
          <w:b/>
        </w:rPr>
        <w:t>8</w:t>
      </w:r>
      <w:r w:rsidRPr="0090390B">
        <w:rPr>
          <w:rFonts w:hint="eastAsia"/>
          <w:b/>
        </w:rPr>
        <w:t>: For TDD UL/DL configuration #3</w:t>
      </w:r>
      <w:r w:rsidR="00070D24">
        <w:rPr>
          <w:rFonts w:hint="eastAsia"/>
          <w:b/>
        </w:rPr>
        <w:t xml:space="preserve"> and #6</w:t>
      </w:r>
      <w:r w:rsidRPr="0090390B">
        <w:rPr>
          <w:rFonts w:hint="eastAsia"/>
          <w:b/>
        </w:rPr>
        <w:t xml:space="preserve">, </w:t>
      </w:r>
      <w:r w:rsidR="00070D24">
        <w:rPr>
          <w:rFonts w:hint="eastAsia"/>
          <w:b/>
        </w:rPr>
        <w:t xml:space="preserve">all NPRACH formats are </w:t>
      </w:r>
      <w:r>
        <w:rPr>
          <w:rFonts w:hint="eastAsia"/>
          <w:b/>
        </w:rPr>
        <w:t xml:space="preserve">a is </w:t>
      </w:r>
      <w:r w:rsidRPr="0090390B">
        <w:rPr>
          <w:rFonts w:hint="eastAsia"/>
          <w:b/>
        </w:rPr>
        <w:t>support</w:t>
      </w:r>
      <w:r>
        <w:rPr>
          <w:rFonts w:hint="eastAsia"/>
          <w:b/>
        </w:rPr>
        <w:t>ed</w:t>
      </w:r>
      <w:r w:rsidRPr="0090390B">
        <w:rPr>
          <w:rFonts w:hint="eastAsia"/>
          <w:b/>
        </w:rPr>
        <w:t>.</w:t>
      </w:r>
    </w:p>
    <w:p w:rsidR="00070D24" w:rsidRPr="0090390B" w:rsidRDefault="00070D24" w:rsidP="005160B4">
      <w:pPr>
        <w:spacing w:line="276" w:lineRule="auto"/>
        <w:rPr>
          <w:b/>
        </w:rPr>
      </w:pPr>
      <w:r>
        <w:rPr>
          <w:rFonts w:hint="eastAsia"/>
          <w:b/>
        </w:rPr>
        <w:t xml:space="preserve">Proposal #9: </w:t>
      </w:r>
      <w:r w:rsidRPr="0090390B">
        <w:rPr>
          <w:rFonts w:hint="eastAsia"/>
          <w:b/>
        </w:rPr>
        <w:t>For TDD UL/DL configuration #</w:t>
      </w:r>
      <w:r>
        <w:rPr>
          <w:rFonts w:hint="eastAsia"/>
          <w:b/>
        </w:rPr>
        <w:t xml:space="preserve"> </w:t>
      </w:r>
      <w:r w:rsidRPr="0090390B">
        <w:rPr>
          <w:rFonts w:hint="eastAsia"/>
          <w:b/>
        </w:rPr>
        <w:t>3</w:t>
      </w:r>
      <w:r>
        <w:rPr>
          <w:rFonts w:hint="eastAsia"/>
          <w:b/>
        </w:rPr>
        <w:t xml:space="preserve"> and #6, NPUSCH can be </w:t>
      </w:r>
      <w:r>
        <w:rPr>
          <w:b/>
        </w:rPr>
        <w:t>transmitted</w:t>
      </w:r>
      <w:r>
        <w:rPr>
          <w:rFonts w:hint="eastAsia"/>
          <w:b/>
        </w:rPr>
        <w:t xml:space="preserve"> on the third UL subframe of the three </w:t>
      </w:r>
      <w:r w:rsidRPr="00070D24">
        <w:rPr>
          <w:b/>
        </w:rPr>
        <w:t>consecutive</w:t>
      </w:r>
      <w:r w:rsidRPr="00070D24">
        <w:rPr>
          <w:rFonts w:hint="eastAsia"/>
          <w:b/>
        </w:rPr>
        <w:t xml:space="preserve"> subframes</w:t>
      </w:r>
      <w:r>
        <w:rPr>
          <w:rFonts w:hint="eastAsia"/>
          <w:b/>
        </w:rPr>
        <w:t xml:space="preserve"> </w:t>
      </w:r>
      <w:r>
        <w:rPr>
          <w:b/>
        </w:rPr>
        <w:t>with</w:t>
      </w:r>
      <w:r>
        <w:rPr>
          <w:rFonts w:hint="eastAsia"/>
          <w:b/>
        </w:rPr>
        <w:t xml:space="preserve"> in NPRRACH </w:t>
      </w:r>
      <w:r>
        <w:rPr>
          <w:b/>
        </w:rPr>
        <w:t>transmission</w:t>
      </w:r>
      <w:r>
        <w:rPr>
          <w:rFonts w:hint="eastAsia"/>
          <w:b/>
        </w:rPr>
        <w:t>.</w:t>
      </w:r>
    </w:p>
    <w:p w:rsidR="001B11EE" w:rsidRPr="00E661C1" w:rsidRDefault="001B11EE" w:rsidP="001B11EE">
      <w:pPr>
        <w:spacing w:line="276" w:lineRule="auto"/>
        <w:rPr>
          <w:b/>
        </w:rPr>
      </w:pPr>
      <w:r w:rsidRPr="00E661C1">
        <w:rPr>
          <w:rFonts w:hint="eastAsia"/>
          <w:b/>
        </w:rPr>
        <w:t>Proposal #10</w:t>
      </w:r>
      <w:r w:rsidRPr="00E661C1">
        <w:rPr>
          <w:b/>
        </w:rPr>
        <w:t>:</w:t>
      </w:r>
      <w:r>
        <w:rPr>
          <w:rFonts w:hint="eastAsia"/>
          <w:b/>
        </w:rPr>
        <w:t xml:space="preserve"> Do not support NPRACH resource partition to indicate the support of multi-tone</w:t>
      </w:r>
      <w:r w:rsidR="0039600F">
        <w:rPr>
          <w:rFonts w:hint="eastAsia"/>
          <w:b/>
        </w:rPr>
        <w:t xml:space="preserve">, i.e., Multi-tone </w:t>
      </w:r>
      <w:r w:rsidR="0039600F">
        <w:rPr>
          <w:b/>
        </w:rPr>
        <w:t>transmission</w:t>
      </w:r>
      <w:r w:rsidR="0039600F">
        <w:rPr>
          <w:rFonts w:hint="eastAsia"/>
          <w:b/>
        </w:rPr>
        <w:t xml:space="preserve"> is </w:t>
      </w:r>
      <w:r w:rsidR="0039600F">
        <w:rPr>
          <w:b/>
        </w:rPr>
        <w:t>mandatory</w:t>
      </w:r>
      <w:r w:rsidR="0039600F">
        <w:rPr>
          <w:rFonts w:hint="eastAsia"/>
          <w:b/>
        </w:rPr>
        <w:t xml:space="preserve"> for TDD NB-IoT UEs.  </w:t>
      </w:r>
      <w:r>
        <w:rPr>
          <w:rFonts w:hint="eastAsia"/>
          <w:b/>
        </w:rPr>
        <w:t xml:space="preserve"> </w:t>
      </w:r>
    </w:p>
    <w:p w:rsidR="004D2280" w:rsidRPr="001B11EE"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[1] Draft minutes of RAN1#92bis meeting</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[2] R1-1804339, </w:t>
      </w:r>
      <w:r w:rsidR="001F5178" w:rsidRPr="001F5178">
        <w:rPr>
          <w:color w:val="000000"/>
          <w:kern w:val="24"/>
          <w:lang w:val="x-none"/>
        </w:rPr>
        <w:t>Discussion on 2 HARQ processes and cross carrier scheduling</w:t>
      </w:r>
      <w:r w:rsidR="001F5178">
        <w:rPr>
          <w:rFonts w:hint="eastAsia"/>
          <w:color w:val="000000"/>
          <w:kern w:val="24"/>
          <w:lang w:val="x-none"/>
        </w:rPr>
        <w:t xml:space="preserve">, </w:t>
      </w:r>
      <w:r>
        <w:rPr>
          <w:rFonts w:hint="eastAsia"/>
          <w:color w:val="000000"/>
          <w:kern w:val="24"/>
          <w:lang w:val="x-none"/>
        </w:rPr>
        <w:t>Samsung</w:t>
      </w:r>
    </w:p>
    <w:p w:rsidR="001F5178" w:rsidRPr="00A07E17" w:rsidRDefault="001F5178" w:rsidP="000D159E">
      <w:pPr>
        <w:spacing w:after="0" w:line="276" w:lineRule="auto"/>
        <w:jc w:val="both"/>
        <w:rPr>
          <w:color w:val="000000"/>
          <w:kern w:val="24"/>
          <w:lang w:val="x-none"/>
        </w:rPr>
      </w:pPr>
      <w:r>
        <w:rPr>
          <w:rFonts w:hint="eastAsia"/>
          <w:color w:val="000000"/>
          <w:kern w:val="24"/>
          <w:lang w:val="x-none"/>
        </w:rPr>
        <w:t xml:space="preserve">[3] </w:t>
      </w:r>
      <w:r w:rsidRPr="001F5178">
        <w:rPr>
          <w:color w:val="000000"/>
          <w:kern w:val="24"/>
          <w:lang w:val="x-none"/>
        </w:rPr>
        <w:t>R1-1804338 Discussion on UL channel for TDD NB-IoT</w:t>
      </w:r>
      <w:r>
        <w:rPr>
          <w:rFonts w:hint="eastAsia"/>
          <w:color w:val="000000"/>
          <w:kern w:val="24"/>
          <w:lang w:val="x-none"/>
        </w:rPr>
        <w:t>, Samsung</w:t>
      </w:r>
    </w:p>
    <w:sectPr w:rsidR="001F5178" w:rsidRPr="00A07E17" w:rsidSect="00C3193E">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C07" w:rsidRPr="00C47AD2" w:rsidRDefault="00B54C07" w:rsidP="00736F7B">
      <w:pPr>
        <w:rPr>
          <w:rFonts w:ascii="Arial" w:hAnsi="Arial"/>
          <w:sz w:val="12"/>
        </w:rPr>
      </w:pPr>
      <w:r>
        <w:separator/>
      </w:r>
    </w:p>
  </w:endnote>
  <w:endnote w:type="continuationSeparator" w:id="0">
    <w:p w:rsidR="00B54C07" w:rsidRPr="00C47AD2" w:rsidRDefault="00B54C07"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049" w:rsidRDefault="00DD004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0049" w:rsidRDefault="00DD004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049" w:rsidRDefault="00DD0049">
    <w:pPr>
      <w:pStyle w:val="Footer"/>
    </w:pPr>
    <w:r>
      <w:fldChar w:fldCharType="begin"/>
    </w:r>
    <w:r>
      <w:instrText xml:space="preserve"> PAGE   \* MERGEFORMAT </w:instrText>
    </w:r>
    <w:r>
      <w:fldChar w:fldCharType="separate"/>
    </w:r>
    <w:r w:rsidR="0049682F">
      <w:t>4</w:t>
    </w:r>
    <w:r>
      <w:fldChar w:fldCharType="end"/>
    </w:r>
  </w:p>
  <w:p w:rsidR="00DD0049" w:rsidRDefault="00DD004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C07" w:rsidRPr="00C47AD2" w:rsidRDefault="00B54C07" w:rsidP="00736F7B">
      <w:pPr>
        <w:rPr>
          <w:rFonts w:ascii="Arial" w:hAnsi="Arial"/>
          <w:sz w:val="12"/>
        </w:rPr>
      </w:pPr>
      <w:r>
        <w:separator/>
      </w:r>
    </w:p>
  </w:footnote>
  <w:footnote w:type="continuationSeparator" w:id="0">
    <w:p w:rsidR="00B54C07" w:rsidRPr="00C47AD2" w:rsidRDefault="00B54C07"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9">
    <w:nsid w:val="21113E9E"/>
    <w:multiLevelType w:val="singleLevel"/>
    <w:tmpl w:val="B4D4D9E8"/>
    <w:lvl w:ilvl="0">
      <w:start w:val="1"/>
      <w:numFmt w:val="decimal"/>
      <w:lvlText w:val="[%1]"/>
      <w:lvlJc w:val="left"/>
      <w:pPr>
        <w:tabs>
          <w:tab w:val="num" w:pos="360"/>
        </w:tabs>
        <w:ind w:left="360" w:hanging="360"/>
      </w:pPr>
    </w:lvl>
  </w:abstractNum>
  <w:abstractNum w:abstractNumId="10">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25">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19"/>
  </w:num>
  <w:num w:numId="6">
    <w:abstractNumId w:val="37"/>
  </w:num>
  <w:num w:numId="7">
    <w:abstractNumId w:val="20"/>
  </w:num>
  <w:num w:numId="8">
    <w:abstractNumId w:val="18"/>
  </w:num>
  <w:num w:numId="9">
    <w:abstractNumId w:val="33"/>
  </w:num>
  <w:num w:numId="10">
    <w:abstractNumId w:val="5"/>
  </w:num>
  <w:num w:numId="11">
    <w:abstractNumId w:val="7"/>
  </w:num>
  <w:num w:numId="12">
    <w:abstractNumId w:val="35"/>
  </w:num>
  <w:num w:numId="13">
    <w:abstractNumId w:val="30"/>
  </w:num>
  <w:num w:numId="14">
    <w:abstractNumId w:val="22"/>
  </w:num>
  <w:num w:numId="15">
    <w:abstractNumId w:val="3"/>
  </w:num>
  <w:num w:numId="16">
    <w:abstractNumId w:val="27"/>
  </w:num>
  <w:num w:numId="17">
    <w:abstractNumId w:val="4"/>
  </w:num>
  <w:num w:numId="18">
    <w:abstractNumId w:val="11"/>
  </w:num>
  <w:num w:numId="19">
    <w:abstractNumId w:val="21"/>
  </w:num>
  <w:num w:numId="20">
    <w:abstractNumId w:val="14"/>
  </w:num>
  <w:num w:numId="21">
    <w:abstractNumId w:val="34"/>
  </w:num>
  <w:num w:numId="22">
    <w:abstractNumId w:val="1"/>
  </w:num>
  <w:num w:numId="23">
    <w:abstractNumId w:val="23"/>
  </w:num>
  <w:num w:numId="24">
    <w:abstractNumId w:val="13"/>
  </w:num>
  <w:num w:numId="25">
    <w:abstractNumId w:val="36"/>
  </w:num>
  <w:num w:numId="26">
    <w:abstractNumId w:val="25"/>
  </w:num>
  <w:num w:numId="27">
    <w:abstractNumId w:val="29"/>
  </w:num>
  <w:num w:numId="28">
    <w:abstractNumId w:val="12"/>
  </w:num>
  <w:num w:numId="29">
    <w:abstractNumId w:val="7"/>
  </w:num>
  <w:num w:numId="30">
    <w:abstractNumId w:val="9"/>
  </w:num>
  <w:num w:numId="31">
    <w:abstractNumId w:val="28"/>
  </w:num>
  <w:num w:numId="32">
    <w:abstractNumId w:val="38"/>
  </w:num>
  <w:num w:numId="33">
    <w:abstractNumId w:val="8"/>
  </w:num>
  <w:num w:numId="34">
    <w:abstractNumId w:val="10"/>
  </w:num>
  <w:num w:numId="35">
    <w:abstractNumId w:val="24"/>
  </w:num>
  <w:num w:numId="36">
    <w:abstractNumId w:val="6"/>
  </w:num>
  <w:num w:numId="37">
    <w:abstractNumId w:val="26"/>
  </w:num>
  <w:num w:numId="38">
    <w:abstractNumId w:val="2"/>
  </w:num>
  <w:num w:numId="39">
    <w:abstractNumId w:val="31"/>
  </w:num>
  <w:num w:numId="4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7F"/>
    <w:rsid w:val="00053209"/>
    <w:rsid w:val="000533E7"/>
    <w:rsid w:val="00053B3E"/>
    <w:rsid w:val="000540E4"/>
    <w:rsid w:val="0005443D"/>
    <w:rsid w:val="00054850"/>
    <w:rsid w:val="00054862"/>
    <w:rsid w:val="000549F0"/>
    <w:rsid w:val="00054A09"/>
    <w:rsid w:val="00054C48"/>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BD"/>
    <w:rsid w:val="00133BCD"/>
    <w:rsid w:val="00133DFC"/>
    <w:rsid w:val="00134036"/>
    <w:rsid w:val="00134761"/>
    <w:rsid w:val="001347FE"/>
    <w:rsid w:val="00134AD4"/>
    <w:rsid w:val="00134BCE"/>
    <w:rsid w:val="001351A2"/>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A9B"/>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304"/>
    <w:rsid w:val="00170630"/>
    <w:rsid w:val="0017071E"/>
    <w:rsid w:val="00170A34"/>
    <w:rsid w:val="00170DD5"/>
    <w:rsid w:val="00171422"/>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118"/>
    <w:rsid w:val="00176331"/>
    <w:rsid w:val="001766D4"/>
    <w:rsid w:val="00176949"/>
    <w:rsid w:val="00176EF0"/>
    <w:rsid w:val="00177004"/>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129D"/>
    <w:rsid w:val="00251517"/>
    <w:rsid w:val="0025154E"/>
    <w:rsid w:val="00251558"/>
    <w:rsid w:val="00251910"/>
    <w:rsid w:val="00251F80"/>
    <w:rsid w:val="002520E1"/>
    <w:rsid w:val="0025229C"/>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8F8"/>
    <w:rsid w:val="00290F3E"/>
    <w:rsid w:val="002913F7"/>
    <w:rsid w:val="00291443"/>
    <w:rsid w:val="00291CED"/>
    <w:rsid w:val="00291E29"/>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2005C"/>
    <w:rsid w:val="00320116"/>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2343"/>
    <w:rsid w:val="004A236C"/>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36"/>
    <w:rsid w:val="004C3248"/>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284"/>
    <w:rsid w:val="004F44D6"/>
    <w:rsid w:val="004F4625"/>
    <w:rsid w:val="004F4BAD"/>
    <w:rsid w:val="004F564B"/>
    <w:rsid w:val="004F5667"/>
    <w:rsid w:val="004F5A97"/>
    <w:rsid w:val="004F5DE8"/>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230C"/>
    <w:rsid w:val="00542335"/>
    <w:rsid w:val="005426BD"/>
    <w:rsid w:val="0054270B"/>
    <w:rsid w:val="0054276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B4"/>
    <w:rsid w:val="00592410"/>
    <w:rsid w:val="00592522"/>
    <w:rsid w:val="005926B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A96"/>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A3A"/>
    <w:rsid w:val="00692B5C"/>
    <w:rsid w:val="00693043"/>
    <w:rsid w:val="006931A9"/>
    <w:rsid w:val="006931B9"/>
    <w:rsid w:val="006936F2"/>
    <w:rsid w:val="00693880"/>
    <w:rsid w:val="00693D82"/>
    <w:rsid w:val="00694483"/>
    <w:rsid w:val="00694586"/>
    <w:rsid w:val="00694906"/>
    <w:rsid w:val="00694D00"/>
    <w:rsid w:val="0069504F"/>
    <w:rsid w:val="006953D4"/>
    <w:rsid w:val="0069591F"/>
    <w:rsid w:val="00695C7F"/>
    <w:rsid w:val="006960EF"/>
    <w:rsid w:val="00696470"/>
    <w:rsid w:val="00696A57"/>
    <w:rsid w:val="00696E2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901"/>
    <w:rsid w:val="006C6121"/>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1136"/>
    <w:rsid w:val="0076113D"/>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8CA"/>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A65"/>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7B6"/>
    <w:rsid w:val="00A5591D"/>
    <w:rsid w:val="00A559FE"/>
    <w:rsid w:val="00A55F20"/>
    <w:rsid w:val="00A562CB"/>
    <w:rsid w:val="00A56366"/>
    <w:rsid w:val="00A563EF"/>
    <w:rsid w:val="00A564D3"/>
    <w:rsid w:val="00A56666"/>
    <w:rsid w:val="00A56860"/>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4E3"/>
    <w:rsid w:val="00C10534"/>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56DE"/>
    <w:rsid w:val="00CF5807"/>
    <w:rsid w:val="00CF58B2"/>
    <w:rsid w:val="00CF5E0A"/>
    <w:rsid w:val="00CF660D"/>
    <w:rsid w:val="00CF68B2"/>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E00"/>
    <w:rsid w:val="00D21F7A"/>
    <w:rsid w:val="00D22155"/>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87A"/>
    <w:rsid w:val="00D56BBC"/>
    <w:rsid w:val="00D571B0"/>
    <w:rsid w:val="00D57458"/>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713"/>
    <w:rsid w:val="00DC3735"/>
    <w:rsid w:val="00DC37EC"/>
    <w:rsid w:val="00DC3AEE"/>
    <w:rsid w:val="00DC3BFB"/>
    <w:rsid w:val="00DC3ED2"/>
    <w:rsid w:val="00DC3F94"/>
    <w:rsid w:val="00DC42A6"/>
    <w:rsid w:val="00DC48C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41C"/>
    <w:rsid w:val="00E279D7"/>
    <w:rsid w:val="00E27B59"/>
    <w:rsid w:val="00E27CA8"/>
    <w:rsid w:val="00E27CD3"/>
    <w:rsid w:val="00E27E8F"/>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FB7"/>
    <w:rsid w:val="00E91159"/>
    <w:rsid w:val="00E911B8"/>
    <w:rsid w:val="00E91631"/>
    <w:rsid w:val="00E918A1"/>
    <w:rsid w:val="00E91950"/>
    <w:rsid w:val="00E91F3C"/>
    <w:rsid w:val="00E92030"/>
    <w:rsid w:val="00E9212C"/>
    <w:rsid w:val="00E92177"/>
    <w:rsid w:val="00E924C5"/>
    <w:rsid w:val="00E925EE"/>
    <w:rsid w:val="00E9267F"/>
    <w:rsid w:val="00E92A0D"/>
    <w:rsid w:val="00E92BDE"/>
    <w:rsid w:val="00E92BEE"/>
    <w:rsid w:val="00E92E38"/>
    <w:rsid w:val="00E93450"/>
    <w:rsid w:val="00E93704"/>
    <w:rsid w:val="00E93797"/>
    <w:rsid w:val="00E93BA8"/>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785"/>
    <w:rsid w:val="00F1794D"/>
    <w:rsid w:val="00F17B6C"/>
    <w:rsid w:val="00F17F0E"/>
    <w:rsid w:val="00F20186"/>
    <w:rsid w:val="00F20373"/>
    <w:rsid w:val="00F20FBC"/>
    <w:rsid w:val="00F2109D"/>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FE6"/>
    <w:rsid w:val="00F86023"/>
    <w:rsid w:val="00F8639D"/>
    <w:rsid w:val="00F865D7"/>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988BB-8DC4-4ADE-93C7-8CF9C07A9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1723</Words>
  <Characters>9822</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8</cp:revision>
  <cp:lastPrinted>2010-04-04T10:18:00Z</cp:lastPrinted>
  <dcterms:created xsi:type="dcterms:W3CDTF">2018-05-11T02:56:00Z</dcterms:created>
  <dcterms:modified xsi:type="dcterms:W3CDTF">2018-05-11T09:45:00Z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