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18D488" w14:textId="0636FF35" w:rsidR="0030068F" w:rsidRPr="00C37487" w:rsidRDefault="00AA1021" w:rsidP="0030068F">
      <w:pPr>
        <w:tabs>
          <w:tab w:val="right" w:pos="9360"/>
        </w:tabs>
        <w:spacing w:after="0"/>
        <w:rPr>
          <w:rFonts w:ascii="Times New Roman" w:hAnsi="Times New Roman"/>
          <w:b/>
          <w:i/>
          <w:sz w:val="24"/>
          <w:lang w:eastAsia="zh-CN"/>
        </w:rPr>
      </w:pPr>
      <w:r w:rsidRPr="00C37487">
        <w:rPr>
          <w:rFonts w:ascii="Times New Roman" w:hAnsi="Times New Roman"/>
          <w:b/>
          <w:sz w:val="24"/>
          <w:lang w:val="en-US"/>
        </w:rPr>
        <w:t>3GPP TSG RAN WG1 Meeting #93</w:t>
      </w:r>
      <w:r w:rsidR="00316FFE" w:rsidRPr="00C37487">
        <w:rPr>
          <w:rFonts w:ascii="Times New Roman" w:hAnsi="Times New Roman"/>
          <w:b/>
          <w:sz w:val="24"/>
        </w:rPr>
        <w:t xml:space="preserve">       </w:t>
      </w:r>
      <w:r w:rsidR="0030068F" w:rsidRPr="00C37487">
        <w:rPr>
          <w:rFonts w:ascii="Times New Roman" w:hAnsi="Times New Roman"/>
          <w:b/>
          <w:sz w:val="24"/>
        </w:rPr>
        <w:t xml:space="preserve">                      </w:t>
      </w:r>
      <w:r w:rsidR="006E75C1">
        <w:rPr>
          <w:rFonts w:ascii="Times New Roman" w:hAnsi="Times New Roman"/>
          <w:b/>
          <w:sz w:val="24"/>
        </w:rPr>
        <w:t xml:space="preserve">                                             </w:t>
      </w:r>
      <w:r w:rsidR="0030068F" w:rsidRPr="00C37487">
        <w:rPr>
          <w:rFonts w:ascii="Times New Roman" w:hAnsi="Times New Roman"/>
          <w:b/>
          <w:sz w:val="24"/>
        </w:rPr>
        <w:t xml:space="preserve">      </w:t>
      </w:r>
      <w:r w:rsidR="006E75C1">
        <w:rPr>
          <w:rFonts w:ascii="Times New Roman" w:hAnsi="Times New Roman"/>
          <w:b/>
          <w:sz w:val="24"/>
        </w:rPr>
        <w:t xml:space="preserve">     </w:t>
      </w:r>
      <w:r w:rsidR="00624A6F" w:rsidRPr="00C37487">
        <w:rPr>
          <w:rFonts w:ascii="Times New Roman" w:hAnsi="Times New Roman"/>
          <w:b/>
          <w:sz w:val="24"/>
        </w:rPr>
        <w:t>R1-180654</w:t>
      </w:r>
      <w:r w:rsidR="00B52540" w:rsidRPr="00C37487">
        <w:rPr>
          <w:rFonts w:ascii="Times New Roman" w:hAnsi="Times New Roman"/>
          <w:b/>
          <w:sz w:val="24"/>
        </w:rPr>
        <w:t>3</w:t>
      </w:r>
    </w:p>
    <w:p w14:paraId="719E3DBE" w14:textId="408BD830" w:rsidR="0030068F" w:rsidRPr="00C37487" w:rsidRDefault="00AA1021" w:rsidP="0030068F">
      <w:pPr>
        <w:spacing w:after="0"/>
        <w:rPr>
          <w:rFonts w:ascii="Times New Roman" w:hAnsi="Times New Roman"/>
          <w:b/>
          <w:sz w:val="24"/>
        </w:rPr>
      </w:pPr>
      <w:r w:rsidRPr="00C37487">
        <w:rPr>
          <w:rFonts w:ascii="Times New Roman" w:hAnsi="Times New Roman"/>
          <w:b/>
          <w:sz w:val="24"/>
          <w:lang w:val="en-US"/>
        </w:rPr>
        <w:t>Busan</w:t>
      </w:r>
      <w:r w:rsidR="00E22F72" w:rsidRPr="00C37487">
        <w:rPr>
          <w:rFonts w:ascii="Times New Roman" w:hAnsi="Times New Roman"/>
          <w:b/>
          <w:sz w:val="24"/>
          <w:lang w:val="en-US"/>
        </w:rPr>
        <w:t xml:space="preserve">, </w:t>
      </w:r>
      <w:r w:rsidRPr="00C37487">
        <w:rPr>
          <w:rFonts w:ascii="Times New Roman" w:hAnsi="Times New Roman"/>
          <w:b/>
          <w:sz w:val="24"/>
          <w:lang w:val="en-US"/>
        </w:rPr>
        <w:t>Korea</w:t>
      </w:r>
      <w:r w:rsidR="00E22F72" w:rsidRPr="00C37487">
        <w:rPr>
          <w:rFonts w:ascii="Times New Roman" w:hAnsi="Times New Roman"/>
          <w:b/>
          <w:sz w:val="24"/>
          <w:lang w:val="en-US"/>
        </w:rPr>
        <w:t xml:space="preserve">, </w:t>
      </w:r>
      <w:r w:rsidRPr="00C37487">
        <w:rPr>
          <w:rFonts w:ascii="Times New Roman" w:hAnsi="Times New Roman"/>
          <w:b/>
          <w:sz w:val="24"/>
          <w:lang w:val="en-US"/>
        </w:rPr>
        <w:t>May</w:t>
      </w:r>
      <w:r w:rsidR="00E22F72" w:rsidRPr="00C37487">
        <w:rPr>
          <w:rFonts w:ascii="Times New Roman" w:hAnsi="Times New Roman"/>
          <w:b/>
          <w:sz w:val="24"/>
          <w:lang w:val="en-US"/>
        </w:rPr>
        <w:t xml:space="preserve"> </w:t>
      </w:r>
      <w:r w:rsidRPr="00C37487">
        <w:rPr>
          <w:rFonts w:ascii="Times New Roman" w:hAnsi="Times New Roman"/>
          <w:b/>
          <w:sz w:val="24"/>
          <w:lang w:val="en-US"/>
        </w:rPr>
        <w:t>21</w:t>
      </w:r>
      <w:r w:rsidR="00400012">
        <w:rPr>
          <w:rFonts w:ascii="Times New Roman" w:hAnsi="Times New Roman"/>
          <w:b/>
          <w:sz w:val="24"/>
          <w:vertAlign w:val="superscript"/>
          <w:lang w:val="en-US"/>
        </w:rPr>
        <w:t>st</w:t>
      </w:r>
      <w:r w:rsidR="00E22F72" w:rsidRPr="00C37487">
        <w:rPr>
          <w:rFonts w:ascii="Times New Roman" w:hAnsi="Times New Roman"/>
          <w:b/>
          <w:sz w:val="24"/>
          <w:lang w:val="en-US"/>
        </w:rPr>
        <w:t xml:space="preserve"> – 2</w:t>
      </w:r>
      <w:r w:rsidRPr="00C37487">
        <w:rPr>
          <w:rFonts w:ascii="Times New Roman" w:hAnsi="Times New Roman"/>
          <w:b/>
          <w:sz w:val="24"/>
          <w:lang w:val="en-US"/>
        </w:rPr>
        <w:t>5</w:t>
      </w:r>
      <w:r w:rsidR="00E22F72" w:rsidRPr="00C37487">
        <w:rPr>
          <w:rFonts w:ascii="Times New Roman" w:hAnsi="Times New Roman"/>
          <w:b/>
          <w:sz w:val="24"/>
          <w:vertAlign w:val="superscript"/>
          <w:lang w:val="en-US"/>
        </w:rPr>
        <w:t>th</w:t>
      </w:r>
      <w:r w:rsidR="00E22F72" w:rsidRPr="00C37487">
        <w:rPr>
          <w:rFonts w:ascii="Times New Roman" w:hAnsi="Times New Roman"/>
          <w:b/>
          <w:sz w:val="24"/>
          <w:lang w:val="en-US"/>
        </w:rPr>
        <w:t>, 2018</w:t>
      </w:r>
      <w:r w:rsidR="0030068F" w:rsidRPr="00C37487">
        <w:rPr>
          <w:rFonts w:ascii="Times New Roman" w:hAnsi="Times New Roman"/>
          <w:b/>
          <w:sz w:val="24"/>
        </w:rPr>
        <w:t xml:space="preserve">  </w:t>
      </w:r>
    </w:p>
    <w:p w14:paraId="5EB3A825" w14:textId="77777777" w:rsidR="007D4C02" w:rsidRPr="00C37487" w:rsidRDefault="007D4C02" w:rsidP="004244DD">
      <w:pPr>
        <w:pStyle w:val="Header"/>
        <w:widowControl w:val="0"/>
        <w:tabs>
          <w:tab w:val="right" w:pos="8280"/>
          <w:tab w:val="right" w:pos="9781"/>
        </w:tabs>
        <w:spacing w:after="0"/>
        <w:ind w:right="-58"/>
        <w:rPr>
          <w:rFonts w:ascii="Times New Roman" w:eastAsia="MS Mincho" w:hAnsi="Times New Roman"/>
          <w:b/>
          <w:bCs/>
          <w:sz w:val="24"/>
          <w:lang w:eastAsia="ja-JP"/>
        </w:rPr>
      </w:pPr>
      <w:bookmarkStart w:id="0" w:name="Source"/>
      <w:bookmarkEnd w:id="0"/>
    </w:p>
    <w:p w14:paraId="2D4672AD" w14:textId="12424703" w:rsidR="00ED73DD" w:rsidRPr="00C37487" w:rsidRDefault="00ED73DD" w:rsidP="004244DD">
      <w:pPr>
        <w:pStyle w:val="Header"/>
        <w:widowControl w:val="0"/>
        <w:tabs>
          <w:tab w:val="clear" w:pos="4536"/>
          <w:tab w:val="clear" w:pos="9072"/>
        </w:tabs>
        <w:spacing w:after="0"/>
        <w:ind w:right="-57"/>
        <w:rPr>
          <w:rFonts w:ascii="Times New Roman" w:hAnsi="Times New Roman"/>
          <w:b/>
          <w:bCs/>
          <w:sz w:val="24"/>
          <w:lang w:val="en-US"/>
        </w:rPr>
      </w:pPr>
      <w:r w:rsidRPr="00C37487">
        <w:rPr>
          <w:rFonts w:ascii="Times New Roman" w:hAnsi="Times New Roman"/>
          <w:b/>
          <w:bCs/>
          <w:sz w:val="24"/>
          <w:lang w:val="en-US"/>
        </w:rPr>
        <w:t>Agenda Item:</w:t>
      </w:r>
      <w:r w:rsidRPr="00C37487">
        <w:rPr>
          <w:rFonts w:ascii="Times New Roman" w:hAnsi="Times New Roman"/>
          <w:b/>
          <w:bCs/>
          <w:sz w:val="24"/>
          <w:lang w:val="en-US"/>
        </w:rPr>
        <w:tab/>
      </w:r>
      <w:r w:rsidR="003E615D">
        <w:rPr>
          <w:rFonts w:ascii="Times New Roman" w:hAnsi="Times New Roman"/>
          <w:b/>
          <w:bCs/>
          <w:sz w:val="24"/>
          <w:lang w:val="en-US"/>
        </w:rPr>
        <w:tab/>
      </w:r>
      <w:r w:rsidR="00B52540" w:rsidRPr="00C37487">
        <w:rPr>
          <w:rFonts w:ascii="Times New Roman" w:hAnsi="Times New Roman"/>
          <w:b/>
          <w:bCs/>
          <w:sz w:val="24"/>
          <w:lang w:val="en-US"/>
        </w:rPr>
        <w:t>7.6.3.2</w:t>
      </w:r>
    </w:p>
    <w:p w14:paraId="02AA2B85" w14:textId="6E76D0B4" w:rsidR="007D4C02" w:rsidRPr="00C37487" w:rsidRDefault="003C0C00" w:rsidP="003C0C00">
      <w:pPr>
        <w:pStyle w:val="Header"/>
        <w:widowControl w:val="0"/>
        <w:tabs>
          <w:tab w:val="clear" w:pos="4536"/>
          <w:tab w:val="clear" w:pos="9072"/>
        </w:tabs>
        <w:spacing w:after="0"/>
        <w:ind w:left="2160" w:right="-57" w:hanging="2160"/>
        <w:rPr>
          <w:rFonts w:ascii="Times New Roman" w:hAnsi="Times New Roman"/>
          <w:b/>
          <w:bCs/>
          <w:sz w:val="24"/>
          <w:lang w:val="en-US" w:eastAsia="ko-KR"/>
        </w:rPr>
      </w:pPr>
      <w:r w:rsidRPr="00C37487">
        <w:rPr>
          <w:rFonts w:ascii="Times New Roman" w:hAnsi="Times New Roman"/>
          <w:b/>
          <w:bCs/>
          <w:sz w:val="24"/>
          <w:lang w:val="en-US"/>
        </w:rPr>
        <w:t xml:space="preserve">Source: </w:t>
      </w:r>
      <w:r w:rsidRPr="00C37487">
        <w:rPr>
          <w:rFonts w:ascii="Times New Roman" w:hAnsi="Times New Roman"/>
          <w:b/>
          <w:bCs/>
          <w:sz w:val="24"/>
          <w:lang w:val="en-US"/>
        </w:rPr>
        <w:tab/>
      </w:r>
      <w:r w:rsidR="00F97383" w:rsidRPr="00C37487">
        <w:rPr>
          <w:rFonts w:ascii="Times New Roman" w:hAnsi="Times New Roman"/>
          <w:b/>
          <w:bCs/>
          <w:sz w:val="24"/>
          <w:lang w:val="en-US"/>
        </w:rPr>
        <w:t>Intel Corporation</w:t>
      </w:r>
    </w:p>
    <w:p w14:paraId="55544A88" w14:textId="3A3F9262" w:rsidR="007D4C02" w:rsidRPr="00C37487" w:rsidRDefault="007D4C02" w:rsidP="005075EC">
      <w:pPr>
        <w:pStyle w:val="Header"/>
        <w:widowControl w:val="0"/>
        <w:tabs>
          <w:tab w:val="clear" w:pos="4536"/>
          <w:tab w:val="clear" w:pos="9072"/>
        </w:tabs>
        <w:spacing w:after="0"/>
        <w:ind w:left="2160" w:right="-58" w:hanging="2160"/>
        <w:rPr>
          <w:rFonts w:ascii="Times New Roman" w:eastAsia="MS Mincho" w:hAnsi="Times New Roman"/>
          <w:b/>
          <w:bCs/>
          <w:sz w:val="24"/>
          <w:lang w:val="en-US" w:eastAsia="ja-JP"/>
        </w:rPr>
      </w:pPr>
      <w:r w:rsidRPr="00C37487">
        <w:rPr>
          <w:rFonts w:ascii="Times New Roman" w:hAnsi="Times New Roman"/>
          <w:b/>
          <w:bCs/>
          <w:sz w:val="24"/>
          <w:lang w:val="en-US"/>
        </w:rPr>
        <w:t>Title:</w:t>
      </w:r>
      <w:r w:rsidRPr="00C37487">
        <w:rPr>
          <w:rFonts w:ascii="Times New Roman" w:hAnsi="Times New Roman"/>
          <w:b/>
          <w:bCs/>
          <w:sz w:val="24"/>
          <w:lang w:val="en-US"/>
        </w:rPr>
        <w:tab/>
      </w:r>
      <w:r w:rsidR="00624A6F" w:rsidRPr="00C37487">
        <w:rPr>
          <w:rFonts w:ascii="Times New Roman" w:hAnsi="Times New Roman"/>
          <w:b/>
          <w:bCs/>
          <w:sz w:val="24"/>
          <w:lang w:val="en-US"/>
        </w:rPr>
        <w:t xml:space="preserve">Potential </w:t>
      </w:r>
      <w:r w:rsidR="00B52540" w:rsidRPr="00C37487">
        <w:rPr>
          <w:rFonts w:ascii="Times New Roman" w:hAnsi="Times New Roman"/>
          <w:b/>
          <w:bCs/>
          <w:sz w:val="24"/>
          <w:lang w:val="en-US"/>
        </w:rPr>
        <w:t>enhancements to NR UL signals and channels for unlicensed operation</w:t>
      </w:r>
      <w:r w:rsidR="0030068F" w:rsidRPr="00C37487">
        <w:rPr>
          <w:rFonts w:ascii="Times New Roman" w:hAnsi="Times New Roman"/>
          <w:b/>
          <w:bCs/>
          <w:sz w:val="24"/>
          <w:lang w:val="en-US"/>
        </w:rPr>
        <w:t xml:space="preserve"> </w:t>
      </w:r>
      <w:r w:rsidR="00C41D5F" w:rsidRPr="00C37487">
        <w:rPr>
          <w:rFonts w:ascii="Times New Roman" w:hAnsi="Times New Roman"/>
          <w:b/>
          <w:bCs/>
          <w:sz w:val="24"/>
          <w:lang w:val="en-US"/>
        </w:rPr>
        <w:t xml:space="preserve"> </w:t>
      </w:r>
      <w:r w:rsidR="00725BA7" w:rsidRPr="00C37487">
        <w:rPr>
          <w:rFonts w:ascii="Times New Roman" w:hAnsi="Times New Roman"/>
          <w:b/>
          <w:bCs/>
          <w:sz w:val="24"/>
          <w:lang w:val="en-US"/>
        </w:rPr>
        <w:t xml:space="preserve"> </w:t>
      </w:r>
    </w:p>
    <w:p w14:paraId="1DBC2C9C" w14:textId="77777777" w:rsidR="007122C4" w:rsidRPr="00C37487" w:rsidRDefault="001F3AEC" w:rsidP="004244DD">
      <w:pPr>
        <w:widowControl w:val="0"/>
        <w:pBdr>
          <w:bottom w:val="single" w:sz="12" w:space="1" w:color="auto"/>
        </w:pBdr>
        <w:autoSpaceDE w:val="0"/>
        <w:autoSpaceDN w:val="0"/>
        <w:spacing w:after="0" w:line="360" w:lineRule="auto"/>
        <w:rPr>
          <w:rFonts w:ascii="Times New Roman" w:hAnsi="Times New Roman"/>
          <w:snapToGrid w:val="0"/>
          <w:kern w:val="2"/>
          <w:sz w:val="24"/>
          <w:lang w:val="en-US" w:eastAsia="ko-KR"/>
        </w:rPr>
      </w:pPr>
      <w:r w:rsidRPr="00C37487">
        <w:rPr>
          <w:rFonts w:ascii="Times New Roman" w:hAnsi="Times New Roman"/>
          <w:b/>
          <w:snapToGrid w:val="0"/>
          <w:kern w:val="2"/>
          <w:sz w:val="24"/>
          <w:lang w:val="en-US" w:eastAsia="ko-KR"/>
        </w:rPr>
        <w:t>Document for:</w:t>
      </w:r>
      <w:r w:rsidRPr="00C37487">
        <w:rPr>
          <w:rFonts w:ascii="Times New Roman" w:hAnsi="Times New Roman"/>
          <w:snapToGrid w:val="0"/>
          <w:kern w:val="2"/>
          <w:sz w:val="24"/>
          <w:lang w:val="en-US" w:eastAsia="ko-KR"/>
        </w:rPr>
        <w:t xml:space="preserve"> </w:t>
      </w:r>
      <w:r w:rsidRPr="00C37487">
        <w:rPr>
          <w:rFonts w:ascii="Times New Roman" w:hAnsi="Times New Roman"/>
          <w:snapToGrid w:val="0"/>
          <w:kern w:val="2"/>
          <w:sz w:val="24"/>
          <w:lang w:val="en-US" w:eastAsia="ko-KR"/>
        </w:rPr>
        <w:tab/>
      </w:r>
      <w:r w:rsidRPr="00C37487">
        <w:rPr>
          <w:rFonts w:ascii="Times New Roman" w:hAnsi="Times New Roman"/>
          <w:b/>
          <w:snapToGrid w:val="0"/>
          <w:kern w:val="2"/>
          <w:sz w:val="24"/>
          <w:lang w:val="en-US" w:eastAsia="ko-KR"/>
        </w:rPr>
        <w:t>Discussion/Decision</w:t>
      </w:r>
    </w:p>
    <w:p w14:paraId="5708280C" w14:textId="77777777" w:rsidR="00623807" w:rsidRPr="00C37487" w:rsidRDefault="00E503C3" w:rsidP="003E615D">
      <w:pPr>
        <w:pStyle w:val="Heading1"/>
        <w:keepNext w:val="0"/>
        <w:widowControl w:val="0"/>
        <w:spacing w:before="360" w:after="120"/>
        <w:ind w:left="518" w:hanging="518"/>
        <w:rPr>
          <w:rFonts w:ascii="Times New Roman" w:hAnsi="Times New Roman" w:cs="Times New Roman"/>
          <w:sz w:val="28"/>
        </w:rPr>
      </w:pPr>
      <w:r w:rsidRPr="00C37487">
        <w:rPr>
          <w:rFonts w:ascii="Times New Roman" w:hAnsi="Times New Roman" w:cs="Times New Roman"/>
          <w:sz w:val="28"/>
        </w:rPr>
        <w:t>Introduction</w:t>
      </w:r>
      <w:r w:rsidR="00DE31C2" w:rsidRPr="00C37487">
        <w:rPr>
          <w:rFonts w:ascii="Times New Roman" w:hAnsi="Times New Roman" w:cs="Times New Roman"/>
          <w:sz w:val="28"/>
        </w:rPr>
        <w:t xml:space="preserve"> </w:t>
      </w:r>
    </w:p>
    <w:p w14:paraId="021D9C37" w14:textId="0EF33BEB" w:rsidR="00396B04" w:rsidRPr="00C37487" w:rsidRDefault="00396B04" w:rsidP="003E615D">
      <w:pPr>
        <w:rPr>
          <w:rFonts w:ascii="Times New Roman" w:hAnsi="Times New Roman"/>
        </w:rPr>
      </w:pPr>
      <w:r w:rsidRPr="00C37487">
        <w:rPr>
          <w:rFonts w:ascii="Times New Roman" w:hAnsi="Times New Roman"/>
        </w:rPr>
        <w:t xml:space="preserve">In </w:t>
      </w:r>
      <w:r w:rsidR="005075EC" w:rsidRPr="00C37487">
        <w:rPr>
          <w:rFonts w:ascii="Times New Roman" w:hAnsi="Times New Roman"/>
        </w:rPr>
        <w:t xml:space="preserve">TSG RAN meeting #77 [1], a new study item </w:t>
      </w:r>
      <w:r w:rsidR="00400012">
        <w:rPr>
          <w:rFonts w:ascii="Times New Roman" w:hAnsi="Times New Roman"/>
        </w:rPr>
        <w:t xml:space="preserve">(SI) </w:t>
      </w:r>
      <w:r w:rsidR="005075EC" w:rsidRPr="00C37487">
        <w:rPr>
          <w:rFonts w:ascii="Times New Roman" w:hAnsi="Times New Roman"/>
        </w:rPr>
        <w:t xml:space="preserve">on “NR-Based Access to Unlicensed Spectrum” was approved </w:t>
      </w:r>
      <w:r w:rsidR="000B0F12" w:rsidRPr="00C37487">
        <w:rPr>
          <w:rFonts w:ascii="Times New Roman" w:hAnsi="Times New Roman"/>
        </w:rPr>
        <w:t>with</w:t>
      </w:r>
      <w:r w:rsidR="005075EC" w:rsidRPr="00C37487">
        <w:rPr>
          <w:rFonts w:ascii="Times New Roman" w:hAnsi="Times New Roman"/>
        </w:rPr>
        <w:t xml:space="preserve"> the following objectives:</w:t>
      </w:r>
    </w:p>
    <w:p w14:paraId="19F00F69" w14:textId="77777777" w:rsidR="000B0F12" w:rsidRPr="00C37487" w:rsidRDefault="000B0F12" w:rsidP="00876D60">
      <w:pPr>
        <w:numPr>
          <w:ilvl w:val="0"/>
          <w:numId w:val="8"/>
        </w:numPr>
        <w:overflowPunct w:val="0"/>
        <w:autoSpaceDE w:val="0"/>
        <w:autoSpaceDN w:val="0"/>
        <w:adjustRightInd w:val="0"/>
        <w:spacing w:after="180"/>
        <w:ind w:left="360"/>
        <w:rPr>
          <w:rFonts w:ascii="Times New Roman" w:hAnsi="Times New Roman"/>
          <w:bCs/>
          <w:i/>
          <w:lang w:val="en-US"/>
        </w:rPr>
      </w:pPr>
      <w:r w:rsidRPr="00C37487">
        <w:rPr>
          <w:rFonts w:ascii="Times New Roman" w:hAnsi="Times New Roman"/>
          <w:bCs/>
          <w:i/>
          <w:lang w:val="en-US"/>
        </w:rPr>
        <w:t xml:space="preserve">Study NR-based operation in unlicensed spectrum (RAN1, RAN2, RAN4) including </w:t>
      </w:r>
    </w:p>
    <w:p w14:paraId="298BE28D" w14:textId="77777777" w:rsidR="000B0F12" w:rsidRPr="00C37487" w:rsidRDefault="000B0F12" w:rsidP="00876D60">
      <w:pPr>
        <w:numPr>
          <w:ilvl w:val="1"/>
          <w:numId w:val="9"/>
        </w:numPr>
        <w:overflowPunct w:val="0"/>
        <w:autoSpaceDE w:val="0"/>
        <w:autoSpaceDN w:val="0"/>
        <w:adjustRightInd w:val="0"/>
        <w:spacing w:after="0"/>
        <w:ind w:left="1080"/>
        <w:rPr>
          <w:rFonts w:ascii="Times New Roman" w:hAnsi="Times New Roman"/>
          <w:bCs/>
          <w:i/>
          <w:lang w:val="en-US"/>
        </w:rPr>
      </w:pPr>
      <w:r w:rsidRPr="00C37487">
        <w:rPr>
          <w:rFonts w:ascii="Times New Roman" w:hAnsi="Times New Roman"/>
          <w:bCs/>
          <w:i/>
          <w:lang w:val="en-US"/>
        </w:rPr>
        <w:t>Physical channels inheriting the choices of duplex mode, waveform, carrier bandwidth, subcarrier spacing, frame structure, and physical layer design made as part of the NR study and avoiding unnecessary divergence with decisions made in the NR WI</w:t>
      </w:r>
    </w:p>
    <w:p w14:paraId="767EF690" w14:textId="77777777" w:rsidR="000B0F12" w:rsidRPr="00C37487" w:rsidRDefault="000B0F12" w:rsidP="00876D60">
      <w:pPr>
        <w:numPr>
          <w:ilvl w:val="2"/>
          <w:numId w:val="9"/>
        </w:numPr>
        <w:overflowPunct w:val="0"/>
        <w:autoSpaceDE w:val="0"/>
        <w:autoSpaceDN w:val="0"/>
        <w:adjustRightInd w:val="0"/>
        <w:spacing w:after="0"/>
        <w:ind w:left="1800"/>
        <w:rPr>
          <w:rFonts w:ascii="Times New Roman" w:hAnsi="Times New Roman"/>
          <w:bCs/>
          <w:i/>
          <w:lang w:val="en-US"/>
        </w:rPr>
      </w:pPr>
      <w:r w:rsidRPr="00C37487">
        <w:rPr>
          <w:rFonts w:ascii="Times New Roman" w:hAnsi="Times New Roman"/>
          <w:bCs/>
          <w:i/>
          <w:lang w:val="en-US"/>
        </w:rPr>
        <w:t>Consider unlicensed bands both below and above 6GHz, up to 52.6GHz</w:t>
      </w:r>
    </w:p>
    <w:p w14:paraId="7FC5ED1E" w14:textId="77777777" w:rsidR="000B0F12" w:rsidRPr="00C37487" w:rsidRDefault="000B0F12" w:rsidP="00876D60">
      <w:pPr>
        <w:numPr>
          <w:ilvl w:val="2"/>
          <w:numId w:val="9"/>
        </w:numPr>
        <w:overflowPunct w:val="0"/>
        <w:autoSpaceDE w:val="0"/>
        <w:autoSpaceDN w:val="0"/>
        <w:adjustRightInd w:val="0"/>
        <w:spacing w:after="0"/>
        <w:ind w:left="1800"/>
        <w:rPr>
          <w:rFonts w:ascii="Times New Roman" w:hAnsi="Times New Roman"/>
          <w:bCs/>
          <w:i/>
          <w:lang w:val="en-US"/>
        </w:rPr>
      </w:pPr>
      <w:r w:rsidRPr="00C37487">
        <w:rPr>
          <w:rFonts w:ascii="Times New Roman" w:hAnsi="Times New Roman"/>
          <w:bCs/>
          <w:i/>
          <w:lang w:val="en-US"/>
        </w:rPr>
        <w:t xml:space="preserve">Consider unlicensed bands above 52.6GHz to the extent that waveform design principles remain unchanged with respect to below 52.6GHz bands </w:t>
      </w:r>
    </w:p>
    <w:p w14:paraId="67268D02" w14:textId="77777777" w:rsidR="000B0F12" w:rsidRPr="00C37487" w:rsidRDefault="000B0F12" w:rsidP="00876D60">
      <w:pPr>
        <w:numPr>
          <w:ilvl w:val="2"/>
          <w:numId w:val="9"/>
        </w:numPr>
        <w:overflowPunct w:val="0"/>
        <w:autoSpaceDE w:val="0"/>
        <w:autoSpaceDN w:val="0"/>
        <w:adjustRightInd w:val="0"/>
        <w:spacing w:after="0"/>
        <w:ind w:left="1800"/>
        <w:rPr>
          <w:rFonts w:ascii="Times New Roman" w:hAnsi="Times New Roman"/>
          <w:bCs/>
          <w:i/>
          <w:lang w:val="en-US"/>
        </w:rPr>
      </w:pPr>
      <w:r w:rsidRPr="00C37487">
        <w:rPr>
          <w:rFonts w:ascii="Times New Roman" w:hAnsi="Times New Roman"/>
          <w:bCs/>
          <w:i/>
          <w:lang w:val="en-US" w:eastAsia="zh-CN"/>
        </w:rPr>
        <w:t>Consider similar forward compatibility principles made in the NR WI</w:t>
      </w:r>
      <w:r w:rsidRPr="00C37487">
        <w:rPr>
          <w:rFonts w:ascii="Times New Roman" w:hAnsi="Times New Roman"/>
          <w:bCs/>
          <w:i/>
          <w:lang w:val="en-US"/>
        </w:rPr>
        <w:t xml:space="preserve"> </w:t>
      </w:r>
    </w:p>
    <w:p w14:paraId="4CFC8255" w14:textId="77777777" w:rsidR="000B0F12" w:rsidRPr="00C37487" w:rsidRDefault="000B0F12" w:rsidP="00876D60">
      <w:pPr>
        <w:numPr>
          <w:ilvl w:val="1"/>
          <w:numId w:val="9"/>
        </w:numPr>
        <w:overflowPunct w:val="0"/>
        <w:autoSpaceDE w:val="0"/>
        <w:autoSpaceDN w:val="0"/>
        <w:adjustRightInd w:val="0"/>
        <w:spacing w:after="0"/>
        <w:ind w:left="1080"/>
        <w:rPr>
          <w:rFonts w:ascii="Times New Roman" w:hAnsi="Times New Roman"/>
          <w:bCs/>
          <w:i/>
        </w:rPr>
      </w:pPr>
      <w:r w:rsidRPr="00C37487">
        <w:rPr>
          <w:rFonts w:ascii="Times New Roman" w:hAnsi="Times New Roman"/>
          <w:bCs/>
          <w:i/>
        </w:rPr>
        <w:t>Initial access, channel access. Scheduling/HARQ, and mobility including connected/inactive/idle mode operation and radio-link monitoring/failure</w:t>
      </w:r>
    </w:p>
    <w:p w14:paraId="0E20D358" w14:textId="77777777" w:rsidR="000B0F12" w:rsidRPr="00C37487" w:rsidRDefault="000B0F12" w:rsidP="00876D60">
      <w:pPr>
        <w:numPr>
          <w:ilvl w:val="1"/>
          <w:numId w:val="9"/>
        </w:numPr>
        <w:overflowPunct w:val="0"/>
        <w:autoSpaceDE w:val="0"/>
        <w:autoSpaceDN w:val="0"/>
        <w:adjustRightInd w:val="0"/>
        <w:spacing w:after="0"/>
        <w:ind w:left="1080"/>
        <w:rPr>
          <w:rFonts w:ascii="Times New Roman" w:hAnsi="Times New Roman"/>
          <w:bCs/>
          <w:i/>
          <w:lang w:val="en-US"/>
        </w:rPr>
      </w:pPr>
      <w:r w:rsidRPr="00C37487">
        <w:rPr>
          <w:rFonts w:ascii="Times New Roman" w:hAnsi="Times New Roman"/>
          <w:bCs/>
          <w:i/>
          <w:lang w:val="en-US"/>
        </w:rPr>
        <w:t xml:space="preserve">Coexistence methods within NR-based and between NR-based operation in unlicensed and LTE-based LAA and with other incumbent RATs in accordance with regulatory requirements in e.g., 5GHz , 37GHz, 60GHz bands </w:t>
      </w:r>
    </w:p>
    <w:p w14:paraId="10F47828" w14:textId="3C069D0D" w:rsidR="000B0F12" w:rsidRPr="00861A18" w:rsidRDefault="000B0F12" w:rsidP="00876D60">
      <w:pPr>
        <w:numPr>
          <w:ilvl w:val="2"/>
          <w:numId w:val="9"/>
        </w:numPr>
        <w:overflowPunct w:val="0"/>
        <w:autoSpaceDE w:val="0"/>
        <w:autoSpaceDN w:val="0"/>
        <w:adjustRightInd w:val="0"/>
        <w:ind w:left="1800"/>
        <w:rPr>
          <w:rFonts w:ascii="Times New Roman" w:hAnsi="Times New Roman"/>
        </w:rPr>
      </w:pPr>
      <w:r w:rsidRPr="00861A18">
        <w:rPr>
          <w:rFonts w:ascii="Times New Roman" w:hAnsi="Times New Roman"/>
          <w:bCs/>
          <w:i/>
          <w:lang w:val="en-US"/>
        </w:rPr>
        <w:t>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w:t>
      </w:r>
    </w:p>
    <w:p w14:paraId="498E6DF2" w14:textId="77C1C225" w:rsidR="008357A9" w:rsidRDefault="000B0F12" w:rsidP="003E615D">
      <w:pPr>
        <w:rPr>
          <w:rFonts w:ascii="Times New Roman" w:hAnsi="Times New Roman"/>
        </w:rPr>
      </w:pPr>
      <w:r w:rsidRPr="00C37487">
        <w:rPr>
          <w:rFonts w:ascii="Times New Roman" w:hAnsi="Times New Roman"/>
        </w:rPr>
        <w:t xml:space="preserve">Within the scope of this SI, one of the primary objectives is to identify additional functionalities that needed for a PHY layer design </w:t>
      </w:r>
      <w:r w:rsidR="00400012">
        <w:rPr>
          <w:rFonts w:ascii="Times New Roman" w:hAnsi="Times New Roman"/>
        </w:rPr>
        <w:t>to operate</w:t>
      </w:r>
      <w:r w:rsidRPr="00C37487">
        <w:rPr>
          <w:rFonts w:ascii="Times New Roman" w:hAnsi="Times New Roman"/>
        </w:rPr>
        <w:t xml:space="preserve"> in unlicensed spectrum. </w:t>
      </w:r>
      <w:r w:rsidR="00B530F8" w:rsidRPr="00C37487">
        <w:rPr>
          <w:rFonts w:ascii="Times New Roman" w:hAnsi="Times New Roman"/>
        </w:rPr>
        <w:t xml:space="preserve"> </w:t>
      </w:r>
      <w:r w:rsidRPr="00C37487">
        <w:rPr>
          <w:rFonts w:ascii="Times New Roman" w:hAnsi="Times New Roman"/>
        </w:rPr>
        <w:t xml:space="preserve">In </w:t>
      </w:r>
      <w:r w:rsidR="00BE7A7B" w:rsidRPr="00C37487">
        <w:rPr>
          <w:rFonts w:ascii="Times New Roman" w:hAnsi="Times New Roman"/>
        </w:rPr>
        <w:t>particular</w:t>
      </w:r>
      <w:r w:rsidRPr="00C37487">
        <w:rPr>
          <w:rFonts w:ascii="Times New Roman" w:hAnsi="Times New Roman"/>
        </w:rPr>
        <w:t xml:space="preserve">, </w:t>
      </w:r>
      <w:r w:rsidR="00BA5DDA" w:rsidRPr="00C37487">
        <w:rPr>
          <w:rFonts w:ascii="Times New Roman" w:hAnsi="Times New Roman"/>
        </w:rPr>
        <w:t xml:space="preserve">it is desirable to minimize RAN1 design efforts by identifying </w:t>
      </w:r>
      <w:r w:rsidR="00400012">
        <w:rPr>
          <w:rFonts w:ascii="Times New Roman" w:hAnsi="Times New Roman"/>
        </w:rPr>
        <w:t xml:space="preserve">the </w:t>
      </w:r>
      <w:r w:rsidR="00BA5DDA" w:rsidRPr="00C37487">
        <w:rPr>
          <w:rFonts w:ascii="Times New Roman" w:hAnsi="Times New Roman"/>
        </w:rPr>
        <w:t xml:space="preserve">essential enhancements </w:t>
      </w:r>
      <w:r w:rsidR="00400012">
        <w:rPr>
          <w:rFonts w:ascii="Times New Roman" w:hAnsi="Times New Roman"/>
        </w:rPr>
        <w:t xml:space="preserve">needed </w:t>
      </w:r>
      <w:r w:rsidR="00A61CC0">
        <w:rPr>
          <w:rFonts w:ascii="Times New Roman" w:hAnsi="Times New Roman"/>
        </w:rPr>
        <w:t>for</w:t>
      </w:r>
      <w:r w:rsidR="00BA5DDA" w:rsidRPr="00C37487">
        <w:rPr>
          <w:rFonts w:ascii="Times New Roman" w:hAnsi="Times New Roman"/>
        </w:rPr>
        <w:t xml:space="preserve"> Rel-15 NR design </w:t>
      </w:r>
      <w:r w:rsidR="00A61CC0">
        <w:rPr>
          <w:rFonts w:ascii="Times New Roman" w:hAnsi="Times New Roman"/>
        </w:rPr>
        <w:t>to</w:t>
      </w:r>
      <w:r w:rsidR="00400012">
        <w:rPr>
          <w:rFonts w:ascii="Times New Roman" w:hAnsi="Times New Roman"/>
        </w:rPr>
        <w:t xml:space="preserve"> enabl</w:t>
      </w:r>
      <w:r w:rsidR="00A61CC0">
        <w:rPr>
          <w:rFonts w:ascii="Times New Roman" w:hAnsi="Times New Roman"/>
        </w:rPr>
        <w:t>e</w:t>
      </w:r>
      <w:r w:rsidR="00BA5DDA" w:rsidRPr="00C37487">
        <w:rPr>
          <w:rFonts w:ascii="Times New Roman" w:hAnsi="Times New Roman"/>
        </w:rPr>
        <w:t xml:space="preserve"> unlicensed </w:t>
      </w:r>
      <w:r w:rsidR="00400012">
        <w:rPr>
          <w:rFonts w:ascii="Times New Roman" w:hAnsi="Times New Roman"/>
        </w:rPr>
        <w:t>operation</w:t>
      </w:r>
      <w:r w:rsidR="00BA5DDA" w:rsidRPr="00C37487">
        <w:rPr>
          <w:rFonts w:ascii="Times New Roman" w:hAnsi="Times New Roman"/>
        </w:rPr>
        <w:t xml:space="preserve">, while </w:t>
      </w:r>
      <w:r w:rsidR="00400012">
        <w:rPr>
          <w:rFonts w:ascii="Times New Roman" w:hAnsi="Times New Roman"/>
        </w:rPr>
        <w:t>avoiding unnecessary divergence from</w:t>
      </w:r>
      <w:r w:rsidR="00BA5DDA" w:rsidRPr="00C37487">
        <w:rPr>
          <w:rFonts w:ascii="Times New Roman" w:hAnsi="Times New Roman"/>
        </w:rPr>
        <w:t xml:space="preserve"> </w:t>
      </w:r>
      <w:r w:rsidR="008357A9">
        <w:rPr>
          <w:rFonts w:ascii="Times New Roman" w:hAnsi="Times New Roman"/>
        </w:rPr>
        <w:t xml:space="preserve">Rel-15 </w:t>
      </w:r>
      <w:r w:rsidR="00400012">
        <w:rPr>
          <w:rFonts w:ascii="Times New Roman" w:hAnsi="Times New Roman"/>
        </w:rPr>
        <w:t>NR framework</w:t>
      </w:r>
      <w:r w:rsidR="00BA5DDA" w:rsidRPr="00C37487">
        <w:rPr>
          <w:rFonts w:ascii="Times New Roman" w:hAnsi="Times New Roman"/>
        </w:rPr>
        <w:t>.</w:t>
      </w:r>
      <w:r w:rsidR="00BE7A7B" w:rsidRPr="00C37487">
        <w:rPr>
          <w:rFonts w:ascii="Times New Roman" w:hAnsi="Times New Roman"/>
        </w:rPr>
        <w:t xml:space="preserve"> In this context, we will discuss </w:t>
      </w:r>
      <w:r w:rsidR="008357A9">
        <w:rPr>
          <w:rFonts w:ascii="Times New Roman" w:hAnsi="Times New Roman"/>
        </w:rPr>
        <w:t xml:space="preserve">in this contribution </w:t>
      </w:r>
      <w:r w:rsidR="00BE7A7B" w:rsidRPr="00C37487">
        <w:rPr>
          <w:rFonts w:ascii="Times New Roman" w:hAnsi="Times New Roman"/>
        </w:rPr>
        <w:t>the</w:t>
      </w:r>
      <w:r w:rsidR="008357A9">
        <w:rPr>
          <w:rFonts w:ascii="Times New Roman" w:hAnsi="Times New Roman"/>
        </w:rPr>
        <w:t xml:space="preserve"> following</w:t>
      </w:r>
      <w:r w:rsidR="00A61CC0">
        <w:rPr>
          <w:rFonts w:ascii="Times New Roman" w:hAnsi="Times New Roman"/>
        </w:rPr>
        <w:t>s</w:t>
      </w:r>
      <w:r w:rsidR="008357A9">
        <w:rPr>
          <w:rFonts w:ascii="Times New Roman" w:hAnsi="Times New Roman"/>
        </w:rPr>
        <w:t>:</w:t>
      </w:r>
    </w:p>
    <w:p w14:paraId="2AE9ADC3" w14:textId="5F41EAAB" w:rsidR="008357A9" w:rsidRDefault="008357A9" w:rsidP="00876D60">
      <w:pPr>
        <w:pStyle w:val="ListParagraph"/>
        <w:numPr>
          <w:ilvl w:val="0"/>
          <w:numId w:val="13"/>
        </w:numPr>
        <w:spacing w:after="0"/>
      </w:pPr>
      <w:r>
        <w:t>R</w:t>
      </w:r>
      <w:r w:rsidR="00BE7A7B" w:rsidRPr="008357A9">
        <w:t xml:space="preserve">egulatory constraints that restrict the direct usage of NR-licensed platform </w:t>
      </w:r>
      <w:r>
        <w:t>to</w:t>
      </w:r>
      <w:r w:rsidR="00BE7A7B" w:rsidRPr="008357A9">
        <w:t xml:space="preserve"> the unlicensed </w:t>
      </w:r>
      <w:r>
        <w:t>domain</w:t>
      </w:r>
      <w:r w:rsidR="00A61CC0">
        <w:t>.</w:t>
      </w:r>
    </w:p>
    <w:p w14:paraId="2C03EF22" w14:textId="1C82351F" w:rsidR="00F770AA" w:rsidRPr="008357A9" w:rsidRDefault="008357A9" w:rsidP="00876D60">
      <w:pPr>
        <w:pStyle w:val="ListParagraph"/>
        <w:numPr>
          <w:ilvl w:val="0"/>
          <w:numId w:val="13"/>
        </w:numPr>
        <w:spacing w:after="0"/>
      </w:pPr>
      <w:r>
        <w:t>P</w:t>
      </w:r>
      <w:r w:rsidR="00BE7A7B" w:rsidRPr="008357A9">
        <w:t xml:space="preserve">otential enhancements </w:t>
      </w:r>
      <w:r w:rsidR="00A61CC0">
        <w:t>of NR UL signals/</w:t>
      </w:r>
      <w:r w:rsidR="00BE7A7B" w:rsidRPr="008357A9">
        <w:t>channels</w:t>
      </w:r>
      <w:r w:rsidR="00684676" w:rsidRPr="008357A9">
        <w:t xml:space="preserve"> </w:t>
      </w:r>
      <w:r w:rsidR="00BE7A7B" w:rsidRPr="008357A9">
        <w:t xml:space="preserve">required for NR-unlicensed </w:t>
      </w:r>
      <w:r w:rsidR="00684676" w:rsidRPr="008357A9">
        <w:t>operation</w:t>
      </w:r>
      <w:r>
        <w:t>, in our view</w:t>
      </w:r>
      <w:r w:rsidR="00BE7A7B" w:rsidRPr="008357A9">
        <w:t>.</w:t>
      </w:r>
    </w:p>
    <w:p w14:paraId="1729F230" w14:textId="15769DF2" w:rsidR="00B530F8" w:rsidRPr="00C37487" w:rsidRDefault="00BB4EDB" w:rsidP="003E615D">
      <w:pPr>
        <w:pStyle w:val="Heading1"/>
        <w:keepNext w:val="0"/>
        <w:widowControl w:val="0"/>
        <w:spacing w:before="360" w:after="120"/>
        <w:ind w:left="518" w:hanging="518"/>
        <w:rPr>
          <w:rFonts w:ascii="Times New Roman" w:hAnsi="Times New Roman" w:cs="Times New Roman"/>
          <w:sz w:val="28"/>
        </w:rPr>
      </w:pPr>
      <w:r w:rsidRPr="00C37487">
        <w:rPr>
          <w:rFonts w:ascii="Times New Roman" w:hAnsi="Times New Roman" w:cs="Times New Roman"/>
          <w:sz w:val="28"/>
        </w:rPr>
        <w:t xml:space="preserve">Understanding </w:t>
      </w:r>
      <w:r w:rsidR="005A7CD7">
        <w:rPr>
          <w:rFonts w:ascii="Times New Roman" w:hAnsi="Times New Roman" w:cs="Times New Roman"/>
          <w:sz w:val="28"/>
        </w:rPr>
        <w:t xml:space="preserve">regulations </w:t>
      </w:r>
      <w:r w:rsidR="00E55813">
        <w:rPr>
          <w:rFonts w:ascii="Times New Roman" w:hAnsi="Times New Roman" w:cs="Times New Roman"/>
          <w:sz w:val="28"/>
        </w:rPr>
        <w:t xml:space="preserve">in unlicensed </w:t>
      </w:r>
      <w:r w:rsidR="00B53353">
        <w:rPr>
          <w:rFonts w:ascii="Times New Roman" w:hAnsi="Times New Roman" w:cs="Times New Roman"/>
          <w:sz w:val="28"/>
        </w:rPr>
        <w:t>spectrum</w:t>
      </w:r>
    </w:p>
    <w:p w14:paraId="776FC1A4" w14:textId="46F02304" w:rsidR="001F28B2" w:rsidRPr="00C37487" w:rsidRDefault="00BB4EDB" w:rsidP="003E615D">
      <w:pPr>
        <w:spacing w:before="120" w:after="0"/>
        <w:rPr>
          <w:rFonts w:ascii="Times New Roman" w:hAnsi="Times New Roman"/>
        </w:rPr>
      </w:pPr>
      <w:r w:rsidRPr="00C37487">
        <w:rPr>
          <w:rFonts w:ascii="Times New Roman" w:hAnsi="Times New Roman"/>
        </w:rPr>
        <w:t xml:space="preserve">Spectrum regulatory requirements </w:t>
      </w:r>
      <w:r w:rsidR="00B53353">
        <w:rPr>
          <w:rFonts w:ascii="Times New Roman" w:hAnsi="Times New Roman"/>
        </w:rPr>
        <w:t>must</w:t>
      </w:r>
      <w:r w:rsidRPr="00C37487">
        <w:rPr>
          <w:rFonts w:ascii="Times New Roman" w:hAnsi="Times New Roman"/>
        </w:rPr>
        <w:t xml:space="preserve"> be mandatorily met by networks and systems operating in unlicensed spectrum. One of </w:t>
      </w:r>
      <w:r w:rsidR="00B53353">
        <w:rPr>
          <w:rFonts w:ascii="Times New Roman" w:hAnsi="Times New Roman"/>
        </w:rPr>
        <w:t>such</w:t>
      </w:r>
      <w:r w:rsidRPr="00C37487">
        <w:rPr>
          <w:rFonts w:ascii="Times New Roman" w:hAnsi="Times New Roman"/>
        </w:rPr>
        <w:t xml:space="preserve"> </w:t>
      </w:r>
      <w:r w:rsidR="00B53353" w:rsidRPr="00C37487">
        <w:rPr>
          <w:rFonts w:ascii="Times New Roman" w:hAnsi="Times New Roman"/>
        </w:rPr>
        <w:t>regulator</w:t>
      </w:r>
      <w:r w:rsidR="00B53353">
        <w:rPr>
          <w:rFonts w:ascii="Times New Roman" w:hAnsi="Times New Roman"/>
        </w:rPr>
        <w:t>y restrictions</w:t>
      </w:r>
      <w:r w:rsidRPr="00C37487">
        <w:rPr>
          <w:rFonts w:ascii="Times New Roman" w:hAnsi="Times New Roman"/>
        </w:rPr>
        <w:t xml:space="preserve"> i</w:t>
      </w:r>
      <w:r w:rsidR="00B53353">
        <w:rPr>
          <w:rFonts w:ascii="Times New Roman" w:hAnsi="Times New Roman"/>
        </w:rPr>
        <w:t>mposed on physical channels/</w:t>
      </w:r>
      <w:r w:rsidRPr="00C37487">
        <w:rPr>
          <w:rFonts w:ascii="Times New Roman" w:hAnsi="Times New Roman"/>
        </w:rPr>
        <w:t xml:space="preserve">signals operating in unlicensed spectrum is </w:t>
      </w:r>
      <w:r w:rsidR="00B53353">
        <w:rPr>
          <w:rFonts w:ascii="Times New Roman" w:hAnsi="Times New Roman"/>
        </w:rPr>
        <w:t xml:space="preserve">related to the </w:t>
      </w:r>
      <w:r w:rsidRPr="00C37487">
        <w:rPr>
          <w:rFonts w:ascii="Times New Roman" w:hAnsi="Times New Roman"/>
        </w:rPr>
        <w:t>bandwidth occupied by these channel</w:t>
      </w:r>
      <w:r w:rsidR="00B53353">
        <w:rPr>
          <w:rFonts w:ascii="Times New Roman" w:hAnsi="Times New Roman"/>
        </w:rPr>
        <w:t>s/</w:t>
      </w:r>
      <w:r w:rsidRPr="00C37487">
        <w:rPr>
          <w:rFonts w:ascii="Times New Roman" w:hAnsi="Times New Roman"/>
        </w:rPr>
        <w:t xml:space="preserve">signals, referred to as </w:t>
      </w:r>
      <w:r w:rsidR="00C37487">
        <w:rPr>
          <w:rFonts w:ascii="Times New Roman" w:hAnsi="Times New Roman"/>
          <w:i/>
        </w:rPr>
        <w:t>O</w:t>
      </w:r>
      <w:r w:rsidRPr="00C37487">
        <w:rPr>
          <w:rFonts w:ascii="Times New Roman" w:hAnsi="Times New Roman"/>
          <w:i/>
        </w:rPr>
        <w:t xml:space="preserve">ccupied </w:t>
      </w:r>
      <w:r w:rsidR="00C37487">
        <w:rPr>
          <w:rFonts w:ascii="Times New Roman" w:hAnsi="Times New Roman"/>
          <w:i/>
        </w:rPr>
        <w:t>C</w:t>
      </w:r>
      <w:r w:rsidRPr="00C37487">
        <w:rPr>
          <w:rFonts w:ascii="Times New Roman" w:hAnsi="Times New Roman"/>
          <w:i/>
        </w:rPr>
        <w:t xml:space="preserve">hannel </w:t>
      </w:r>
      <w:r w:rsidR="00C37487">
        <w:rPr>
          <w:rFonts w:ascii="Times New Roman" w:hAnsi="Times New Roman"/>
          <w:i/>
        </w:rPr>
        <w:t>B</w:t>
      </w:r>
      <w:r w:rsidRPr="00C37487">
        <w:rPr>
          <w:rFonts w:ascii="Times New Roman" w:hAnsi="Times New Roman"/>
          <w:i/>
        </w:rPr>
        <w:t>andwidth</w:t>
      </w:r>
      <w:r w:rsidR="00C37487">
        <w:rPr>
          <w:rFonts w:ascii="Times New Roman" w:hAnsi="Times New Roman"/>
          <w:i/>
        </w:rPr>
        <w:t xml:space="preserve"> </w:t>
      </w:r>
      <w:r w:rsidR="00C37487" w:rsidRPr="00C37487">
        <w:rPr>
          <w:rFonts w:ascii="Times New Roman" w:hAnsi="Times New Roman"/>
        </w:rPr>
        <w:t>(</w:t>
      </w:r>
      <w:r w:rsidR="00C37487">
        <w:rPr>
          <w:rFonts w:ascii="Times New Roman" w:hAnsi="Times New Roman"/>
        </w:rPr>
        <w:t>OCB)</w:t>
      </w:r>
      <w:r w:rsidRPr="00C37487">
        <w:rPr>
          <w:rFonts w:ascii="Times New Roman" w:hAnsi="Times New Roman"/>
        </w:rPr>
        <w:t xml:space="preserve">. The notion of </w:t>
      </w:r>
      <w:r w:rsidR="00C37487">
        <w:rPr>
          <w:rFonts w:ascii="Times New Roman" w:hAnsi="Times New Roman"/>
        </w:rPr>
        <w:t>OCB</w:t>
      </w:r>
      <w:r w:rsidRPr="00C37487">
        <w:rPr>
          <w:rFonts w:ascii="Times New Roman" w:hAnsi="Times New Roman"/>
        </w:rPr>
        <w:t xml:space="preserve"> is related to </w:t>
      </w:r>
      <w:r w:rsidR="00C37487">
        <w:rPr>
          <w:rFonts w:ascii="Times New Roman" w:hAnsi="Times New Roman"/>
          <w:i/>
        </w:rPr>
        <w:t>N</w:t>
      </w:r>
      <w:r w:rsidRPr="00C37487">
        <w:rPr>
          <w:rFonts w:ascii="Times New Roman" w:hAnsi="Times New Roman"/>
          <w:i/>
        </w:rPr>
        <w:t xml:space="preserve">ominal </w:t>
      </w:r>
      <w:r w:rsidR="00C37487">
        <w:rPr>
          <w:rFonts w:ascii="Times New Roman" w:hAnsi="Times New Roman"/>
          <w:i/>
        </w:rPr>
        <w:t>C</w:t>
      </w:r>
      <w:r w:rsidRPr="00C37487">
        <w:rPr>
          <w:rFonts w:ascii="Times New Roman" w:hAnsi="Times New Roman"/>
          <w:i/>
        </w:rPr>
        <w:t xml:space="preserve">hannel </w:t>
      </w:r>
      <w:r w:rsidR="00C37487">
        <w:rPr>
          <w:rFonts w:ascii="Times New Roman" w:hAnsi="Times New Roman"/>
          <w:i/>
        </w:rPr>
        <w:t>B</w:t>
      </w:r>
      <w:r w:rsidRPr="00C37487">
        <w:rPr>
          <w:rFonts w:ascii="Times New Roman" w:hAnsi="Times New Roman"/>
          <w:i/>
        </w:rPr>
        <w:t>andwidth</w:t>
      </w:r>
      <w:r w:rsidR="00C37487">
        <w:rPr>
          <w:rFonts w:ascii="Times New Roman" w:hAnsi="Times New Roman"/>
        </w:rPr>
        <w:t xml:space="preserve"> </w:t>
      </w:r>
      <w:r w:rsidR="00B53353">
        <w:rPr>
          <w:rFonts w:ascii="Times New Roman" w:hAnsi="Times New Roman"/>
        </w:rPr>
        <w:t xml:space="preserve">(NCB) defined </w:t>
      </w:r>
      <w:r w:rsidRPr="00C37487">
        <w:rPr>
          <w:rFonts w:ascii="Times New Roman" w:hAnsi="Times New Roman"/>
        </w:rPr>
        <w:t xml:space="preserve">by </w:t>
      </w:r>
      <w:r w:rsidR="00B53353">
        <w:rPr>
          <w:rFonts w:ascii="Times New Roman" w:hAnsi="Times New Roman"/>
        </w:rPr>
        <w:t xml:space="preserve">the </w:t>
      </w:r>
      <w:r w:rsidRPr="00C37487">
        <w:rPr>
          <w:rFonts w:ascii="Times New Roman" w:hAnsi="Times New Roman"/>
        </w:rPr>
        <w:t>regulatory authorities, and both these concepts are discussed in details below</w:t>
      </w:r>
      <w:r w:rsidR="00C37487" w:rsidRPr="00C37487">
        <w:rPr>
          <w:rFonts w:ascii="Times New Roman" w:hAnsi="Times New Roman"/>
        </w:rPr>
        <w:t>.</w:t>
      </w:r>
    </w:p>
    <w:p w14:paraId="68289EC3" w14:textId="2E8E3818" w:rsidR="00D640F4" w:rsidRPr="00C37487" w:rsidRDefault="002F2766" w:rsidP="003E615D">
      <w:pPr>
        <w:pStyle w:val="Heading2"/>
        <w:spacing w:after="120"/>
        <w:rPr>
          <w:rFonts w:cs="Times New Roman"/>
        </w:rPr>
      </w:pPr>
      <w:r w:rsidRPr="00C37487">
        <w:rPr>
          <w:rFonts w:cs="Times New Roman"/>
        </w:rPr>
        <w:t>Nominal Channel Bandwidth</w:t>
      </w:r>
      <w:r w:rsidR="00C37487">
        <w:rPr>
          <w:rFonts w:cs="Times New Roman"/>
        </w:rPr>
        <w:t xml:space="preserve"> (NCB)</w:t>
      </w:r>
    </w:p>
    <w:p w14:paraId="34AF4D94" w14:textId="057C3D67" w:rsidR="00861A18" w:rsidRDefault="00C37487" w:rsidP="00AE788F">
      <w:pPr>
        <w:spacing w:before="120" w:after="0"/>
      </w:pPr>
      <w:r>
        <w:t xml:space="preserve">The updated ETSI harmonised standard for 5 GHz </w:t>
      </w:r>
      <w:r w:rsidR="00B53353">
        <w:t xml:space="preserve">band </w:t>
      </w:r>
      <w:r>
        <w:t>defines NCB in section 4.2.2.1 of [2] as follows:</w:t>
      </w:r>
    </w:p>
    <w:p w14:paraId="458C0203" w14:textId="77777777" w:rsidR="00861A18" w:rsidRDefault="00861A18" w:rsidP="003E615D">
      <w:pPr>
        <w:spacing w:after="0"/>
      </w:pPr>
    </w:p>
    <w:tbl>
      <w:tblPr>
        <w:tblStyle w:val="TableGrid"/>
        <w:tblW w:w="9952" w:type="dxa"/>
        <w:tblLook w:val="04A0" w:firstRow="1" w:lastRow="0" w:firstColumn="1" w:lastColumn="0" w:noHBand="0" w:noVBand="1"/>
      </w:tblPr>
      <w:tblGrid>
        <w:gridCol w:w="9952"/>
      </w:tblGrid>
      <w:tr w:rsidR="00861A18" w14:paraId="6452CF48" w14:textId="77777777" w:rsidTr="00861A18">
        <w:trPr>
          <w:trHeight w:val="596"/>
        </w:trPr>
        <w:tc>
          <w:tcPr>
            <w:tcW w:w="9952" w:type="dxa"/>
          </w:tcPr>
          <w:p w14:paraId="05A9F619" w14:textId="67865EEB" w:rsidR="00861A18" w:rsidRPr="00861A18" w:rsidRDefault="00861A18" w:rsidP="003E615D">
            <w:pPr>
              <w:spacing w:before="120"/>
            </w:pPr>
            <w:r w:rsidRPr="00861A18">
              <w:rPr>
                <w:rFonts w:ascii="Times-Roman" w:hAnsi="Times-Roman"/>
                <w:color w:val="000000"/>
                <w:szCs w:val="20"/>
              </w:rPr>
              <w:t xml:space="preserve">The </w:t>
            </w:r>
            <w:r w:rsidRPr="00861A18">
              <w:rPr>
                <w:rFonts w:ascii="Times-Italic" w:hAnsi="Times-Italic"/>
                <w:i/>
                <w:iCs/>
                <w:color w:val="000000"/>
                <w:szCs w:val="20"/>
              </w:rPr>
              <w:t>Nominal Channel Bandwidth</w:t>
            </w:r>
            <w:r w:rsidRPr="00861A18">
              <w:rPr>
                <w:rFonts w:ascii="Times-Italic" w:hAnsi="Times-Italic"/>
                <w:iCs/>
                <w:color w:val="000000"/>
                <w:szCs w:val="20"/>
              </w:rPr>
              <w:t xml:space="preserve"> </w:t>
            </w:r>
            <w:r w:rsidRPr="00861A18">
              <w:rPr>
                <w:rFonts w:ascii="Times-Roman" w:hAnsi="Times-Roman"/>
                <w:color w:val="000000"/>
                <w:szCs w:val="20"/>
              </w:rPr>
              <w:t>is the widest band of frequencies, inclusive of guard bands, assigned to a single</w:t>
            </w:r>
            <w:r w:rsidRPr="00861A18">
              <w:rPr>
                <w:rFonts w:ascii="Times-Roman" w:hAnsi="Times-Roman"/>
                <w:color w:val="000000"/>
                <w:szCs w:val="20"/>
              </w:rPr>
              <w:br/>
              <w:t xml:space="preserve">channel. </w:t>
            </w:r>
          </w:p>
        </w:tc>
      </w:tr>
    </w:tbl>
    <w:p w14:paraId="1992093C" w14:textId="1F90D786" w:rsidR="00C37487" w:rsidRDefault="00C37487" w:rsidP="003E615D">
      <w:pPr>
        <w:spacing w:before="120"/>
        <w:rPr>
          <w:rFonts w:ascii="Times-Roman" w:hAnsi="Times-Roman" w:hint="eastAsia"/>
          <w:color w:val="000000"/>
          <w:szCs w:val="20"/>
        </w:rPr>
      </w:pPr>
      <w:r>
        <w:rPr>
          <w:rFonts w:ascii="Times-Roman" w:hAnsi="Times-Roman"/>
          <w:color w:val="000000"/>
          <w:szCs w:val="20"/>
        </w:rPr>
        <w:t xml:space="preserve">Further, </w:t>
      </w:r>
      <w:r w:rsidR="002E3E2D">
        <w:rPr>
          <w:rFonts w:ascii="Times-Roman" w:hAnsi="Times-Roman"/>
          <w:color w:val="000000"/>
          <w:szCs w:val="20"/>
        </w:rPr>
        <w:t xml:space="preserve">it </w:t>
      </w:r>
      <w:r w:rsidR="00B53353">
        <w:rPr>
          <w:rFonts w:ascii="Times-Roman" w:hAnsi="Times-Roman"/>
          <w:color w:val="000000"/>
          <w:szCs w:val="20"/>
        </w:rPr>
        <w:t xml:space="preserve">clarifies the </w:t>
      </w:r>
      <w:r w:rsidR="002E3E2D">
        <w:rPr>
          <w:rFonts w:ascii="Times-Roman" w:hAnsi="Times-Roman"/>
          <w:color w:val="000000"/>
          <w:szCs w:val="20"/>
        </w:rPr>
        <w:t>defin</w:t>
      </w:r>
      <w:r w:rsidR="00B53353">
        <w:rPr>
          <w:rFonts w:ascii="Times-Roman" w:hAnsi="Times-Roman"/>
          <w:color w:val="000000"/>
          <w:szCs w:val="20"/>
        </w:rPr>
        <w:t xml:space="preserve">ition of </w:t>
      </w:r>
      <w:r w:rsidR="002E3E2D">
        <w:rPr>
          <w:rFonts w:ascii="Times-Roman" w:hAnsi="Times-Roman"/>
          <w:color w:val="000000"/>
          <w:szCs w:val="20"/>
        </w:rPr>
        <w:t>NCB</w:t>
      </w:r>
      <w:r w:rsidR="00B53353">
        <w:rPr>
          <w:rFonts w:ascii="Times-Roman" w:hAnsi="Times-Roman"/>
          <w:color w:val="000000"/>
          <w:szCs w:val="20"/>
        </w:rPr>
        <w:t xml:space="preserve">, </w:t>
      </w:r>
      <w:r w:rsidR="002E3E2D">
        <w:rPr>
          <w:rFonts w:ascii="Times-Roman" w:hAnsi="Times-Roman"/>
          <w:color w:val="000000"/>
          <w:szCs w:val="20"/>
        </w:rPr>
        <w:t xml:space="preserve">in case of simultaneous transmission </w:t>
      </w:r>
      <w:r w:rsidR="00B53353">
        <w:rPr>
          <w:rFonts w:ascii="Times-Roman" w:hAnsi="Times-Roman"/>
          <w:color w:val="000000"/>
          <w:szCs w:val="20"/>
        </w:rPr>
        <w:t xml:space="preserve">over a number of </w:t>
      </w:r>
      <w:r w:rsidR="002E3E2D">
        <w:rPr>
          <w:rFonts w:ascii="Times-Roman" w:hAnsi="Times-Roman"/>
          <w:color w:val="000000"/>
          <w:szCs w:val="20"/>
        </w:rPr>
        <w:t>adjacent channels</w:t>
      </w:r>
      <w:r w:rsidR="00B53353">
        <w:rPr>
          <w:rFonts w:ascii="Times-Roman" w:hAnsi="Times-Roman"/>
          <w:color w:val="000000"/>
          <w:szCs w:val="20"/>
        </w:rPr>
        <w:t>, under</w:t>
      </w:r>
      <w:r w:rsidR="002E3E2D">
        <w:rPr>
          <w:rFonts w:ascii="Times-Roman" w:hAnsi="Times-Roman"/>
          <w:color w:val="000000"/>
          <w:szCs w:val="20"/>
        </w:rPr>
        <w:t xml:space="preserve"> the same section </w:t>
      </w:r>
      <w:r w:rsidR="00B53353">
        <w:rPr>
          <w:rFonts w:ascii="Times-Roman" w:hAnsi="Times-Roman"/>
          <w:color w:val="000000"/>
          <w:szCs w:val="20"/>
        </w:rPr>
        <w:t>of [2] as follows</w:t>
      </w:r>
      <w:r w:rsidR="002E3E2D">
        <w:rPr>
          <w:rFonts w:ascii="Times-Roman" w:hAnsi="Times-Roman"/>
          <w:color w:val="000000"/>
          <w:szCs w:val="20"/>
        </w:rPr>
        <w:t>:</w:t>
      </w:r>
    </w:p>
    <w:tbl>
      <w:tblPr>
        <w:tblStyle w:val="TableGrid"/>
        <w:tblW w:w="0" w:type="auto"/>
        <w:tblLook w:val="04A0" w:firstRow="1" w:lastRow="0" w:firstColumn="1" w:lastColumn="0" w:noHBand="0" w:noVBand="1"/>
      </w:tblPr>
      <w:tblGrid>
        <w:gridCol w:w="9919"/>
      </w:tblGrid>
      <w:tr w:rsidR="00861A18" w14:paraId="255B5461" w14:textId="77777777" w:rsidTr="00861A18">
        <w:tc>
          <w:tcPr>
            <w:tcW w:w="9919" w:type="dxa"/>
          </w:tcPr>
          <w:p w14:paraId="7257977C" w14:textId="73B80DF5" w:rsidR="00861A18" w:rsidRDefault="00861A18" w:rsidP="003E615D">
            <w:pPr>
              <w:spacing w:before="120"/>
              <w:rPr>
                <w:rFonts w:ascii="Times-Roman" w:hAnsi="Times-Roman" w:hint="eastAsia"/>
                <w:color w:val="000000"/>
                <w:szCs w:val="20"/>
              </w:rPr>
            </w:pPr>
            <w:r w:rsidRPr="00861A18">
              <w:rPr>
                <w:rFonts w:ascii="Times-Roman" w:hAnsi="Times-Roman"/>
                <w:color w:val="000000"/>
                <w:szCs w:val="20"/>
              </w:rPr>
              <w:lastRenderedPageBreak/>
              <w:t>When equipment has simultaneous transmissions in adjacent channels, these transmissions may be considered as one</w:t>
            </w:r>
            <w:r w:rsidRPr="00861A18">
              <w:rPr>
                <w:rFonts w:ascii="Times-Roman" w:hAnsi="Times-Roman"/>
                <w:color w:val="000000"/>
                <w:szCs w:val="20"/>
              </w:rPr>
              <w:br/>
              <w:t xml:space="preserve">signal with an actual </w:t>
            </w:r>
            <w:r w:rsidRPr="00861A18">
              <w:rPr>
                <w:rFonts w:ascii="Times-Italic" w:hAnsi="Times-Italic"/>
                <w:i/>
                <w:iCs/>
                <w:color w:val="000000"/>
                <w:szCs w:val="20"/>
              </w:rPr>
              <w:t>Nominal Channel Bandwidth</w:t>
            </w:r>
            <w:r w:rsidRPr="00861A18">
              <w:rPr>
                <w:rFonts w:ascii="Times-Italic" w:hAnsi="Times-Italic"/>
                <w:iCs/>
                <w:color w:val="000000"/>
                <w:szCs w:val="20"/>
              </w:rPr>
              <w:t xml:space="preserve"> </w:t>
            </w:r>
            <w:r w:rsidRPr="00861A18">
              <w:rPr>
                <w:rFonts w:ascii="Times-Roman" w:hAnsi="Times-Roman"/>
                <w:color w:val="000000"/>
                <w:szCs w:val="20"/>
              </w:rPr>
              <w:t xml:space="preserve">of "n" times the individual </w:t>
            </w:r>
            <w:r w:rsidRPr="00861A18">
              <w:rPr>
                <w:rFonts w:ascii="Times-Italic" w:hAnsi="Times-Italic"/>
                <w:i/>
                <w:iCs/>
                <w:color w:val="000000"/>
                <w:szCs w:val="20"/>
              </w:rPr>
              <w:t>Nominal Channel Bandwidth</w:t>
            </w:r>
            <w:r w:rsidRPr="00861A18">
              <w:rPr>
                <w:rFonts w:ascii="Times-Italic" w:hAnsi="Times-Italic"/>
                <w:iCs/>
                <w:color w:val="000000"/>
                <w:szCs w:val="20"/>
              </w:rPr>
              <w:t xml:space="preserve"> </w:t>
            </w:r>
            <w:r w:rsidRPr="00861A18">
              <w:rPr>
                <w:rFonts w:ascii="Times-Roman" w:hAnsi="Times-Roman"/>
                <w:color w:val="000000"/>
                <w:szCs w:val="20"/>
              </w:rPr>
              <w:t>where "n" is</w:t>
            </w:r>
            <w:r w:rsidRPr="00861A18">
              <w:rPr>
                <w:rFonts w:ascii="Times-Roman" w:hAnsi="Times-Roman"/>
                <w:color w:val="000000"/>
                <w:szCs w:val="20"/>
              </w:rPr>
              <w:br/>
              <w:t>the number of adjacent channels. When equipment has simultaneous transmissions in non-adjacent channels, each</w:t>
            </w:r>
            <w:r w:rsidRPr="00861A18">
              <w:rPr>
                <w:rFonts w:ascii="Times-Roman" w:hAnsi="Times-Roman"/>
                <w:color w:val="000000"/>
                <w:szCs w:val="20"/>
              </w:rPr>
              <w:br/>
              <w:t>power envelope shall be considered separately</w:t>
            </w:r>
            <w:r>
              <w:rPr>
                <w:rFonts w:ascii="Times-Roman" w:hAnsi="Times-Roman"/>
                <w:i/>
                <w:color w:val="000000"/>
                <w:szCs w:val="20"/>
              </w:rPr>
              <w:t>.</w:t>
            </w:r>
          </w:p>
        </w:tc>
      </w:tr>
    </w:tbl>
    <w:p w14:paraId="050049FE" w14:textId="2A5FA4A6" w:rsidR="002E3E2D" w:rsidRDefault="002E3E2D" w:rsidP="003E615D">
      <w:pPr>
        <w:spacing w:before="120" w:after="0"/>
      </w:pPr>
      <w:r>
        <w:rPr>
          <w:rFonts w:ascii="Times-Roman" w:hAnsi="Times-Roman"/>
          <w:color w:val="000000"/>
          <w:szCs w:val="20"/>
        </w:rPr>
        <w:t xml:space="preserve">In section 4.2.2.2 of [2], </w:t>
      </w:r>
      <w:r>
        <w:t xml:space="preserve">ETSI harmonised standard for 5 GHz </w:t>
      </w:r>
      <w:r w:rsidR="00DA1744">
        <w:t xml:space="preserve">band </w:t>
      </w:r>
      <w:r>
        <w:t>sets the limits on NCB as</w:t>
      </w:r>
      <w:r w:rsidR="00DA1744">
        <w:t xml:space="preserve"> well</w:t>
      </w:r>
      <w:r>
        <w:t>:</w:t>
      </w:r>
    </w:p>
    <w:p w14:paraId="273617CA" w14:textId="77777777" w:rsidR="00861A18" w:rsidRDefault="00861A18" w:rsidP="003E615D">
      <w:pPr>
        <w:spacing w:after="0"/>
      </w:pPr>
    </w:p>
    <w:tbl>
      <w:tblPr>
        <w:tblStyle w:val="TableGrid"/>
        <w:tblW w:w="0" w:type="auto"/>
        <w:tblLook w:val="04A0" w:firstRow="1" w:lastRow="0" w:firstColumn="1" w:lastColumn="0" w:noHBand="0" w:noVBand="1"/>
      </w:tblPr>
      <w:tblGrid>
        <w:gridCol w:w="9919"/>
      </w:tblGrid>
      <w:tr w:rsidR="00861A18" w14:paraId="7430253D" w14:textId="77777777" w:rsidTr="00861A18">
        <w:tc>
          <w:tcPr>
            <w:tcW w:w="9919" w:type="dxa"/>
          </w:tcPr>
          <w:p w14:paraId="1030D629" w14:textId="77777777" w:rsidR="00861A18" w:rsidRPr="00861A18" w:rsidRDefault="00861A18" w:rsidP="003E615D">
            <w:pPr>
              <w:spacing w:before="120" w:after="0"/>
              <w:rPr>
                <w:rFonts w:ascii="Times-Roman" w:hAnsi="Times-Roman" w:hint="eastAsia"/>
                <w:color w:val="000000"/>
                <w:szCs w:val="20"/>
              </w:rPr>
            </w:pPr>
            <w:r w:rsidRPr="00861A18">
              <w:rPr>
                <w:rFonts w:ascii="Times New Roman" w:hAnsi="Times New Roman"/>
                <w:i/>
                <w:color w:val="000000"/>
                <w:szCs w:val="20"/>
              </w:rPr>
              <w:t xml:space="preserve">The </w:t>
            </w:r>
            <w:r w:rsidRPr="00861A18">
              <w:rPr>
                <w:rFonts w:ascii="Times New Roman" w:hAnsi="Times New Roman"/>
                <w:i/>
                <w:iCs/>
                <w:color w:val="000000"/>
                <w:szCs w:val="20"/>
              </w:rPr>
              <w:t>Nominal Channel Bandwidth</w:t>
            </w:r>
            <w:r w:rsidRPr="00861A18">
              <w:rPr>
                <w:rFonts w:ascii="Times New Roman" w:hAnsi="Times New Roman"/>
                <w:iCs/>
                <w:color w:val="000000"/>
                <w:szCs w:val="20"/>
              </w:rPr>
              <w:t xml:space="preserve"> </w:t>
            </w:r>
            <w:r w:rsidRPr="00861A18">
              <w:rPr>
                <w:rFonts w:ascii="Times New Roman" w:hAnsi="Times New Roman"/>
                <w:color w:val="000000"/>
                <w:szCs w:val="20"/>
              </w:rPr>
              <w:t xml:space="preserve">for a single </w:t>
            </w:r>
            <w:r w:rsidRPr="00861A18">
              <w:rPr>
                <w:rFonts w:ascii="Times New Roman" w:hAnsi="Times New Roman"/>
                <w:iCs/>
                <w:color w:val="000000"/>
                <w:szCs w:val="20"/>
              </w:rPr>
              <w:t xml:space="preserve">Operating Channel </w:t>
            </w:r>
            <w:r w:rsidRPr="00861A18">
              <w:rPr>
                <w:rFonts w:ascii="Times New Roman" w:hAnsi="Times New Roman"/>
                <w:color w:val="000000"/>
                <w:szCs w:val="20"/>
              </w:rPr>
              <w:t>shall be 20 MHz</w:t>
            </w:r>
            <w:r w:rsidRPr="00861A18">
              <w:rPr>
                <w:rFonts w:ascii="Times-Roman" w:hAnsi="Times-Roman"/>
                <w:color w:val="000000"/>
                <w:szCs w:val="20"/>
              </w:rPr>
              <w:t xml:space="preserve">.  </w:t>
            </w:r>
          </w:p>
          <w:p w14:paraId="52F09FD2" w14:textId="323C4DFF" w:rsidR="00861A18" w:rsidRDefault="00861A18" w:rsidP="003E615D">
            <w:r w:rsidRPr="00861A18">
              <w:rPr>
                <w:rFonts w:ascii="Times-Roman" w:hAnsi="Times-Roman"/>
                <w:color w:val="000000"/>
                <w:szCs w:val="20"/>
              </w:rPr>
              <w:t xml:space="preserve">Alternatively, equipment may implement a lower </w:t>
            </w:r>
            <w:r w:rsidRPr="00861A18">
              <w:rPr>
                <w:rFonts w:ascii="Times-Italic" w:hAnsi="Times-Italic"/>
                <w:i/>
                <w:iCs/>
                <w:color w:val="000000"/>
                <w:szCs w:val="20"/>
              </w:rPr>
              <w:t>Nominal Channel Bandwidth</w:t>
            </w:r>
            <w:r w:rsidRPr="00861A18">
              <w:rPr>
                <w:rFonts w:ascii="Times-Italic" w:hAnsi="Times-Italic"/>
                <w:iCs/>
                <w:color w:val="000000"/>
                <w:szCs w:val="20"/>
              </w:rPr>
              <w:t xml:space="preserve"> </w:t>
            </w:r>
            <w:r w:rsidRPr="00861A18">
              <w:rPr>
                <w:rFonts w:ascii="Times-Roman" w:hAnsi="Times-Roman"/>
                <w:color w:val="000000"/>
                <w:szCs w:val="20"/>
              </w:rPr>
              <w:t>with a minimum of 5 MHz, providing</w:t>
            </w:r>
            <w:r w:rsidRPr="00861A18">
              <w:rPr>
                <w:rFonts w:ascii="Times-Roman" w:hAnsi="Times-Roman"/>
                <w:color w:val="000000"/>
                <w:szCs w:val="20"/>
              </w:rPr>
              <w:br/>
              <w:t xml:space="preserve">they still comply with the </w:t>
            </w:r>
            <w:r w:rsidRPr="00861A18">
              <w:rPr>
                <w:rFonts w:ascii="Times-Italic" w:hAnsi="Times-Italic"/>
                <w:i/>
                <w:iCs/>
                <w:color w:val="000000"/>
                <w:szCs w:val="20"/>
              </w:rPr>
              <w:t>Nominal Centre Frequencies</w:t>
            </w:r>
            <w:r w:rsidRPr="00861A18">
              <w:rPr>
                <w:rFonts w:ascii="Times-Italic" w:hAnsi="Times-Italic"/>
                <w:iCs/>
                <w:color w:val="000000"/>
                <w:szCs w:val="20"/>
              </w:rPr>
              <w:t xml:space="preserve"> </w:t>
            </w:r>
            <w:r w:rsidRPr="00861A18">
              <w:rPr>
                <w:rFonts w:ascii="Times-Roman" w:hAnsi="Times-Roman"/>
                <w:color w:val="000000"/>
                <w:szCs w:val="20"/>
              </w:rPr>
              <w:t>defined in clause 4.2.1 (20 MHz raster)</w:t>
            </w:r>
            <w:r w:rsidR="00DA1744">
              <w:rPr>
                <w:rFonts w:ascii="Times-Roman" w:hAnsi="Times-Roman"/>
                <w:color w:val="000000"/>
                <w:szCs w:val="20"/>
              </w:rPr>
              <w:t>.</w:t>
            </w:r>
          </w:p>
        </w:tc>
      </w:tr>
    </w:tbl>
    <w:p w14:paraId="426299C6" w14:textId="44E13074" w:rsidR="00AA593C" w:rsidRPr="00C37487" w:rsidRDefault="002E3E2D" w:rsidP="003E615D">
      <w:pPr>
        <w:spacing w:before="120" w:after="0"/>
        <w:rPr>
          <w:rFonts w:ascii="Times New Roman" w:hAnsi="Times New Roman"/>
        </w:rPr>
      </w:pPr>
      <w:r>
        <w:rPr>
          <w:rFonts w:ascii="Times-Roman" w:hAnsi="Times-Roman"/>
          <w:color w:val="000000"/>
          <w:szCs w:val="20"/>
        </w:rPr>
        <w:t xml:space="preserve">As per the above definitions and limits, it can be inferred that </w:t>
      </w:r>
      <w:r w:rsidR="008B5475">
        <w:rPr>
          <w:rFonts w:ascii="Times-Roman" w:hAnsi="Times-Roman"/>
          <w:color w:val="000000"/>
          <w:szCs w:val="20"/>
        </w:rPr>
        <w:t>NCB for a single channel is considered to be the entire band of frequencies assigned to the chan</w:t>
      </w:r>
      <w:r w:rsidR="00DA1744">
        <w:rPr>
          <w:rFonts w:ascii="Times-Roman" w:hAnsi="Times-Roman"/>
          <w:color w:val="000000"/>
          <w:szCs w:val="20"/>
        </w:rPr>
        <w:t xml:space="preserve">nel. In addition, when more than one </w:t>
      </w:r>
      <w:r w:rsidR="008B5475">
        <w:rPr>
          <w:rFonts w:ascii="Times-Roman" w:hAnsi="Times-Roman"/>
          <w:color w:val="000000"/>
          <w:szCs w:val="20"/>
        </w:rPr>
        <w:t xml:space="preserve">adjacent channels </w:t>
      </w:r>
      <w:r w:rsidR="00DA1744">
        <w:rPr>
          <w:rFonts w:ascii="Times-Roman" w:hAnsi="Times-Roman"/>
          <w:color w:val="000000"/>
          <w:szCs w:val="20"/>
        </w:rPr>
        <w:t xml:space="preserve">are </w:t>
      </w:r>
      <w:r w:rsidR="008B5475">
        <w:rPr>
          <w:rFonts w:ascii="Times-Roman" w:hAnsi="Times-Roman"/>
          <w:color w:val="000000"/>
          <w:szCs w:val="20"/>
        </w:rPr>
        <w:t xml:space="preserve">used in </w:t>
      </w:r>
      <w:r w:rsidR="00DA1744">
        <w:rPr>
          <w:rFonts w:ascii="Times-Roman" w:hAnsi="Times-Roman"/>
          <w:color w:val="000000"/>
          <w:szCs w:val="20"/>
        </w:rPr>
        <w:t>a</w:t>
      </w:r>
      <w:r w:rsidR="008B5475">
        <w:rPr>
          <w:rFonts w:ascii="Times-Roman" w:hAnsi="Times-Roman"/>
          <w:color w:val="000000"/>
          <w:szCs w:val="20"/>
        </w:rPr>
        <w:t xml:space="preserve"> transmission</w:t>
      </w:r>
      <w:r w:rsidR="00DA1744">
        <w:rPr>
          <w:rFonts w:ascii="Times-Roman" w:hAnsi="Times-Roman"/>
          <w:color w:val="000000"/>
          <w:szCs w:val="20"/>
        </w:rPr>
        <w:t>,</w:t>
      </w:r>
      <w:r w:rsidR="008B5475">
        <w:rPr>
          <w:rFonts w:ascii="Times-Roman" w:hAnsi="Times-Roman"/>
          <w:color w:val="000000"/>
          <w:szCs w:val="20"/>
        </w:rPr>
        <w:t xml:space="preserve"> </w:t>
      </w:r>
      <w:r w:rsidR="00DA1744">
        <w:rPr>
          <w:rFonts w:ascii="Times-Roman" w:hAnsi="Times-Roman"/>
          <w:color w:val="000000"/>
          <w:szCs w:val="20"/>
        </w:rPr>
        <w:t>all these channels are considered to be</w:t>
      </w:r>
      <w:r w:rsidR="008B5475">
        <w:rPr>
          <w:rFonts w:ascii="Times-Roman" w:hAnsi="Times-Roman"/>
          <w:color w:val="000000"/>
          <w:szCs w:val="20"/>
        </w:rPr>
        <w:t xml:space="preserve"> aggregated </w:t>
      </w:r>
      <w:r w:rsidR="00DA1744">
        <w:rPr>
          <w:rFonts w:ascii="Times-Roman" w:hAnsi="Times-Roman"/>
          <w:color w:val="000000"/>
          <w:szCs w:val="20"/>
        </w:rPr>
        <w:t xml:space="preserve">into a </w:t>
      </w:r>
      <w:r w:rsidR="008B5475">
        <w:rPr>
          <w:rFonts w:ascii="Times-Roman" w:hAnsi="Times-Roman"/>
          <w:color w:val="000000"/>
          <w:szCs w:val="20"/>
        </w:rPr>
        <w:t>single channel while defining the NCB of th</w:t>
      </w:r>
      <w:r w:rsidR="00DA1744">
        <w:rPr>
          <w:rFonts w:ascii="Times-Roman" w:hAnsi="Times-Roman"/>
          <w:color w:val="000000"/>
          <w:szCs w:val="20"/>
        </w:rPr>
        <w:t>at</w:t>
      </w:r>
      <w:r w:rsidR="008B5475">
        <w:rPr>
          <w:rFonts w:ascii="Times-Roman" w:hAnsi="Times-Roman"/>
          <w:color w:val="000000"/>
          <w:szCs w:val="20"/>
        </w:rPr>
        <w:t xml:space="preserve"> transmission. As an example, if a transmission occurs over two adjacent 20 MHz channels, the NCB of the transmission would be 40 MHz. </w:t>
      </w:r>
      <w:r w:rsidR="00582540">
        <w:rPr>
          <w:rFonts w:ascii="Times-Roman" w:hAnsi="Times-Roman"/>
          <w:color w:val="000000"/>
          <w:szCs w:val="20"/>
        </w:rPr>
        <w:t>Hence, the</w:t>
      </w:r>
      <w:r w:rsidR="008F189A">
        <w:rPr>
          <w:rFonts w:ascii="Times-Roman" w:hAnsi="Times-Roman"/>
          <w:color w:val="000000"/>
          <w:szCs w:val="20"/>
        </w:rPr>
        <w:t xml:space="preserve"> conformance test </w:t>
      </w:r>
      <w:r w:rsidR="004F75AE">
        <w:rPr>
          <w:rFonts w:ascii="Times-Roman" w:hAnsi="Times-Roman"/>
          <w:color w:val="000000"/>
          <w:szCs w:val="20"/>
        </w:rPr>
        <w:t xml:space="preserve">for OCB </w:t>
      </w:r>
      <w:r w:rsidR="00DA1744">
        <w:rPr>
          <w:rFonts w:ascii="Times-Roman" w:hAnsi="Times-Roman"/>
          <w:color w:val="000000"/>
          <w:szCs w:val="20"/>
        </w:rPr>
        <w:t xml:space="preserve">will be performed </w:t>
      </w:r>
      <w:r w:rsidR="00582540">
        <w:rPr>
          <w:rFonts w:ascii="Times-Roman" w:hAnsi="Times-Roman"/>
          <w:color w:val="000000"/>
          <w:szCs w:val="20"/>
        </w:rPr>
        <w:t>considering NCB as</w:t>
      </w:r>
      <w:r w:rsidR="00DA1744">
        <w:rPr>
          <w:rFonts w:ascii="Times-Roman" w:hAnsi="Times-Roman"/>
          <w:color w:val="000000"/>
          <w:szCs w:val="20"/>
        </w:rPr>
        <w:t xml:space="preserve"> </w:t>
      </w:r>
      <w:r w:rsidR="00582540">
        <w:rPr>
          <w:rFonts w:ascii="Times-Roman" w:hAnsi="Times-Roman"/>
          <w:color w:val="000000"/>
          <w:szCs w:val="20"/>
        </w:rPr>
        <w:t>40 MHz</w:t>
      </w:r>
      <w:r w:rsidR="008F189A">
        <w:rPr>
          <w:rFonts w:ascii="Times-Roman" w:hAnsi="Times-Roman"/>
          <w:color w:val="000000"/>
          <w:szCs w:val="20"/>
        </w:rPr>
        <w:t>.</w:t>
      </w:r>
    </w:p>
    <w:p w14:paraId="301F624C" w14:textId="7F817F14" w:rsidR="00861A18" w:rsidRDefault="00C37487" w:rsidP="003E615D">
      <w:pPr>
        <w:pStyle w:val="Heading2"/>
        <w:spacing w:after="120"/>
        <w:rPr>
          <w:rFonts w:cs="Times New Roman"/>
        </w:rPr>
      </w:pPr>
      <w:r>
        <w:rPr>
          <w:rFonts w:cs="Times New Roman"/>
        </w:rPr>
        <w:t>Occupied Channel Bandwidth (OCB)</w:t>
      </w:r>
    </w:p>
    <w:p w14:paraId="3FD2C524" w14:textId="238D10C2" w:rsidR="00861A18" w:rsidRDefault="00861A18" w:rsidP="003E615D">
      <w:pPr>
        <w:spacing w:before="120"/>
      </w:pPr>
      <w:r>
        <w:t xml:space="preserve">The notion of OCB, as defined by the updated ETSI harmonised standard for 5 GHz </w:t>
      </w:r>
      <w:r w:rsidR="004F75AE">
        <w:t>band</w:t>
      </w:r>
      <w:r>
        <w:t xml:space="preserve"> is as follows</w:t>
      </w:r>
      <w:r w:rsidR="004F75AE">
        <w:t xml:space="preserve"> [2]</w:t>
      </w:r>
      <w:r>
        <w:t>:</w:t>
      </w:r>
    </w:p>
    <w:tbl>
      <w:tblPr>
        <w:tblStyle w:val="TableGrid"/>
        <w:tblW w:w="0" w:type="auto"/>
        <w:tblLook w:val="04A0" w:firstRow="1" w:lastRow="0" w:firstColumn="1" w:lastColumn="0" w:noHBand="0" w:noVBand="1"/>
      </w:tblPr>
      <w:tblGrid>
        <w:gridCol w:w="9919"/>
      </w:tblGrid>
      <w:tr w:rsidR="00BC5607" w14:paraId="280FD6D5" w14:textId="77777777" w:rsidTr="00BC5607">
        <w:tc>
          <w:tcPr>
            <w:tcW w:w="9919" w:type="dxa"/>
          </w:tcPr>
          <w:p w14:paraId="16467554" w14:textId="1E5576BE" w:rsidR="00BC5607" w:rsidRDefault="00BC5607" w:rsidP="003E615D">
            <w:pPr>
              <w:spacing w:before="120"/>
            </w:pPr>
            <w:r w:rsidRPr="00BC5607">
              <w:rPr>
                <w:rFonts w:ascii="Times-Roman" w:hAnsi="Times-Roman"/>
                <w:color w:val="000000"/>
                <w:szCs w:val="20"/>
              </w:rPr>
              <w:t xml:space="preserve">The </w:t>
            </w:r>
            <w:r w:rsidRPr="00BC5607">
              <w:rPr>
                <w:rFonts w:ascii="Times-Italic" w:hAnsi="Times-Italic"/>
                <w:i/>
                <w:iCs/>
                <w:color w:val="000000"/>
                <w:szCs w:val="20"/>
              </w:rPr>
              <w:t xml:space="preserve">Occupied Channel Bandwidth </w:t>
            </w:r>
            <w:r w:rsidRPr="00BC5607">
              <w:rPr>
                <w:rFonts w:ascii="Times-Roman" w:hAnsi="Times-Roman"/>
                <w:color w:val="000000"/>
                <w:szCs w:val="20"/>
              </w:rPr>
              <w:t>is the bandwidth containing 99 % of the power of the signal</w:t>
            </w:r>
          </w:p>
        </w:tc>
      </w:tr>
    </w:tbl>
    <w:p w14:paraId="0B8308D5" w14:textId="5BB1BD92" w:rsidR="00BC5607" w:rsidRDefault="00FA03ED" w:rsidP="003E615D">
      <w:pPr>
        <w:spacing w:before="120"/>
      </w:pPr>
      <w:r>
        <w:t xml:space="preserve">Operation in unlicensed spectrum is regulated by the limits on OCB, imposed by </w:t>
      </w:r>
      <w:r w:rsidR="00C95B21">
        <w:t xml:space="preserve">the </w:t>
      </w:r>
      <w:r>
        <w:t xml:space="preserve">regulatory bodies [2]: </w:t>
      </w:r>
    </w:p>
    <w:tbl>
      <w:tblPr>
        <w:tblStyle w:val="TableGrid"/>
        <w:tblW w:w="0" w:type="auto"/>
        <w:tblLook w:val="04A0" w:firstRow="1" w:lastRow="0" w:firstColumn="1" w:lastColumn="0" w:noHBand="0" w:noVBand="1"/>
      </w:tblPr>
      <w:tblGrid>
        <w:gridCol w:w="9919"/>
      </w:tblGrid>
      <w:tr w:rsidR="008F4538" w14:paraId="7AACBF6C" w14:textId="77777777" w:rsidTr="008F4538">
        <w:tc>
          <w:tcPr>
            <w:tcW w:w="9919" w:type="dxa"/>
          </w:tcPr>
          <w:p w14:paraId="42741740" w14:textId="17F48D27" w:rsidR="008F4538" w:rsidRPr="008F4538" w:rsidRDefault="008F4538" w:rsidP="003E615D">
            <w:pPr>
              <w:spacing w:before="120"/>
              <w:rPr>
                <w:rFonts w:ascii="Times-Roman" w:hAnsi="Times-Roman" w:hint="eastAsia"/>
                <w:color w:val="000000"/>
                <w:szCs w:val="20"/>
              </w:rPr>
            </w:pPr>
            <w:r w:rsidRPr="008F4538">
              <w:rPr>
                <w:rFonts w:ascii="Times-Roman" w:hAnsi="Times-Roman"/>
                <w:color w:val="000000"/>
                <w:szCs w:val="20"/>
              </w:rPr>
              <w:t xml:space="preserve">The </w:t>
            </w:r>
            <w:r w:rsidRPr="008F4538">
              <w:rPr>
                <w:rFonts w:ascii="Times-Italic" w:hAnsi="Times-Italic"/>
                <w:i/>
                <w:iCs/>
                <w:color w:val="000000"/>
                <w:szCs w:val="20"/>
              </w:rPr>
              <w:t xml:space="preserve">Occupied Channel Bandwidth </w:t>
            </w:r>
            <w:r w:rsidRPr="008F4538">
              <w:rPr>
                <w:rFonts w:ascii="Times-Roman" w:hAnsi="Times-Roman"/>
                <w:color w:val="000000"/>
                <w:szCs w:val="20"/>
              </w:rPr>
              <w:t xml:space="preserve">shall be between 80 % and 100 % of the </w:t>
            </w:r>
            <w:r w:rsidRPr="008F4538">
              <w:rPr>
                <w:rFonts w:ascii="Times-Italic" w:hAnsi="Times-Italic"/>
                <w:i/>
                <w:iCs/>
                <w:color w:val="000000"/>
                <w:szCs w:val="20"/>
              </w:rPr>
              <w:t>Nominal Channel Bandwidth</w:t>
            </w:r>
            <w:r w:rsidRPr="008F4538">
              <w:rPr>
                <w:rFonts w:ascii="Times-Roman" w:hAnsi="Times-Roman"/>
                <w:color w:val="000000"/>
                <w:szCs w:val="20"/>
              </w:rPr>
              <w:t>. In case of</w:t>
            </w:r>
            <w:r w:rsidRPr="008F4538">
              <w:rPr>
                <w:rFonts w:ascii="Times-Roman" w:hAnsi="Times-Roman"/>
                <w:color w:val="000000"/>
                <w:szCs w:val="20"/>
              </w:rPr>
              <w:br/>
              <w:t>smart antenna systems (devices with multiple transmit chains) each of the transmit chains shall meet this requirement.</w:t>
            </w:r>
            <w:r w:rsidRPr="008F4538">
              <w:rPr>
                <w:rFonts w:ascii="Times-Roman" w:hAnsi="Times-Roman"/>
                <w:color w:val="000000"/>
                <w:szCs w:val="20"/>
              </w:rPr>
              <w:br/>
              <w:t xml:space="preserve">The </w:t>
            </w:r>
            <w:r w:rsidRPr="008F4538">
              <w:rPr>
                <w:rFonts w:ascii="Times-Italic" w:hAnsi="Times-Italic"/>
                <w:i/>
                <w:iCs/>
                <w:color w:val="000000"/>
                <w:szCs w:val="20"/>
              </w:rPr>
              <w:t xml:space="preserve">Occupied Channel Bandwidth </w:t>
            </w:r>
            <w:r w:rsidRPr="008F4538">
              <w:rPr>
                <w:rFonts w:ascii="Times-Roman" w:hAnsi="Times-Roman"/>
                <w:color w:val="000000"/>
                <w:szCs w:val="20"/>
              </w:rPr>
              <w:t>might change with time/payload</w:t>
            </w:r>
            <w:r>
              <w:rPr>
                <w:rFonts w:ascii="Times-Roman" w:hAnsi="Times-Roman"/>
                <w:color w:val="000000"/>
                <w:szCs w:val="20"/>
              </w:rPr>
              <w:t>.</w:t>
            </w:r>
          </w:p>
        </w:tc>
      </w:tr>
    </w:tbl>
    <w:p w14:paraId="3E01D43D" w14:textId="401CAEE1" w:rsidR="00F3697B" w:rsidRDefault="008F4538" w:rsidP="003E615D">
      <w:pPr>
        <w:spacing w:before="120"/>
      </w:pPr>
      <w:r>
        <w:t xml:space="preserve">The above regulation imposes constraints in terms of occupied bandwidth by a physical channel operating in the unlicensed spectrum. </w:t>
      </w:r>
      <w:r w:rsidR="00F3697B">
        <w:t xml:space="preserve">This implies </w:t>
      </w:r>
      <w:r w:rsidR="004F75AE">
        <w:t xml:space="preserve">that </w:t>
      </w:r>
      <w:r w:rsidR="00F3697B">
        <w:t>NR-licensed fra</w:t>
      </w:r>
      <w:r w:rsidR="004F75AE">
        <w:t>mework for physical signals/</w:t>
      </w:r>
      <w:r w:rsidR="00F3697B">
        <w:t>channels may need to be redesigned to fulfil the OCB requirement</w:t>
      </w:r>
      <w:r w:rsidR="004F75AE">
        <w:t xml:space="preserve"> in unlicensed operation</w:t>
      </w:r>
      <w:r w:rsidR="00F3697B">
        <w:t xml:space="preserve">, </w:t>
      </w:r>
      <w:r w:rsidR="004F75AE">
        <w:t>which would require</w:t>
      </w:r>
      <w:r w:rsidR="00F3697B">
        <w:t xml:space="preserve"> additional RAN1 design effort.</w:t>
      </w:r>
    </w:p>
    <w:p w14:paraId="45488872" w14:textId="729808AC" w:rsidR="00FA03ED" w:rsidRDefault="004F75AE" w:rsidP="003E615D">
      <w:pPr>
        <w:spacing w:before="120"/>
      </w:pPr>
      <w:r>
        <w:t>H</w:t>
      </w:r>
      <w:r w:rsidR="00F3697B">
        <w:t>owever, it is also note</w:t>
      </w:r>
      <w:r>
        <w:t>worthy</w:t>
      </w:r>
      <w:r w:rsidR="00F3697B">
        <w:t xml:space="preserve"> that </w:t>
      </w:r>
      <w:r>
        <w:t>regulations are evolving too</w:t>
      </w:r>
      <w:r w:rsidR="00F3697B">
        <w:t>.</w:t>
      </w:r>
      <w:r w:rsidR="003C0CE9">
        <w:t xml:space="preserve"> In particular, according to the latest update by ETSI harmonised standard for 5 GHz, the stringent requirement on OCB is curbed by the following allowance</w:t>
      </w:r>
      <w:r w:rsidR="0015479F">
        <w:rPr>
          <w:rStyle w:val="FootnoteReference"/>
        </w:rPr>
        <w:footnoteReference w:id="1"/>
      </w:r>
      <w:r w:rsidR="005A7CD7">
        <w:t xml:space="preserve"> [2]</w:t>
      </w:r>
      <w:r w:rsidR="003C0CE9">
        <w:t>:</w:t>
      </w:r>
    </w:p>
    <w:tbl>
      <w:tblPr>
        <w:tblStyle w:val="TableGrid"/>
        <w:tblW w:w="0" w:type="auto"/>
        <w:tblLook w:val="04A0" w:firstRow="1" w:lastRow="0" w:firstColumn="1" w:lastColumn="0" w:noHBand="0" w:noVBand="1"/>
      </w:tblPr>
      <w:tblGrid>
        <w:gridCol w:w="9919"/>
      </w:tblGrid>
      <w:tr w:rsidR="005A7CD7" w14:paraId="425DE39E" w14:textId="77777777" w:rsidTr="005A7CD7">
        <w:tc>
          <w:tcPr>
            <w:tcW w:w="9919" w:type="dxa"/>
          </w:tcPr>
          <w:p w14:paraId="4922427F" w14:textId="3F9619B1" w:rsidR="00B5463D" w:rsidRPr="00B5463D" w:rsidRDefault="005A7CD7" w:rsidP="003E615D">
            <w:pPr>
              <w:spacing w:before="120"/>
              <w:rPr>
                <w:rFonts w:ascii="Times-Roman" w:hAnsi="Times-Roman" w:hint="eastAsia"/>
                <w:color w:val="000000"/>
                <w:szCs w:val="20"/>
              </w:rPr>
            </w:pPr>
            <w:r w:rsidRPr="005A7CD7">
              <w:rPr>
                <w:rFonts w:ascii="Times-Roman" w:hAnsi="Times-Roman"/>
                <w:color w:val="000000"/>
                <w:szCs w:val="20"/>
              </w:rPr>
              <w:t xml:space="preserve">During a </w:t>
            </w:r>
            <w:r w:rsidRPr="005A7CD7">
              <w:rPr>
                <w:rFonts w:ascii="Times-Italic" w:hAnsi="Times-Italic"/>
                <w:i/>
                <w:iCs/>
                <w:color w:val="000000"/>
                <w:szCs w:val="20"/>
              </w:rPr>
              <w:t>Channel Occupancy Time (COT)</w:t>
            </w:r>
            <w:r w:rsidRPr="005A7CD7">
              <w:rPr>
                <w:rFonts w:ascii="Times-Roman" w:hAnsi="Times-Roman"/>
                <w:color w:val="000000"/>
                <w:szCs w:val="20"/>
              </w:rPr>
              <w:t xml:space="preserve">, equipment may operate temporarily with an </w:t>
            </w:r>
            <w:r w:rsidRPr="005A7CD7">
              <w:rPr>
                <w:rFonts w:ascii="Times-Italic" w:hAnsi="Times-Italic"/>
                <w:i/>
                <w:iCs/>
                <w:color w:val="000000"/>
                <w:szCs w:val="20"/>
              </w:rPr>
              <w:t>Occupied Channel Bandwidth</w:t>
            </w:r>
            <w:r w:rsidRPr="005A7CD7">
              <w:rPr>
                <w:rFonts w:ascii="Times-Italic" w:hAnsi="Times-Italic"/>
                <w:i/>
                <w:iCs/>
                <w:color w:val="000000"/>
                <w:szCs w:val="20"/>
              </w:rPr>
              <w:br/>
            </w:r>
            <w:r w:rsidRPr="005A7CD7">
              <w:rPr>
                <w:rFonts w:ascii="Times-Roman" w:hAnsi="Times-Roman"/>
                <w:color w:val="000000"/>
                <w:szCs w:val="20"/>
              </w:rPr>
              <w:t xml:space="preserve">of less than 80 % of its </w:t>
            </w:r>
            <w:r w:rsidRPr="005A7CD7">
              <w:rPr>
                <w:rFonts w:ascii="Times-Italic" w:hAnsi="Times-Italic"/>
                <w:i/>
                <w:iCs/>
                <w:color w:val="000000"/>
                <w:szCs w:val="20"/>
              </w:rPr>
              <w:t xml:space="preserve">Nominal Channel Bandwidth </w:t>
            </w:r>
            <w:r w:rsidRPr="005A7CD7">
              <w:rPr>
                <w:rFonts w:ascii="Times-Roman" w:hAnsi="Times-Roman"/>
                <w:color w:val="000000"/>
                <w:szCs w:val="20"/>
              </w:rPr>
              <w:t>with a minimum of 2 MHz.</w:t>
            </w:r>
          </w:p>
        </w:tc>
      </w:tr>
    </w:tbl>
    <w:p w14:paraId="485A1896" w14:textId="044C0CF4" w:rsidR="004F75AE" w:rsidRDefault="00A56A21" w:rsidP="003E615D">
      <w:pPr>
        <w:pStyle w:val="Heading1"/>
        <w:keepNext w:val="0"/>
        <w:widowControl w:val="0"/>
        <w:numPr>
          <w:ilvl w:val="0"/>
          <w:numId w:val="0"/>
        </w:numPr>
        <w:spacing w:before="120" w:after="120"/>
        <w:rPr>
          <w:rFonts w:ascii="Times New Roman" w:hAnsi="Times New Roman" w:cs="Times New Roman"/>
          <w:b w:val="0"/>
          <w:sz w:val="20"/>
          <w:szCs w:val="20"/>
        </w:rPr>
      </w:pPr>
      <w:r>
        <w:rPr>
          <w:rFonts w:ascii="Times New Roman" w:hAnsi="Times New Roman" w:cs="Times New Roman"/>
          <w:b w:val="0"/>
          <w:sz w:val="20"/>
          <w:szCs w:val="20"/>
        </w:rPr>
        <w:t xml:space="preserve">With this temporal allowance, OCB requirement </w:t>
      </w:r>
      <w:r w:rsidR="00F06432">
        <w:rPr>
          <w:rFonts w:ascii="Times New Roman" w:hAnsi="Times New Roman" w:cs="Times New Roman"/>
          <w:b w:val="0"/>
          <w:sz w:val="20"/>
          <w:szCs w:val="20"/>
        </w:rPr>
        <w:t xml:space="preserve">may </w:t>
      </w:r>
      <w:r>
        <w:rPr>
          <w:rFonts w:ascii="Times New Roman" w:hAnsi="Times New Roman" w:cs="Times New Roman"/>
          <w:b w:val="0"/>
          <w:sz w:val="20"/>
          <w:szCs w:val="20"/>
        </w:rPr>
        <w:t xml:space="preserve">not </w:t>
      </w:r>
      <w:r w:rsidR="006C3BD9">
        <w:rPr>
          <w:rFonts w:ascii="Times New Roman" w:hAnsi="Times New Roman" w:cs="Times New Roman"/>
          <w:b w:val="0"/>
          <w:sz w:val="20"/>
          <w:szCs w:val="20"/>
        </w:rPr>
        <w:t xml:space="preserve">be </w:t>
      </w:r>
      <w:r>
        <w:rPr>
          <w:rFonts w:ascii="Times New Roman" w:hAnsi="Times New Roman" w:cs="Times New Roman"/>
          <w:b w:val="0"/>
          <w:sz w:val="20"/>
          <w:szCs w:val="20"/>
        </w:rPr>
        <w:t>necessary to be met all the time</w:t>
      </w:r>
      <w:r w:rsidR="00F06432">
        <w:rPr>
          <w:rFonts w:ascii="Times New Roman" w:hAnsi="Times New Roman" w:cs="Times New Roman"/>
          <w:b w:val="0"/>
          <w:sz w:val="20"/>
          <w:szCs w:val="20"/>
        </w:rPr>
        <w:t>, which is also the case for IEEE 802.11ax</w:t>
      </w:r>
      <w:r>
        <w:rPr>
          <w:rFonts w:ascii="Times New Roman" w:hAnsi="Times New Roman" w:cs="Times New Roman"/>
          <w:b w:val="0"/>
          <w:sz w:val="20"/>
          <w:szCs w:val="20"/>
        </w:rPr>
        <w:t xml:space="preserve">. In our view, exploiting this </w:t>
      </w:r>
      <w:r w:rsidR="00F06432">
        <w:rPr>
          <w:rFonts w:ascii="Times New Roman" w:hAnsi="Times New Roman" w:cs="Times New Roman"/>
          <w:b w:val="0"/>
          <w:sz w:val="20"/>
          <w:szCs w:val="20"/>
        </w:rPr>
        <w:t>temporal allowance</w:t>
      </w:r>
      <w:r>
        <w:rPr>
          <w:rFonts w:ascii="Times New Roman" w:hAnsi="Times New Roman" w:cs="Times New Roman"/>
          <w:b w:val="0"/>
          <w:sz w:val="20"/>
          <w:szCs w:val="20"/>
        </w:rPr>
        <w:t xml:space="preserve"> would be beneficial, especially in circumstances where assignment of wide bandwidth (80</w:t>
      </w:r>
      <w:r w:rsidR="00102E53">
        <w:rPr>
          <w:rFonts w:ascii="Times New Roman" w:hAnsi="Times New Roman" w:cs="Times New Roman"/>
          <w:b w:val="0"/>
          <w:sz w:val="20"/>
          <w:szCs w:val="20"/>
        </w:rPr>
        <w:t xml:space="preserve"> </w:t>
      </w:r>
      <w:r>
        <w:rPr>
          <w:rFonts w:ascii="Times New Roman" w:hAnsi="Times New Roman" w:cs="Times New Roman"/>
          <w:b w:val="0"/>
          <w:sz w:val="20"/>
          <w:szCs w:val="20"/>
        </w:rPr>
        <w:t>%</w:t>
      </w:r>
      <w:r w:rsidR="00102E53">
        <w:rPr>
          <w:rFonts w:ascii="Times New Roman" w:hAnsi="Times New Roman" w:cs="Times New Roman"/>
          <w:b w:val="0"/>
          <w:sz w:val="20"/>
          <w:szCs w:val="20"/>
        </w:rPr>
        <w:t xml:space="preserve"> </w:t>
      </w:r>
      <w:r>
        <w:rPr>
          <w:rFonts w:ascii="Times New Roman" w:hAnsi="Times New Roman" w:cs="Times New Roman"/>
          <w:b w:val="0"/>
          <w:sz w:val="20"/>
          <w:szCs w:val="20"/>
        </w:rPr>
        <w:t>~100</w:t>
      </w:r>
      <w:r w:rsidR="00102E53">
        <w:rPr>
          <w:rFonts w:ascii="Times New Roman" w:hAnsi="Times New Roman" w:cs="Times New Roman"/>
          <w:b w:val="0"/>
          <w:sz w:val="20"/>
          <w:szCs w:val="20"/>
        </w:rPr>
        <w:t xml:space="preserve"> </w:t>
      </w:r>
      <w:r>
        <w:rPr>
          <w:rFonts w:ascii="Times New Roman" w:hAnsi="Times New Roman" w:cs="Times New Roman"/>
          <w:b w:val="0"/>
          <w:sz w:val="20"/>
          <w:szCs w:val="20"/>
        </w:rPr>
        <w:t xml:space="preserve">% of NCB) for physical signals/channels </w:t>
      </w:r>
      <w:r w:rsidR="008E1104">
        <w:rPr>
          <w:rFonts w:ascii="Times New Roman" w:hAnsi="Times New Roman" w:cs="Times New Roman"/>
          <w:b w:val="0"/>
          <w:sz w:val="20"/>
          <w:szCs w:val="20"/>
        </w:rPr>
        <w:t>is</w:t>
      </w:r>
      <w:r>
        <w:rPr>
          <w:rFonts w:ascii="Times New Roman" w:hAnsi="Times New Roman" w:cs="Times New Roman"/>
          <w:b w:val="0"/>
          <w:sz w:val="20"/>
          <w:szCs w:val="20"/>
        </w:rPr>
        <w:t xml:space="preserve"> not essential. For example, when the unlicensed </w:t>
      </w:r>
      <w:r w:rsidR="00245F8F">
        <w:rPr>
          <w:rFonts w:ascii="Times New Roman" w:hAnsi="Times New Roman" w:cs="Times New Roman"/>
          <w:b w:val="0"/>
          <w:sz w:val="20"/>
          <w:szCs w:val="20"/>
        </w:rPr>
        <w:t>spectrum is used by</w:t>
      </w:r>
      <w:r>
        <w:rPr>
          <w:rFonts w:ascii="Times New Roman" w:hAnsi="Times New Roman" w:cs="Times New Roman"/>
          <w:b w:val="0"/>
          <w:sz w:val="20"/>
          <w:szCs w:val="20"/>
        </w:rPr>
        <w:t xml:space="preserve"> </w:t>
      </w:r>
      <w:r w:rsidR="00245F8F">
        <w:rPr>
          <w:rFonts w:ascii="Times New Roman" w:hAnsi="Times New Roman" w:cs="Times New Roman"/>
          <w:b w:val="0"/>
          <w:sz w:val="20"/>
          <w:szCs w:val="20"/>
        </w:rPr>
        <w:t>UEs which are not coverage limited</w:t>
      </w:r>
      <w:r>
        <w:rPr>
          <w:rFonts w:ascii="Times New Roman" w:hAnsi="Times New Roman" w:cs="Times New Roman"/>
          <w:b w:val="0"/>
          <w:sz w:val="20"/>
          <w:szCs w:val="20"/>
        </w:rPr>
        <w:t xml:space="preserve">, allocation of wide bandwidth may result in less efficient utilization of resources. </w:t>
      </w:r>
      <w:r w:rsidR="00245F8F">
        <w:rPr>
          <w:rFonts w:ascii="Times New Roman" w:hAnsi="Times New Roman" w:cs="Times New Roman"/>
          <w:b w:val="0"/>
          <w:sz w:val="20"/>
          <w:szCs w:val="20"/>
        </w:rPr>
        <w:t xml:space="preserve">In such cases, use of NR-licensed signals/channels by exploiting the temporal allowance of </w:t>
      </w:r>
      <w:r w:rsidR="00C95B21">
        <w:rPr>
          <w:rFonts w:ascii="Times New Roman" w:hAnsi="Times New Roman" w:cs="Times New Roman"/>
          <w:b w:val="0"/>
          <w:sz w:val="20"/>
          <w:szCs w:val="20"/>
        </w:rPr>
        <w:t xml:space="preserve">OCB being </w:t>
      </w:r>
      <w:r w:rsidR="00245F8F">
        <w:rPr>
          <w:rFonts w:ascii="Times New Roman" w:hAnsi="Times New Roman" w:cs="Times New Roman"/>
          <w:b w:val="0"/>
          <w:sz w:val="20"/>
          <w:szCs w:val="20"/>
        </w:rPr>
        <w:t>less than 80</w:t>
      </w:r>
      <w:r w:rsidR="00102E53">
        <w:rPr>
          <w:rFonts w:ascii="Times New Roman" w:hAnsi="Times New Roman" w:cs="Times New Roman"/>
          <w:b w:val="0"/>
          <w:sz w:val="20"/>
          <w:szCs w:val="20"/>
        </w:rPr>
        <w:t xml:space="preserve"> </w:t>
      </w:r>
      <w:r w:rsidR="00245F8F">
        <w:rPr>
          <w:rFonts w:ascii="Times New Roman" w:hAnsi="Times New Roman" w:cs="Times New Roman"/>
          <w:b w:val="0"/>
          <w:sz w:val="20"/>
          <w:szCs w:val="20"/>
        </w:rPr>
        <w:t xml:space="preserve">% of NCB will be more efficient, </w:t>
      </w:r>
      <w:r w:rsidR="00536BD8">
        <w:rPr>
          <w:rFonts w:ascii="Times New Roman" w:hAnsi="Times New Roman" w:cs="Times New Roman"/>
          <w:b w:val="0"/>
          <w:sz w:val="20"/>
          <w:szCs w:val="20"/>
        </w:rPr>
        <w:t xml:space="preserve">as </w:t>
      </w:r>
      <w:r w:rsidR="00245F8F">
        <w:rPr>
          <w:rFonts w:ascii="Times New Roman" w:hAnsi="Times New Roman" w:cs="Times New Roman"/>
          <w:b w:val="0"/>
          <w:sz w:val="20"/>
          <w:szCs w:val="20"/>
        </w:rPr>
        <w:t>allowed by the regulation.</w:t>
      </w:r>
      <w:r w:rsidR="008E1104">
        <w:rPr>
          <w:rFonts w:ascii="Times New Roman" w:hAnsi="Times New Roman" w:cs="Times New Roman"/>
          <w:b w:val="0"/>
          <w:sz w:val="20"/>
          <w:szCs w:val="20"/>
        </w:rPr>
        <w:t xml:space="preserve"> Also, additional efforts need to be made to redesign NR-licensed signals/channels if unlicensed operation is aimed to meet OCB regulation all the time, since such wide bandwidth operation (&gt; 80 % of NCB) may not be feasible with the legacy NR-licensed framework.</w:t>
      </w:r>
    </w:p>
    <w:p w14:paraId="029A1AA9" w14:textId="77777777" w:rsidR="00536BD8" w:rsidRDefault="00536BD8" w:rsidP="006C3BD9"/>
    <w:p w14:paraId="6CFD7665" w14:textId="77777777" w:rsidR="00536BD8" w:rsidRDefault="00536BD8" w:rsidP="006C3BD9"/>
    <w:p w14:paraId="52B3F8F4" w14:textId="77777777" w:rsidR="00536BD8" w:rsidRDefault="00536BD8" w:rsidP="006C3BD9"/>
    <w:p w14:paraId="5D628793" w14:textId="77777777" w:rsidR="00536BD8" w:rsidRPr="006C3BD9" w:rsidRDefault="00536BD8" w:rsidP="006C3BD9">
      <w:pPr>
        <w:rPr>
          <w:b/>
        </w:rPr>
      </w:pPr>
    </w:p>
    <w:p w14:paraId="3844886F" w14:textId="063F7955" w:rsidR="000114F7" w:rsidRPr="00721F9A" w:rsidRDefault="008268E4" w:rsidP="003E615D">
      <w:pPr>
        <w:spacing w:before="240" w:after="240"/>
        <w:rPr>
          <w:rFonts w:ascii="Times New Roman" w:hAnsi="Times New Roman"/>
          <w:b/>
          <w:szCs w:val="20"/>
          <w:u w:val="single"/>
          <w:lang w:val="en-US"/>
        </w:rPr>
      </w:pPr>
      <w:r w:rsidRPr="00721F9A">
        <w:rPr>
          <w:rFonts w:ascii="Times New Roman" w:hAnsi="Times New Roman"/>
          <w:b/>
          <w:szCs w:val="20"/>
          <w:u w:val="single"/>
          <w:lang w:val="en-US"/>
        </w:rPr>
        <w:lastRenderedPageBreak/>
        <w:t>Proposal</w:t>
      </w:r>
      <w:r w:rsidR="00721F9A" w:rsidRPr="00721F9A">
        <w:rPr>
          <w:rFonts w:ascii="Times New Roman" w:hAnsi="Times New Roman"/>
          <w:b/>
          <w:szCs w:val="20"/>
          <w:u w:val="single"/>
          <w:lang w:val="en-US"/>
        </w:rPr>
        <w:t xml:space="preserve"> 1</w:t>
      </w:r>
      <w:r w:rsidRPr="00721F9A">
        <w:rPr>
          <w:rFonts w:ascii="Times New Roman" w:hAnsi="Times New Roman"/>
          <w:b/>
          <w:szCs w:val="20"/>
          <w:u w:val="single"/>
          <w:lang w:val="en-US"/>
        </w:rPr>
        <w:t xml:space="preserve"> </w:t>
      </w:r>
    </w:p>
    <w:p w14:paraId="18CA1BC7" w14:textId="3832DD6C" w:rsidR="008268E4" w:rsidRPr="000114F7" w:rsidRDefault="000114F7" w:rsidP="00876D60">
      <w:pPr>
        <w:pStyle w:val="ListParagraph"/>
        <w:numPr>
          <w:ilvl w:val="0"/>
          <w:numId w:val="8"/>
        </w:numPr>
        <w:spacing w:before="240" w:after="240"/>
        <w:ind w:left="360"/>
        <w:rPr>
          <w:b/>
          <w:szCs w:val="20"/>
          <w:lang w:val="en-US"/>
        </w:rPr>
      </w:pPr>
      <w:r w:rsidRPr="000114F7">
        <w:rPr>
          <w:b/>
          <w:i/>
          <w:szCs w:val="20"/>
          <w:lang w:val="en-US"/>
        </w:rPr>
        <w:t>The NR-unlicensed system shall be built based on the precise interpretation of the relevant regulations</w:t>
      </w:r>
      <w:r w:rsidRPr="000114F7">
        <w:rPr>
          <w:b/>
          <w:szCs w:val="20"/>
          <w:lang w:val="en-US"/>
        </w:rPr>
        <w:t>.</w:t>
      </w:r>
    </w:p>
    <w:p w14:paraId="6F9E565E" w14:textId="2FD25441" w:rsidR="003E615D" w:rsidRPr="006C3BD9" w:rsidRDefault="008A648E" w:rsidP="006C3BD9">
      <w:pPr>
        <w:pStyle w:val="ListParagraph"/>
        <w:numPr>
          <w:ilvl w:val="0"/>
          <w:numId w:val="10"/>
        </w:numPr>
        <w:spacing w:before="240" w:after="240"/>
        <w:ind w:left="1080"/>
        <w:rPr>
          <w:b/>
          <w:i/>
          <w:szCs w:val="20"/>
          <w:lang w:val="en-US"/>
        </w:rPr>
      </w:pPr>
      <w:r w:rsidRPr="006C3BD9">
        <w:rPr>
          <w:b/>
          <w:i/>
          <w:szCs w:val="20"/>
          <w:lang w:val="en-US"/>
        </w:rPr>
        <w:t>NR-unlicensed system may e</w:t>
      </w:r>
      <w:r w:rsidR="000114F7" w:rsidRPr="006C3BD9">
        <w:rPr>
          <w:b/>
          <w:i/>
          <w:szCs w:val="20"/>
          <w:lang w:val="en-US"/>
        </w:rPr>
        <w:t xml:space="preserve">xploit the temporal allowance of occupied channel bandwidth </w:t>
      </w:r>
      <w:r w:rsidR="00912691" w:rsidRPr="006C3BD9">
        <w:rPr>
          <w:b/>
          <w:i/>
          <w:szCs w:val="20"/>
          <w:lang w:val="en-US"/>
        </w:rPr>
        <w:t xml:space="preserve">to be </w:t>
      </w:r>
      <w:r w:rsidR="003E615D" w:rsidRPr="006C3BD9">
        <w:rPr>
          <w:b/>
          <w:i/>
          <w:szCs w:val="20"/>
          <w:lang w:val="en-US"/>
        </w:rPr>
        <w:t>less than 80</w:t>
      </w:r>
      <w:r w:rsidR="000114F7" w:rsidRPr="006C3BD9">
        <w:rPr>
          <w:b/>
          <w:i/>
          <w:szCs w:val="20"/>
          <w:lang w:val="en-US"/>
        </w:rPr>
        <w:t>% of nominal channel bandwidth (with a minimum of 2 MHz) to use NR-licensed physical channels/signals, whe</w:t>
      </w:r>
      <w:r w:rsidRPr="006C3BD9">
        <w:rPr>
          <w:b/>
          <w:i/>
          <w:szCs w:val="20"/>
          <w:lang w:val="en-US"/>
        </w:rPr>
        <w:t>n</w:t>
      </w:r>
      <w:r w:rsidR="000114F7" w:rsidRPr="006C3BD9">
        <w:rPr>
          <w:b/>
          <w:i/>
          <w:szCs w:val="20"/>
          <w:lang w:val="en-US"/>
        </w:rPr>
        <w:t xml:space="preserve"> applicable.</w:t>
      </w:r>
    </w:p>
    <w:p w14:paraId="7D33ECBF" w14:textId="3FFE11F1" w:rsidR="00B5463D" w:rsidRPr="00072ED7" w:rsidRDefault="008A648E" w:rsidP="003E615D">
      <w:pPr>
        <w:pStyle w:val="Heading1"/>
        <w:keepNext w:val="0"/>
        <w:widowControl w:val="0"/>
        <w:spacing w:before="360" w:after="120"/>
        <w:ind w:left="518" w:hanging="518"/>
        <w:rPr>
          <w:rFonts w:ascii="Times New Roman" w:hAnsi="Times New Roman" w:cs="Times New Roman"/>
          <w:sz w:val="28"/>
        </w:rPr>
      </w:pPr>
      <w:r w:rsidRPr="00072ED7">
        <w:rPr>
          <w:rFonts w:ascii="Times New Roman" w:hAnsi="Times New Roman" w:cs="Times New Roman"/>
          <w:sz w:val="28"/>
        </w:rPr>
        <w:t xml:space="preserve">Design considerations for </w:t>
      </w:r>
      <w:r w:rsidR="008268E4" w:rsidRPr="00072ED7">
        <w:rPr>
          <w:rFonts w:ascii="Times New Roman" w:hAnsi="Times New Roman" w:cs="Times New Roman"/>
          <w:sz w:val="28"/>
        </w:rPr>
        <w:t>NR-</w:t>
      </w:r>
      <w:r w:rsidR="00CE682E" w:rsidRPr="00072ED7">
        <w:rPr>
          <w:rFonts w:ascii="Times New Roman" w:hAnsi="Times New Roman" w:cs="Times New Roman"/>
          <w:sz w:val="28"/>
        </w:rPr>
        <w:t>un</w:t>
      </w:r>
      <w:r w:rsidR="008268E4" w:rsidRPr="00072ED7">
        <w:rPr>
          <w:rFonts w:ascii="Times New Roman" w:hAnsi="Times New Roman" w:cs="Times New Roman"/>
          <w:sz w:val="28"/>
        </w:rPr>
        <w:t xml:space="preserve">licensed </w:t>
      </w:r>
      <w:r w:rsidRPr="00072ED7">
        <w:rPr>
          <w:rFonts w:ascii="Times New Roman" w:hAnsi="Times New Roman" w:cs="Times New Roman"/>
          <w:sz w:val="28"/>
        </w:rPr>
        <w:t xml:space="preserve">uplink physical channel </w:t>
      </w:r>
    </w:p>
    <w:p w14:paraId="5EDC0C38" w14:textId="2DFE6CCE" w:rsidR="006C5E92" w:rsidRDefault="00896BFD" w:rsidP="003E615D">
      <w:pPr>
        <w:spacing w:before="240" w:after="0"/>
        <w:rPr>
          <w:rFonts w:ascii="Times New Roman" w:hAnsi="Times New Roman"/>
          <w:szCs w:val="20"/>
          <w:lang w:val="en-US"/>
        </w:rPr>
      </w:pPr>
      <w:r>
        <w:rPr>
          <w:rFonts w:ascii="Times New Roman" w:hAnsi="Times New Roman"/>
          <w:szCs w:val="20"/>
          <w:lang w:val="en-US"/>
        </w:rPr>
        <w:t xml:space="preserve">According to </w:t>
      </w:r>
      <w:r w:rsidR="00357F98">
        <w:rPr>
          <w:rFonts w:ascii="Times New Roman" w:hAnsi="Times New Roman"/>
          <w:szCs w:val="20"/>
          <w:lang w:val="en-US"/>
        </w:rPr>
        <w:t xml:space="preserve">the </w:t>
      </w:r>
      <w:r>
        <w:rPr>
          <w:rFonts w:ascii="Times New Roman" w:hAnsi="Times New Roman"/>
          <w:szCs w:val="20"/>
          <w:lang w:val="en-US"/>
        </w:rPr>
        <w:t>shared views by</w:t>
      </w:r>
      <w:r w:rsidR="009060A4">
        <w:rPr>
          <w:rFonts w:ascii="Times New Roman" w:hAnsi="Times New Roman"/>
          <w:szCs w:val="20"/>
          <w:lang w:val="en-US"/>
        </w:rPr>
        <w:t xml:space="preserve"> </w:t>
      </w:r>
      <w:r>
        <w:rPr>
          <w:rFonts w:ascii="Times New Roman" w:hAnsi="Times New Roman"/>
          <w:szCs w:val="20"/>
          <w:lang w:val="en-US"/>
        </w:rPr>
        <w:t xml:space="preserve">participating companies </w:t>
      </w:r>
      <w:r w:rsidR="009060A4">
        <w:rPr>
          <w:rFonts w:ascii="Times New Roman" w:hAnsi="Times New Roman"/>
          <w:szCs w:val="20"/>
          <w:lang w:val="en-US"/>
        </w:rPr>
        <w:t>in RAN1#92 meeting</w:t>
      </w:r>
      <w:r>
        <w:rPr>
          <w:rFonts w:ascii="Times New Roman" w:hAnsi="Times New Roman"/>
          <w:szCs w:val="20"/>
          <w:lang w:val="en-US"/>
        </w:rPr>
        <w:t xml:space="preserve"> [3], the primary </w:t>
      </w:r>
      <w:r w:rsidR="009060A4">
        <w:rPr>
          <w:rFonts w:ascii="Times New Roman" w:hAnsi="Times New Roman"/>
          <w:szCs w:val="20"/>
          <w:lang w:val="en-US"/>
        </w:rPr>
        <w:t>candidate</w:t>
      </w:r>
      <w:r>
        <w:rPr>
          <w:rFonts w:ascii="Times New Roman" w:hAnsi="Times New Roman"/>
          <w:szCs w:val="20"/>
          <w:lang w:val="en-US"/>
        </w:rPr>
        <w:t xml:space="preserve"> spectrum for NR-unlicensed SI phase is the 5 GHz band. </w:t>
      </w:r>
      <w:r w:rsidR="009060A4">
        <w:rPr>
          <w:rFonts w:ascii="Times New Roman" w:hAnsi="Times New Roman"/>
          <w:szCs w:val="20"/>
          <w:lang w:val="en-US"/>
        </w:rPr>
        <w:t>For this band, the spectrum regulatory requirements vary across different regions. The most important rules stated in EU regulations [2] and US regulations [4] are captured below:</w:t>
      </w:r>
    </w:p>
    <w:p w14:paraId="5FFD48C5" w14:textId="57AA12E4" w:rsidR="006C5E92" w:rsidRPr="006C5E92" w:rsidRDefault="006C5E92" w:rsidP="00876D60">
      <w:pPr>
        <w:pStyle w:val="ListParagraph"/>
        <w:numPr>
          <w:ilvl w:val="0"/>
          <w:numId w:val="12"/>
        </w:numPr>
        <w:spacing w:before="120" w:after="0" w:line="240" w:lineRule="auto"/>
        <w:rPr>
          <w:szCs w:val="20"/>
          <w:lang w:val="en-US"/>
        </w:rPr>
      </w:pPr>
      <w:r w:rsidRPr="006C5E92">
        <w:rPr>
          <w:szCs w:val="20"/>
          <w:lang w:val="en-US"/>
        </w:rPr>
        <w:t>ETSI specifies that occupied channel bandwidth shall be between 80% and 100% of the declared Nominal Cha</w:t>
      </w:r>
      <w:r>
        <w:rPr>
          <w:szCs w:val="20"/>
          <w:lang w:val="en-US"/>
        </w:rPr>
        <w:t>nnel Bandwidth [2].</w:t>
      </w:r>
    </w:p>
    <w:p w14:paraId="12DD8D54" w14:textId="522F50E4" w:rsidR="006C5E92" w:rsidRPr="006C5E92" w:rsidRDefault="006C5E92" w:rsidP="00876D60">
      <w:pPr>
        <w:pStyle w:val="ListParagraph"/>
        <w:numPr>
          <w:ilvl w:val="0"/>
          <w:numId w:val="12"/>
        </w:numPr>
        <w:spacing w:before="120" w:after="0" w:line="240" w:lineRule="auto"/>
        <w:rPr>
          <w:szCs w:val="20"/>
          <w:lang w:val="en-US"/>
        </w:rPr>
      </w:pPr>
      <w:r w:rsidRPr="006C5E92">
        <w:rPr>
          <w:szCs w:val="20"/>
          <w:lang w:val="en-US"/>
        </w:rPr>
        <w:t xml:space="preserve">Regulations on the maximum power spectral density are typically stated with a resolution bandwidth of 1 MHz. The ETSI specification requires a </w:t>
      </w:r>
      <w:r w:rsidR="005005ED">
        <w:rPr>
          <w:szCs w:val="20"/>
          <w:lang w:val="en-US"/>
        </w:rPr>
        <w:t>m</w:t>
      </w:r>
      <w:r w:rsidRPr="006C5E92">
        <w:rPr>
          <w:szCs w:val="20"/>
          <w:lang w:val="en-US"/>
        </w:rPr>
        <w:t>aximum Power Spectral Density (PSD) of 10 dBm/MHz for 5150-5350 MHz, while FCC has a maximum PSD of 11 dBm/MHz for 5150-5350 MHz [</w:t>
      </w:r>
      <w:r>
        <w:rPr>
          <w:szCs w:val="20"/>
          <w:lang w:val="en-US"/>
        </w:rPr>
        <w:t>4</w:t>
      </w:r>
      <w:r w:rsidR="00102E53">
        <w:rPr>
          <w:szCs w:val="20"/>
          <w:lang w:val="en-US"/>
        </w:rPr>
        <w:t>]. Section 5.4</w:t>
      </w:r>
      <w:r w:rsidRPr="006C5E92">
        <w:rPr>
          <w:szCs w:val="20"/>
          <w:lang w:val="en-US"/>
        </w:rPr>
        <w:t>.4.2.1.3.3 in [</w:t>
      </w:r>
      <w:r w:rsidR="00102E53">
        <w:rPr>
          <w:szCs w:val="20"/>
          <w:lang w:val="en-US"/>
        </w:rPr>
        <w:t>2</w:t>
      </w:r>
      <w:r w:rsidRPr="006C5E92">
        <w:rPr>
          <w:szCs w:val="20"/>
          <w:lang w:val="en-US"/>
        </w:rPr>
        <w:t xml:space="preserve">] requires 10 KHz resolution for testing the 1 MHz PSD constraint and, thus, the maximum PSD constraint should be met in any occupied 1MHz bandwidth. </w:t>
      </w:r>
    </w:p>
    <w:p w14:paraId="271D8CF6" w14:textId="21429DCC" w:rsidR="00340D29" w:rsidRDefault="006C5E92" w:rsidP="00876D60">
      <w:pPr>
        <w:pStyle w:val="ListParagraph"/>
        <w:numPr>
          <w:ilvl w:val="0"/>
          <w:numId w:val="12"/>
        </w:numPr>
        <w:spacing w:after="0" w:line="240" w:lineRule="auto"/>
        <w:contextualSpacing w:val="0"/>
        <w:rPr>
          <w:szCs w:val="20"/>
          <w:lang w:val="en-US"/>
        </w:rPr>
      </w:pPr>
      <w:r w:rsidRPr="006C5E92">
        <w:rPr>
          <w:szCs w:val="20"/>
          <w:lang w:val="en-US"/>
        </w:rPr>
        <w:t>In addition, the regulations impose a band specific total maximum transmission power in terms of EIRP, e.g., ESTI has EIRP limit of 23 dBm for 5150 – 5350 MHz</w:t>
      </w:r>
      <w:r w:rsidR="00102E53">
        <w:rPr>
          <w:szCs w:val="20"/>
          <w:lang w:val="en-US"/>
        </w:rPr>
        <w:t xml:space="preserve"> [2].</w:t>
      </w:r>
    </w:p>
    <w:p w14:paraId="13AC636B" w14:textId="77777777" w:rsidR="00340D29" w:rsidRPr="00340D29" w:rsidRDefault="00340D29" w:rsidP="00340D29">
      <w:pPr>
        <w:pStyle w:val="ListParagraph"/>
        <w:spacing w:after="0" w:line="240" w:lineRule="auto"/>
        <w:ind w:left="360"/>
        <w:contextualSpacing w:val="0"/>
        <w:rPr>
          <w:szCs w:val="20"/>
          <w:lang w:val="en-US"/>
        </w:rPr>
      </w:pPr>
    </w:p>
    <w:p w14:paraId="1D9F0C67" w14:textId="4294C4D8" w:rsidR="00553C8E" w:rsidRDefault="005005ED" w:rsidP="00553C8E">
      <w:pPr>
        <w:rPr>
          <w:rFonts w:ascii="Times New Roman" w:hAnsi="Times New Roman"/>
        </w:rPr>
      </w:pPr>
      <w:r>
        <w:rPr>
          <w:szCs w:val="20"/>
          <w:lang w:val="en-US"/>
        </w:rPr>
        <w:t xml:space="preserve">The regulatory limitations imposed in terms of OCB and PSD </w:t>
      </w:r>
      <w:r w:rsidR="008A1134">
        <w:rPr>
          <w:szCs w:val="20"/>
          <w:lang w:val="en-US"/>
        </w:rPr>
        <w:t>guided</w:t>
      </w:r>
      <w:r>
        <w:rPr>
          <w:szCs w:val="20"/>
          <w:lang w:val="en-US"/>
        </w:rPr>
        <w:t xml:space="preserve"> the design choices for </w:t>
      </w:r>
      <w:r w:rsidR="008A1134">
        <w:rPr>
          <w:szCs w:val="20"/>
          <w:lang w:val="en-US"/>
        </w:rPr>
        <w:t xml:space="preserve">the uplink channels of </w:t>
      </w:r>
      <w:r>
        <w:rPr>
          <w:szCs w:val="20"/>
          <w:lang w:val="en-US"/>
        </w:rPr>
        <w:t xml:space="preserve">legacy LTE-unlicensed system and it will not be any different for NR-unlicensed system as well. </w:t>
      </w:r>
      <w:r w:rsidR="009F64C5">
        <w:rPr>
          <w:szCs w:val="20"/>
          <w:lang w:val="en-US"/>
        </w:rPr>
        <w:t>L</w:t>
      </w:r>
      <w:r>
        <w:rPr>
          <w:szCs w:val="20"/>
          <w:lang w:val="en-US"/>
        </w:rPr>
        <w:t xml:space="preserve">egacy </w:t>
      </w:r>
      <w:r w:rsidR="009F64C5">
        <w:rPr>
          <w:szCs w:val="20"/>
          <w:lang w:val="en-US"/>
        </w:rPr>
        <w:t>LTE-unlicensed system</w:t>
      </w:r>
      <w:r>
        <w:rPr>
          <w:szCs w:val="20"/>
          <w:lang w:val="en-US"/>
        </w:rPr>
        <w:t xml:space="preserve"> or Rel-14 eLAA (enhanced Licensed Assisted Access) was designed to meet the aforementioned regulations </w:t>
      </w:r>
      <w:r w:rsidR="009F64C5">
        <w:rPr>
          <w:szCs w:val="20"/>
          <w:lang w:val="en-US"/>
        </w:rPr>
        <w:t>while utilizing the available spectrum efficiently. But</w:t>
      </w:r>
      <w:r w:rsidR="00721F9A">
        <w:rPr>
          <w:szCs w:val="20"/>
          <w:lang w:val="en-US"/>
        </w:rPr>
        <w:t xml:space="preserve"> the enhancement of</w:t>
      </w:r>
      <w:r w:rsidR="009F64C5">
        <w:rPr>
          <w:szCs w:val="20"/>
          <w:lang w:val="en-US"/>
        </w:rPr>
        <w:t xml:space="preserve"> LTE-unlicensed design to NR-unlicensed </w:t>
      </w:r>
      <w:r w:rsidR="008A1134">
        <w:rPr>
          <w:szCs w:val="20"/>
          <w:lang w:val="en-US"/>
        </w:rPr>
        <w:t>will not be straightforward</w:t>
      </w:r>
      <w:r w:rsidR="009F64C5">
        <w:rPr>
          <w:szCs w:val="20"/>
          <w:lang w:val="en-US"/>
        </w:rPr>
        <w:t xml:space="preserve">, since NR </w:t>
      </w:r>
      <w:r w:rsidR="008A1134">
        <w:rPr>
          <w:szCs w:val="20"/>
          <w:lang w:val="en-US"/>
        </w:rPr>
        <w:t xml:space="preserve">is targeted to </w:t>
      </w:r>
      <w:r w:rsidR="009F64C5">
        <w:rPr>
          <w:szCs w:val="20"/>
          <w:lang w:val="en-US"/>
        </w:rPr>
        <w:t>support diverse numerology configuration</w:t>
      </w:r>
      <w:r w:rsidR="008A1134">
        <w:rPr>
          <w:szCs w:val="20"/>
          <w:lang w:val="en-US"/>
        </w:rPr>
        <w:t>s</w:t>
      </w:r>
      <w:r w:rsidR="009F64C5">
        <w:rPr>
          <w:szCs w:val="20"/>
          <w:lang w:val="en-US"/>
        </w:rPr>
        <w:t xml:space="preserve"> with much wider channel bandwidth than LTE’s 20 MHz. On the other hand, though it is desirable to avoid unnecessary divergence from Rel-15 NR framework</w:t>
      </w:r>
      <w:r w:rsidR="008A1134">
        <w:rPr>
          <w:szCs w:val="20"/>
          <w:lang w:val="en-US"/>
        </w:rPr>
        <w:t xml:space="preserve"> as much as possible</w:t>
      </w:r>
      <w:r w:rsidR="009F64C5">
        <w:rPr>
          <w:szCs w:val="20"/>
          <w:lang w:val="en-US"/>
        </w:rPr>
        <w:t xml:space="preserve"> while designing </w:t>
      </w:r>
      <w:r w:rsidR="008A1134">
        <w:rPr>
          <w:szCs w:val="20"/>
          <w:lang w:val="en-US"/>
        </w:rPr>
        <w:t xml:space="preserve">uplink </w:t>
      </w:r>
      <w:r w:rsidR="009F64C5">
        <w:rPr>
          <w:szCs w:val="20"/>
          <w:lang w:val="en-US"/>
        </w:rPr>
        <w:t xml:space="preserve">physical </w:t>
      </w:r>
      <w:r w:rsidR="000270F8">
        <w:rPr>
          <w:szCs w:val="20"/>
          <w:lang w:val="en-US"/>
        </w:rPr>
        <w:t>signals</w:t>
      </w:r>
      <w:r w:rsidR="00036002">
        <w:rPr>
          <w:szCs w:val="20"/>
          <w:lang w:val="en-US"/>
        </w:rPr>
        <w:t>/</w:t>
      </w:r>
      <w:r w:rsidR="009F64C5">
        <w:rPr>
          <w:szCs w:val="20"/>
          <w:lang w:val="en-US"/>
        </w:rPr>
        <w:t>channels for NR-unlicensed</w:t>
      </w:r>
      <w:r w:rsidR="008A1134">
        <w:rPr>
          <w:szCs w:val="20"/>
          <w:lang w:val="en-US"/>
        </w:rPr>
        <w:t xml:space="preserve"> spectrum, the regulatory constraints will necessitate redesign</w:t>
      </w:r>
      <w:r w:rsidR="00072ED7">
        <w:rPr>
          <w:szCs w:val="20"/>
          <w:lang w:val="en-US"/>
        </w:rPr>
        <w:t xml:space="preserve"> </w:t>
      </w:r>
      <w:r w:rsidR="008A1134">
        <w:rPr>
          <w:szCs w:val="20"/>
          <w:lang w:val="en-US"/>
        </w:rPr>
        <w:t xml:space="preserve">of NR physical signals/channels to certain extent in order to meet the essential requirements of unlicensed spectrum usage. </w:t>
      </w:r>
      <w:r w:rsidR="00072ED7">
        <w:rPr>
          <w:szCs w:val="20"/>
          <w:lang w:val="en-US"/>
        </w:rPr>
        <w:t>In this regard</w:t>
      </w:r>
      <w:r w:rsidR="008A1134">
        <w:rPr>
          <w:szCs w:val="20"/>
          <w:lang w:val="en-US"/>
        </w:rPr>
        <w:t xml:space="preserve">, two different candidate approaches can be considered for the design of NR-unlicensed </w:t>
      </w:r>
      <w:r w:rsidR="003E615D">
        <w:rPr>
          <w:szCs w:val="20"/>
          <w:lang w:val="en-US"/>
        </w:rPr>
        <w:t xml:space="preserve">uplink </w:t>
      </w:r>
      <w:r w:rsidR="008A1134">
        <w:rPr>
          <w:szCs w:val="20"/>
          <w:lang w:val="en-US"/>
        </w:rPr>
        <w:t>physical channels</w:t>
      </w:r>
      <w:r w:rsidR="00072ED7">
        <w:rPr>
          <w:szCs w:val="20"/>
          <w:lang w:val="en-US"/>
        </w:rPr>
        <w:t xml:space="preserve">, viz. </w:t>
      </w:r>
    </w:p>
    <w:p w14:paraId="095FB29E" w14:textId="469E4034" w:rsidR="00553C8E" w:rsidRDefault="00553C8E" w:rsidP="00876D60">
      <w:pPr>
        <w:pStyle w:val="ListParagraph"/>
        <w:numPr>
          <w:ilvl w:val="0"/>
          <w:numId w:val="13"/>
        </w:numPr>
        <w:spacing w:before="120" w:after="120" w:line="240" w:lineRule="auto"/>
        <w:rPr>
          <w:szCs w:val="20"/>
          <w:lang w:val="en-US"/>
        </w:rPr>
      </w:pPr>
      <w:r w:rsidRPr="00553C8E">
        <w:rPr>
          <w:szCs w:val="20"/>
          <w:lang w:val="en-US"/>
        </w:rPr>
        <w:t xml:space="preserve">Enhancement of legacy LTE-unlicensed uplink physical channel </w:t>
      </w:r>
      <w:r w:rsidR="00C92E01">
        <w:rPr>
          <w:szCs w:val="20"/>
          <w:lang w:val="en-US"/>
        </w:rPr>
        <w:t>(distributed resource allocation or interlace)</w:t>
      </w:r>
    </w:p>
    <w:p w14:paraId="2EE9FCC5" w14:textId="2B0B5E64" w:rsidR="00553C8E" w:rsidRPr="00553C8E" w:rsidRDefault="00553C8E" w:rsidP="00876D60">
      <w:pPr>
        <w:pStyle w:val="ListParagraph"/>
        <w:numPr>
          <w:ilvl w:val="0"/>
          <w:numId w:val="13"/>
        </w:numPr>
        <w:spacing w:before="120" w:after="120" w:line="240" w:lineRule="auto"/>
        <w:rPr>
          <w:szCs w:val="20"/>
          <w:lang w:val="en-US"/>
        </w:rPr>
      </w:pPr>
      <w:r w:rsidRPr="00553C8E">
        <w:rPr>
          <w:szCs w:val="20"/>
          <w:lang w:val="en-US"/>
        </w:rPr>
        <w:t xml:space="preserve">Modification of legacy NR-licensed uplink physical channel </w:t>
      </w:r>
      <w:r w:rsidR="00C92E01">
        <w:rPr>
          <w:szCs w:val="20"/>
          <w:lang w:val="en-US"/>
        </w:rPr>
        <w:t>(</w:t>
      </w:r>
      <w:r w:rsidRPr="00553C8E">
        <w:rPr>
          <w:szCs w:val="20"/>
          <w:lang w:val="en-US"/>
        </w:rPr>
        <w:t xml:space="preserve">contiguous </w:t>
      </w:r>
      <w:r w:rsidR="00C92E01">
        <w:rPr>
          <w:szCs w:val="20"/>
          <w:lang w:val="en-US"/>
        </w:rPr>
        <w:t>resource</w:t>
      </w:r>
      <w:r w:rsidRPr="00553C8E">
        <w:rPr>
          <w:szCs w:val="20"/>
          <w:lang w:val="en-US"/>
        </w:rPr>
        <w:t xml:space="preserve"> allocation</w:t>
      </w:r>
      <w:r w:rsidR="00C92E01">
        <w:rPr>
          <w:szCs w:val="20"/>
          <w:lang w:val="en-US"/>
        </w:rPr>
        <w:t>)</w:t>
      </w:r>
    </w:p>
    <w:p w14:paraId="6A94799A" w14:textId="4D741A65" w:rsidR="008A648E" w:rsidRDefault="00072ED7" w:rsidP="003E615D">
      <w:pPr>
        <w:spacing w:before="120"/>
        <w:rPr>
          <w:rFonts w:ascii="Times New Roman" w:hAnsi="Times New Roman"/>
          <w:szCs w:val="20"/>
          <w:lang w:val="en-US"/>
        </w:rPr>
      </w:pPr>
      <w:r>
        <w:rPr>
          <w:rFonts w:ascii="Times New Roman" w:hAnsi="Times New Roman"/>
          <w:szCs w:val="20"/>
          <w:lang w:val="en-US"/>
        </w:rPr>
        <w:t>The advantages and drawbacks of both these two approaches are discussed in the following subsections.</w:t>
      </w:r>
    </w:p>
    <w:p w14:paraId="7A2573FF" w14:textId="3F9B1955" w:rsidR="00072ED7" w:rsidRDefault="00F31258" w:rsidP="003E615D">
      <w:pPr>
        <w:pStyle w:val="Heading2"/>
        <w:spacing w:after="120"/>
        <w:rPr>
          <w:lang w:val="en-US"/>
        </w:rPr>
      </w:pPr>
      <w:r>
        <w:rPr>
          <w:lang w:val="en-US"/>
        </w:rPr>
        <w:t>Uplink physical channels with d</w:t>
      </w:r>
      <w:r w:rsidR="003E615D">
        <w:rPr>
          <w:lang w:val="en-US"/>
        </w:rPr>
        <w:t xml:space="preserve">istributed </w:t>
      </w:r>
      <w:r w:rsidR="00C92E01">
        <w:rPr>
          <w:lang w:val="en-US"/>
        </w:rPr>
        <w:t>resource allocation (interlace)</w:t>
      </w:r>
    </w:p>
    <w:p w14:paraId="17630FB5" w14:textId="402A392B" w:rsidR="00C92E01" w:rsidRDefault="003E615D" w:rsidP="00AE788F">
      <w:pPr>
        <w:pStyle w:val="ListParagraph"/>
        <w:ind w:left="0"/>
      </w:pPr>
      <w:r>
        <w:rPr>
          <w:iCs/>
        </w:rPr>
        <w:t xml:space="preserve">In Rel-14 eLAA, in order to accommodate </w:t>
      </w:r>
      <w:r w:rsidR="002D0B4C">
        <w:rPr>
          <w:iCs/>
        </w:rPr>
        <w:t>the regulatory constraints and optimize the utilization of available spectrum</w:t>
      </w:r>
      <w:r>
        <w:rPr>
          <w:iCs/>
        </w:rPr>
        <w:t xml:space="preserve">, </w:t>
      </w:r>
      <w:r w:rsidR="002D0B4C">
        <w:rPr>
          <w:iCs/>
        </w:rPr>
        <w:t xml:space="preserve">an </w:t>
      </w:r>
      <w:r w:rsidR="00C92E01">
        <w:rPr>
          <w:iCs/>
        </w:rPr>
        <w:t>interlaced</w:t>
      </w:r>
      <w:r>
        <w:rPr>
          <w:iCs/>
        </w:rPr>
        <w:t xml:space="preserve"> </w:t>
      </w:r>
      <w:r w:rsidR="002D0B4C">
        <w:rPr>
          <w:iCs/>
        </w:rPr>
        <w:t>resource block (</w:t>
      </w:r>
      <w:r>
        <w:rPr>
          <w:iCs/>
        </w:rPr>
        <w:t>RB</w:t>
      </w:r>
      <w:r w:rsidR="002D0B4C">
        <w:rPr>
          <w:iCs/>
        </w:rPr>
        <w:t>)</w:t>
      </w:r>
      <w:r>
        <w:rPr>
          <w:iCs/>
        </w:rPr>
        <w:t xml:space="preserve"> allocation</w:t>
      </w:r>
      <w:r w:rsidR="002D0B4C">
        <w:rPr>
          <w:iCs/>
        </w:rPr>
        <w:t xml:space="preserve"> scheme has been introduced as the baseline for </w:t>
      </w:r>
      <w:r w:rsidR="00C92E01">
        <w:rPr>
          <w:iCs/>
        </w:rPr>
        <w:t>uplink transmission. In this Block IFDMA (B-IFDMA) based scheme,</w:t>
      </w:r>
      <w:r>
        <w:rPr>
          <w:iCs/>
        </w:rPr>
        <w:t xml:space="preserve"> </w:t>
      </w:r>
      <w:r w:rsidRPr="00706C1E">
        <w:t>user data are placed over interlaced RBs and are frequency multiplexed</w:t>
      </w:r>
      <w:r w:rsidR="00C92E01">
        <w:t>. Figure 1 illustrates the interlaced PRB allocation scheme for LTE eLAA PUSCH, where one interlace is considered as the basic resource allocation unit</w:t>
      </w:r>
      <w:r w:rsidR="003F7C0C">
        <w:t xml:space="preserve"> [5]</w:t>
      </w:r>
      <w:r w:rsidR="00C92E01">
        <w:t>.</w:t>
      </w:r>
      <w:r w:rsidR="003F7C0C">
        <w:t xml:space="preserve"> The interlace design has been such that a single interlace can meet the necessary OCB requirement, thereby allowing multiplexing of multiple UEs</w:t>
      </w:r>
      <w:r w:rsidR="00DA6B5E">
        <w:t xml:space="preserve"> on different interlaces</w:t>
      </w:r>
      <w:r w:rsidR="003F7C0C">
        <w:t>.</w:t>
      </w:r>
    </w:p>
    <w:p w14:paraId="1481F709" w14:textId="77777777" w:rsidR="00C92E01" w:rsidRDefault="00C92E01" w:rsidP="00D55632">
      <w:pPr>
        <w:pStyle w:val="ListParagraph"/>
        <w:ind w:left="0"/>
      </w:pPr>
    </w:p>
    <w:p w14:paraId="1AA4576A" w14:textId="00611E6D" w:rsidR="008A648E" w:rsidRDefault="00C92E01" w:rsidP="00C92E01">
      <w:pPr>
        <w:pStyle w:val="ListParagraph"/>
        <w:ind w:left="576"/>
        <w:jc w:val="center"/>
      </w:pPr>
      <w:r w:rsidRPr="00E8563F">
        <w:rPr>
          <w:b/>
          <w:noProof/>
          <w:szCs w:val="20"/>
          <w:lang w:val="en-US" w:eastAsia="ko-KR"/>
        </w:rPr>
        <w:lastRenderedPageBreak/>
        <w:drawing>
          <wp:inline distT="0" distB="0" distL="0" distR="0" wp14:anchorId="5D716509" wp14:editId="623E0560">
            <wp:extent cx="3323221" cy="2084718"/>
            <wp:effectExtent l="0" t="0" r="0" b="0"/>
            <wp:docPr id="23"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2"/>
                    <pic:cNvPicPr>
                      <a:picLocks noChangeAspect="1"/>
                    </pic:cNvPicPr>
                  </pic:nvPicPr>
                  <pic:blipFill rotWithShape="1">
                    <a:blip r:embed="rId12"/>
                    <a:srcRect r="21576" b="21162"/>
                    <a:stretch/>
                  </pic:blipFill>
                  <pic:spPr bwMode="auto">
                    <a:xfrm>
                      <a:off x="0" y="0"/>
                      <a:ext cx="3328991" cy="2088338"/>
                    </a:xfrm>
                    <a:prstGeom prst="rect">
                      <a:avLst/>
                    </a:prstGeom>
                    <a:ln>
                      <a:noFill/>
                    </a:ln>
                    <a:extLst>
                      <a:ext uri="{53640926-AAD7-44D8-BBD7-CCE9431645EC}">
                        <a14:shadowObscured xmlns:a14="http://schemas.microsoft.com/office/drawing/2010/main"/>
                      </a:ext>
                    </a:extLst>
                  </pic:spPr>
                </pic:pic>
              </a:graphicData>
            </a:graphic>
          </wp:inline>
        </w:drawing>
      </w:r>
    </w:p>
    <w:p w14:paraId="28D8FA50" w14:textId="2444A576" w:rsidR="00C92E01" w:rsidRDefault="00C92E01" w:rsidP="00C92E01">
      <w:pPr>
        <w:pStyle w:val="ListParagraph"/>
        <w:ind w:left="576"/>
        <w:jc w:val="center"/>
        <w:rPr>
          <w:b/>
        </w:rPr>
      </w:pPr>
      <w:r w:rsidRPr="00C92E01">
        <w:rPr>
          <w:b/>
        </w:rPr>
        <w:t>Figure 1. Interlace design for LTE-</w:t>
      </w:r>
      <w:proofErr w:type="spellStart"/>
      <w:r w:rsidRPr="00C92E01">
        <w:rPr>
          <w:b/>
        </w:rPr>
        <w:t>eLAA</w:t>
      </w:r>
      <w:proofErr w:type="spellEnd"/>
      <w:r w:rsidR="007C6739">
        <w:rPr>
          <w:b/>
        </w:rPr>
        <w:t xml:space="preserve"> PUSCH</w:t>
      </w:r>
    </w:p>
    <w:p w14:paraId="4781854E" w14:textId="77777777" w:rsidR="00C76E86" w:rsidRDefault="00C76E86" w:rsidP="00C92E01">
      <w:pPr>
        <w:pStyle w:val="ListParagraph"/>
        <w:ind w:left="576"/>
        <w:jc w:val="center"/>
        <w:rPr>
          <w:b/>
        </w:rPr>
      </w:pPr>
    </w:p>
    <w:p w14:paraId="11021DF8" w14:textId="23610E95" w:rsidR="008A648E" w:rsidRDefault="00DA6B5E" w:rsidP="00773969">
      <w:pPr>
        <w:pStyle w:val="ListParagraph"/>
        <w:spacing w:after="0"/>
        <w:ind w:left="0"/>
      </w:pPr>
      <w:r>
        <w:t>In</w:t>
      </w:r>
      <w:r w:rsidRPr="00DA6B5E">
        <w:t xml:space="preserve"> LTE eLAA</w:t>
      </w:r>
      <w:r>
        <w:t>, the B-IFDMA waveform consists of 10 RBs/interlace for both 10 MHz and 20 MHz system bandwidth</w:t>
      </w:r>
      <w:r w:rsidR="00036002">
        <w:t>s</w:t>
      </w:r>
      <w:r>
        <w:t xml:space="preserve">. The RBs within an interlace are equidistant and the total number of RBs used for transmission should be </w:t>
      </w:r>
      <w:r w:rsidR="00B24D44">
        <w:t>factorable</w:t>
      </w:r>
      <w:r>
        <w:t xml:space="preserve"> into 2</w:t>
      </w:r>
      <w:r>
        <w:rPr>
          <w:vertAlign w:val="superscript"/>
        </w:rPr>
        <w:t>a</w:t>
      </w:r>
      <w:r>
        <w:t>*3</w:t>
      </w:r>
      <w:r>
        <w:rPr>
          <w:vertAlign w:val="superscript"/>
        </w:rPr>
        <w:t>b</w:t>
      </w:r>
      <w:r>
        <w:t>*5</w:t>
      </w:r>
      <w:r>
        <w:rPr>
          <w:vertAlign w:val="superscript"/>
        </w:rPr>
        <w:t xml:space="preserve">c </w:t>
      </w:r>
      <w:r>
        <w:t>as in legacy LTE, where a, b, c are integers, for efficient implementation of DFT. DMRS reuses the legacy generation sequence and symbol positions, while keeping the same frequency positions as PUSCH REs.</w:t>
      </w:r>
    </w:p>
    <w:p w14:paraId="328100CB" w14:textId="774CCCC0" w:rsidR="00773969" w:rsidRDefault="00773969" w:rsidP="00773969">
      <w:r>
        <w:t xml:space="preserve">The PSD limit also has an impact on the interlace design. When contiguous PRBs are used for transmission, the total transmission power will be restricted by the PSD limit rather than the maximum transmit power limit, when the transmission bandwidth is not sufficiently wide. On the other hand, the use of interlaced PRBs </w:t>
      </w:r>
      <w:r w:rsidR="007C6739">
        <w:t xml:space="preserve">enables distributed resource allocation </w:t>
      </w:r>
      <w:r>
        <w:t xml:space="preserve">across channel bandwidth, which, in turn, allows </w:t>
      </w:r>
      <w:r w:rsidR="00036002">
        <w:t>the allocation of</w:t>
      </w:r>
      <w:r>
        <w:t xml:space="preserve"> transmission power on particular PRB(s) permitted by </w:t>
      </w:r>
      <w:r w:rsidR="007C6739">
        <w:t>the PSD limit, as illustrated in Figure 2.</w:t>
      </w:r>
      <w:r w:rsidR="003B764C">
        <w:t xml:space="preserve"> </w:t>
      </w:r>
    </w:p>
    <w:p w14:paraId="48D68961" w14:textId="77777777" w:rsidR="0089278F" w:rsidRDefault="0089278F" w:rsidP="00773969"/>
    <w:p w14:paraId="0A0E5E8E" w14:textId="7BE07ADD" w:rsidR="007C6739" w:rsidRDefault="007C6739" w:rsidP="007C6739">
      <w:pPr>
        <w:jc w:val="center"/>
      </w:pPr>
      <w:r w:rsidRPr="00CE0441">
        <w:rPr>
          <w:noProof/>
          <w:lang w:val="en-US" w:eastAsia="ko-KR"/>
        </w:rPr>
        <w:drawing>
          <wp:inline distT="0" distB="0" distL="0" distR="0" wp14:anchorId="6DD66BFD" wp14:editId="55F9C4EA">
            <wp:extent cx="3127022" cy="778715"/>
            <wp:effectExtent l="0" t="0" r="0" b="2540"/>
            <wp:docPr id="3" name="Picture 5"/>
            <wp:cNvGraphicFramePr/>
            <a:graphic xmlns:a="http://schemas.openxmlformats.org/drawingml/2006/main">
              <a:graphicData uri="http://schemas.openxmlformats.org/drawingml/2006/picture">
                <pic:pic xmlns:pic="http://schemas.openxmlformats.org/drawingml/2006/picture">
                  <pic:nvPicPr>
                    <pic:cNvPr id="6" name="Picture 5"/>
                    <pic:cNvPicPr/>
                  </pic:nvPicPr>
                  <pic:blipFill>
                    <a:blip r:embed="rId13"/>
                    <a:stretch>
                      <a:fillRect/>
                    </a:stretch>
                  </pic:blipFill>
                  <pic:spPr>
                    <a:xfrm>
                      <a:off x="0" y="0"/>
                      <a:ext cx="3184007" cy="792906"/>
                    </a:xfrm>
                    <a:prstGeom prst="rect">
                      <a:avLst/>
                    </a:prstGeom>
                  </pic:spPr>
                </pic:pic>
              </a:graphicData>
            </a:graphic>
          </wp:inline>
        </w:drawing>
      </w:r>
    </w:p>
    <w:p w14:paraId="4D3A70BC" w14:textId="77777777" w:rsidR="0089278F" w:rsidRDefault="003B764C" w:rsidP="0089278F">
      <w:pPr>
        <w:spacing w:before="240"/>
        <w:jc w:val="center"/>
        <w:rPr>
          <w:b/>
          <w:szCs w:val="20"/>
        </w:rPr>
      </w:pPr>
      <w:r w:rsidRPr="003B764C">
        <w:rPr>
          <w:b/>
          <w:szCs w:val="20"/>
        </w:rPr>
        <w:t>Figure 2. Illustration of PSD 1 MHz window assuming 15 kHz subcarrier spacing</w:t>
      </w:r>
    </w:p>
    <w:p w14:paraId="261949DA" w14:textId="1BE97A23" w:rsidR="00EC34A7" w:rsidRDefault="0089278F" w:rsidP="0089278F">
      <w:pPr>
        <w:spacing w:before="240"/>
        <w:rPr>
          <w:szCs w:val="20"/>
          <w:lang w:val="en-US"/>
        </w:rPr>
      </w:pPr>
      <w:r>
        <w:rPr>
          <w:szCs w:val="20"/>
          <w:lang w:val="en-US"/>
        </w:rPr>
        <w:t>Since interlaced RB allocation based scheme has several advantages, e.g. power boosting gain</w:t>
      </w:r>
      <w:r w:rsidR="00790736">
        <w:rPr>
          <w:szCs w:val="20"/>
          <w:lang w:val="en-US"/>
        </w:rPr>
        <w:t xml:space="preserve"> </w:t>
      </w:r>
      <w:r w:rsidR="006C3BD9">
        <w:rPr>
          <w:szCs w:val="20"/>
          <w:lang w:val="en-US"/>
        </w:rPr>
        <w:t>(</w:t>
      </w:r>
      <w:r w:rsidR="00790736">
        <w:rPr>
          <w:szCs w:val="20"/>
          <w:lang w:val="en-US"/>
        </w:rPr>
        <w:t>although distributed allocation would generally require higher power backoff to meet the ACLR requirement</w:t>
      </w:r>
      <w:r w:rsidR="006C3BD9">
        <w:rPr>
          <w:szCs w:val="20"/>
          <w:lang w:val="en-US"/>
        </w:rPr>
        <w:t>)</w:t>
      </w:r>
      <w:r>
        <w:rPr>
          <w:szCs w:val="20"/>
          <w:lang w:val="en-US"/>
        </w:rPr>
        <w:t>, efficient resource utilization and UE multiplexing capability while meeting OCB requirement</w:t>
      </w:r>
      <w:r w:rsidR="00790736">
        <w:rPr>
          <w:szCs w:val="20"/>
          <w:lang w:val="en-US"/>
        </w:rPr>
        <w:t>,</w:t>
      </w:r>
      <w:r>
        <w:rPr>
          <w:szCs w:val="20"/>
          <w:lang w:val="en-US"/>
        </w:rPr>
        <w:t xml:space="preserve"> etc., it is natural to consider an enhancement of similar transmission scheme (i.e. interlaced distributed RB allocation) to NR-unlic</w:t>
      </w:r>
      <w:r w:rsidR="002D3237">
        <w:rPr>
          <w:szCs w:val="20"/>
          <w:lang w:val="en-US"/>
        </w:rPr>
        <w:t>e</w:t>
      </w:r>
      <w:r>
        <w:rPr>
          <w:szCs w:val="20"/>
          <w:lang w:val="en-US"/>
        </w:rPr>
        <w:t xml:space="preserve">nsed </w:t>
      </w:r>
      <w:r w:rsidR="002D3237">
        <w:rPr>
          <w:szCs w:val="20"/>
          <w:lang w:val="en-US"/>
        </w:rPr>
        <w:t>physical channel design as well. The scope of enhancement, however, is not that straightforward, given multiple numerologies as well as much wider bandwidth operation that NR is targeted to support, unlike legacy LTE. There are multiple challenges in the way of legacy LTE eLAA extension to NR-unlicensed domain as discussed below:</w:t>
      </w:r>
    </w:p>
    <w:p w14:paraId="34AFEA75" w14:textId="4755659B" w:rsidR="00035B4C" w:rsidRPr="00035B4C" w:rsidRDefault="002D3237" w:rsidP="00876D60">
      <w:pPr>
        <w:pStyle w:val="ListParagraph"/>
        <w:numPr>
          <w:ilvl w:val="0"/>
          <w:numId w:val="14"/>
        </w:numPr>
        <w:spacing w:before="240" w:after="240" w:line="240" w:lineRule="auto"/>
        <w:rPr>
          <w:rFonts w:eastAsia="Batang"/>
          <w:b/>
          <w:szCs w:val="20"/>
          <w:u w:val="single"/>
          <w:lang w:val="en-US"/>
        </w:rPr>
      </w:pPr>
      <w:r w:rsidRPr="002D3237">
        <w:rPr>
          <w:szCs w:val="20"/>
        </w:rPr>
        <w:t>Interlace design will be numerology dependent, i.e.</w:t>
      </w:r>
      <w:r w:rsidR="006D58CB">
        <w:rPr>
          <w:szCs w:val="20"/>
        </w:rPr>
        <w:t>,</w:t>
      </w:r>
      <w:r w:rsidRPr="00D05191">
        <w:rPr>
          <w:rFonts w:eastAsia="Batang"/>
          <w:szCs w:val="20"/>
          <w:lang w:val="en-US"/>
        </w:rPr>
        <w:t xml:space="preserve"> </w:t>
      </w:r>
      <w:r w:rsidR="00D05191">
        <w:rPr>
          <w:rFonts w:eastAsia="Batang"/>
          <w:szCs w:val="20"/>
          <w:lang w:val="en-US"/>
        </w:rPr>
        <w:t>the legacy LTE eLAA uniform-interlace (i.e. same number of RBs per interlace for each interlace) for 10 and 20 MHz bandwidth</w:t>
      </w:r>
      <w:r w:rsidR="002F586B">
        <w:rPr>
          <w:rFonts w:eastAsia="Batang"/>
          <w:szCs w:val="20"/>
          <w:lang w:val="en-US"/>
        </w:rPr>
        <w:t>s</w:t>
      </w:r>
      <w:r w:rsidR="00D05191">
        <w:rPr>
          <w:rFonts w:eastAsia="Batang"/>
          <w:szCs w:val="20"/>
          <w:lang w:val="en-US"/>
        </w:rPr>
        <w:t xml:space="preserve"> and 15 KHz subcarrier spacing may not be appropriate for numerous numerology configurations that NR is targeted to support in the 5GHz band, as shown in the table below</w:t>
      </w:r>
      <w:r w:rsidR="00035B4C">
        <w:rPr>
          <w:rFonts w:eastAsia="Batang"/>
          <w:szCs w:val="20"/>
          <w:lang w:val="en-US"/>
        </w:rPr>
        <w:t>.</w:t>
      </w:r>
    </w:p>
    <w:p w14:paraId="7E58A578" w14:textId="77777777" w:rsidR="00035B4C" w:rsidRPr="00035B4C" w:rsidRDefault="00035B4C" w:rsidP="00035B4C">
      <w:pPr>
        <w:pStyle w:val="ListParagraph"/>
        <w:spacing w:before="240" w:after="240"/>
        <w:ind w:left="360"/>
        <w:rPr>
          <w:rFonts w:eastAsia="Batang"/>
          <w:b/>
          <w:szCs w:val="20"/>
          <w:u w:val="single"/>
          <w:lang w:val="en-US"/>
        </w:rPr>
      </w:pPr>
    </w:p>
    <w:p w14:paraId="046C72A9" w14:textId="78BE7529" w:rsidR="00D05191" w:rsidRPr="00D05191" w:rsidRDefault="00D05191" w:rsidP="00035B4C">
      <w:pPr>
        <w:pStyle w:val="ListParagraph"/>
        <w:spacing w:before="120" w:after="120" w:line="240" w:lineRule="auto"/>
        <w:ind w:left="0"/>
        <w:contextualSpacing w:val="0"/>
        <w:jc w:val="center"/>
        <w:rPr>
          <w:rFonts w:eastAsia="Batang"/>
          <w:b/>
          <w:szCs w:val="20"/>
          <w:lang w:val="en-US"/>
        </w:rPr>
      </w:pPr>
      <w:r w:rsidRPr="00D05191">
        <w:rPr>
          <w:rFonts w:eastAsia="Batang"/>
          <w:b/>
          <w:szCs w:val="20"/>
          <w:lang w:val="en-US"/>
        </w:rPr>
        <w:t>Table I. Maximum transmission bandwidth configuration N</w:t>
      </w:r>
      <w:r w:rsidRPr="00D05191">
        <w:rPr>
          <w:rFonts w:eastAsia="Batang"/>
          <w:b/>
          <w:szCs w:val="20"/>
          <w:vertAlign w:val="subscript"/>
          <w:lang w:val="en-US"/>
        </w:rPr>
        <w:t>RB</w:t>
      </w:r>
      <w:r w:rsidRPr="00D05191">
        <w:rPr>
          <w:rFonts w:eastAsia="Batang"/>
          <w:b/>
          <w:szCs w:val="20"/>
          <w:lang w:val="en-US"/>
        </w:rPr>
        <w:t xml:space="preserve"> for </w:t>
      </w:r>
      <w:r>
        <w:rPr>
          <w:rFonts w:eastAsia="Batang"/>
          <w:b/>
          <w:szCs w:val="20"/>
          <w:lang w:val="en-US"/>
        </w:rPr>
        <w:t>frequency range 1 FR1</w:t>
      </w:r>
      <w:r w:rsidRPr="00D05191">
        <w:rPr>
          <w:rFonts w:eastAsia="Batang"/>
          <w:b/>
          <w:szCs w:val="20"/>
          <w:lang w:val="en-US"/>
        </w:rPr>
        <w:t xml:space="preserve"> (450 </w:t>
      </w:r>
      <w:r>
        <w:rPr>
          <w:rFonts w:eastAsia="Batang"/>
          <w:b/>
          <w:szCs w:val="20"/>
          <w:lang w:val="en-US"/>
        </w:rPr>
        <w:t>– 6000 MHz) [6</w:t>
      </w:r>
      <w:r w:rsidRPr="00D05191">
        <w:rPr>
          <w:rFonts w:eastAsia="Batang"/>
          <w:b/>
          <w:szCs w:val="20"/>
          <w:lang w:val="en-US"/>
        </w:rPr>
        <w:t>]</w:t>
      </w:r>
    </w:p>
    <w:tbl>
      <w:tblPr>
        <w:tblW w:w="9710" w:type="dxa"/>
        <w:jc w:val="center"/>
        <w:tblCellMar>
          <w:left w:w="0" w:type="dxa"/>
          <w:right w:w="0" w:type="dxa"/>
        </w:tblCellMar>
        <w:tblLook w:val="0600" w:firstRow="0" w:lastRow="0" w:firstColumn="0" w:lastColumn="0" w:noHBand="1" w:noVBand="1"/>
      </w:tblPr>
      <w:tblGrid>
        <w:gridCol w:w="796"/>
        <w:gridCol w:w="813"/>
        <w:gridCol w:w="813"/>
        <w:gridCol w:w="813"/>
        <w:gridCol w:w="796"/>
        <w:gridCol w:w="796"/>
        <w:gridCol w:w="796"/>
        <w:gridCol w:w="813"/>
        <w:gridCol w:w="813"/>
        <w:gridCol w:w="796"/>
        <w:gridCol w:w="796"/>
        <w:gridCol w:w="869"/>
      </w:tblGrid>
      <w:tr w:rsidR="00D05191" w:rsidRPr="00D05191" w14:paraId="7478F9E9" w14:textId="77777777" w:rsidTr="00AE788F">
        <w:trPr>
          <w:trHeight w:val="217"/>
          <w:jc w:val="center"/>
        </w:trPr>
        <w:tc>
          <w:tcPr>
            <w:tcW w:w="79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3570FE54"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eastAsia="Times New Roman" w:hAnsi="Times New Roman"/>
                <w:b/>
                <w:bCs/>
                <w:color w:val="000000" w:themeColor="text1"/>
                <w:kern w:val="24"/>
                <w:sz w:val="18"/>
                <w:szCs w:val="18"/>
                <w:lang w:eastAsia="ko-KR"/>
              </w:rPr>
              <w:t>SCS (kHz)</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4AD9B8D4"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eastAsia="Times New Roman" w:hAnsi="Times New Roman"/>
                <w:b/>
                <w:bCs/>
                <w:color w:val="000000" w:themeColor="text1"/>
                <w:kern w:val="24"/>
                <w:sz w:val="18"/>
                <w:szCs w:val="18"/>
                <w:lang w:eastAsia="ko-KR"/>
              </w:rPr>
              <w:t>5MHz</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1D946E77"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eastAsia="Times New Roman" w:hAnsi="Times New Roman"/>
                <w:b/>
                <w:bCs/>
                <w:color w:val="000000" w:themeColor="text1"/>
                <w:kern w:val="24"/>
                <w:sz w:val="18"/>
                <w:szCs w:val="18"/>
                <w:lang w:eastAsia="ko-KR"/>
              </w:rPr>
              <w:t>10MHz</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625E8FB7"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eastAsia="Times New Roman" w:hAnsi="Times New Roman"/>
                <w:b/>
                <w:bCs/>
                <w:color w:val="000000" w:themeColor="text1"/>
                <w:kern w:val="24"/>
                <w:sz w:val="18"/>
                <w:szCs w:val="18"/>
                <w:lang w:eastAsia="ko-KR"/>
              </w:rPr>
              <w:t>15MHz</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60BC3A11"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eastAsia="Times New Roman" w:hAnsi="Times New Roman"/>
                <w:b/>
                <w:bCs/>
                <w:color w:val="000000" w:themeColor="text1"/>
                <w:kern w:val="24"/>
                <w:sz w:val="18"/>
                <w:szCs w:val="18"/>
                <w:lang w:eastAsia="ko-KR"/>
              </w:rPr>
              <w:t>20 MHz</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300C8F2B"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eastAsia="Times New Roman" w:hAnsi="Times New Roman"/>
                <w:b/>
                <w:bCs/>
                <w:color w:val="000000" w:themeColor="text1"/>
                <w:kern w:val="24"/>
                <w:sz w:val="18"/>
                <w:szCs w:val="18"/>
                <w:lang w:eastAsia="ko-KR"/>
              </w:rPr>
              <w:t>25 MHz</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CDD3B29"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eastAsia="Times New Roman" w:hAnsi="Times New Roman"/>
                <w:b/>
                <w:bCs/>
                <w:color w:val="000000" w:themeColor="text1"/>
                <w:kern w:val="24"/>
                <w:sz w:val="18"/>
                <w:szCs w:val="18"/>
                <w:lang w:eastAsia="ko-KR"/>
              </w:rPr>
              <w:t>30 MHz</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7E338C3A"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eastAsia="Times New Roman" w:hAnsi="Times New Roman"/>
                <w:b/>
                <w:bCs/>
                <w:color w:val="000000" w:themeColor="text1"/>
                <w:kern w:val="24"/>
                <w:sz w:val="18"/>
                <w:szCs w:val="18"/>
                <w:lang w:eastAsia="ko-KR"/>
              </w:rPr>
              <w:t>40 MHz</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1A97827C"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eastAsia="Times New Roman" w:hAnsi="Times New Roman"/>
                <w:b/>
                <w:bCs/>
                <w:color w:val="000000" w:themeColor="text1"/>
                <w:kern w:val="24"/>
                <w:sz w:val="18"/>
                <w:szCs w:val="18"/>
                <w:lang w:eastAsia="ko-KR"/>
              </w:rPr>
              <w:t>50MHz</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41759ACD"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eastAsia="Times New Roman" w:hAnsi="Times New Roman"/>
                <w:b/>
                <w:bCs/>
                <w:color w:val="000000" w:themeColor="text1"/>
                <w:kern w:val="24"/>
                <w:sz w:val="18"/>
                <w:szCs w:val="18"/>
                <w:lang w:eastAsia="ko-KR"/>
              </w:rPr>
              <w:t>60 MHz</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57C07673"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eastAsia="Times New Roman" w:hAnsi="Times New Roman"/>
                <w:b/>
                <w:bCs/>
                <w:color w:val="000000" w:themeColor="text1"/>
                <w:kern w:val="24"/>
                <w:sz w:val="18"/>
                <w:szCs w:val="18"/>
                <w:lang w:eastAsia="ko-KR"/>
              </w:rPr>
              <w:t>80 MHz</w:t>
            </w:r>
          </w:p>
        </w:tc>
        <w:tc>
          <w:tcPr>
            <w:tcW w:w="8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0D8CFAAA"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eastAsia="Times New Roman" w:hAnsi="Times New Roman"/>
                <w:b/>
                <w:bCs/>
                <w:color w:val="000000" w:themeColor="text1"/>
                <w:kern w:val="24"/>
                <w:sz w:val="18"/>
                <w:szCs w:val="18"/>
                <w:lang w:eastAsia="ko-KR"/>
              </w:rPr>
              <w:t>100 MHz</w:t>
            </w:r>
          </w:p>
        </w:tc>
      </w:tr>
      <w:tr w:rsidR="00D05191" w:rsidRPr="00D05191" w14:paraId="0CE0466C" w14:textId="77777777" w:rsidTr="00AE788F">
        <w:trPr>
          <w:trHeight w:val="14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0185BA6" w14:textId="77777777" w:rsidR="00D05191" w:rsidRPr="00D05191" w:rsidRDefault="00D05191" w:rsidP="00AE788F">
            <w:pPr>
              <w:spacing w:after="0"/>
              <w:jc w:val="center"/>
              <w:rPr>
                <w:rFonts w:ascii="Times New Roman" w:eastAsia="Times New Roman" w:hAnsi="Times New Roman"/>
                <w:sz w:val="18"/>
                <w:szCs w:val="18"/>
                <w:lang w:val="en-US" w:eastAsia="ko-KR"/>
              </w:rPr>
            </w:pP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2180E0D3"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eastAsia="Times New Roman" w:hAnsi="Times New Roman"/>
                <w:b/>
                <w:bCs/>
                <w:color w:val="000000" w:themeColor="text1"/>
                <w:kern w:val="24"/>
                <w:sz w:val="18"/>
                <w:szCs w:val="18"/>
                <w:lang w:eastAsia="ko-KR"/>
              </w:rPr>
              <w:t>N</w:t>
            </w:r>
            <w:r w:rsidRPr="00D05191">
              <w:rPr>
                <w:rFonts w:ascii="Times New Roman" w:eastAsia="Times New Roman" w:hAnsi="Times New Roman"/>
                <w:b/>
                <w:bCs/>
                <w:color w:val="000000" w:themeColor="text1"/>
                <w:kern w:val="24"/>
                <w:position w:val="-5"/>
                <w:sz w:val="18"/>
                <w:szCs w:val="18"/>
                <w:vertAlign w:val="subscript"/>
                <w:lang w:eastAsia="ko-KR"/>
              </w:rPr>
              <w:t>RB</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683DB93F"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eastAsia="Times New Roman" w:hAnsi="Times New Roman"/>
                <w:b/>
                <w:bCs/>
                <w:color w:val="000000" w:themeColor="text1"/>
                <w:kern w:val="24"/>
                <w:sz w:val="18"/>
                <w:szCs w:val="18"/>
                <w:lang w:eastAsia="ko-KR"/>
              </w:rPr>
              <w:t>N</w:t>
            </w:r>
            <w:r w:rsidRPr="00D05191">
              <w:rPr>
                <w:rFonts w:ascii="Times New Roman" w:eastAsia="Times New Roman" w:hAnsi="Times New Roman"/>
                <w:b/>
                <w:bCs/>
                <w:color w:val="000000" w:themeColor="text1"/>
                <w:kern w:val="24"/>
                <w:position w:val="-5"/>
                <w:sz w:val="18"/>
                <w:szCs w:val="18"/>
                <w:vertAlign w:val="subscript"/>
                <w:lang w:eastAsia="ko-KR"/>
              </w:rPr>
              <w:t>RB</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22F88160"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eastAsia="Times New Roman" w:hAnsi="Times New Roman"/>
                <w:b/>
                <w:bCs/>
                <w:color w:val="000000" w:themeColor="text1"/>
                <w:kern w:val="24"/>
                <w:sz w:val="18"/>
                <w:szCs w:val="18"/>
                <w:lang w:eastAsia="ko-KR"/>
              </w:rPr>
              <w:t>N</w:t>
            </w:r>
            <w:r w:rsidRPr="00D05191">
              <w:rPr>
                <w:rFonts w:ascii="Times New Roman" w:eastAsia="Times New Roman" w:hAnsi="Times New Roman"/>
                <w:b/>
                <w:bCs/>
                <w:color w:val="000000" w:themeColor="text1"/>
                <w:kern w:val="24"/>
                <w:position w:val="-5"/>
                <w:sz w:val="18"/>
                <w:szCs w:val="18"/>
                <w:vertAlign w:val="subscript"/>
                <w:lang w:eastAsia="ko-KR"/>
              </w:rPr>
              <w:t>RB</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32881166"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eastAsia="Times New Roman" w:hAnsi="Times New Roman"/>
                <w:b/>
                <w:bCs/>
                <w:color w:val="000000" w:themeColor="text1"/>
                <w:kern w:val="24"/>
                <w:sz w:val="18"/>
                <w:szCs w:val="18"/>
                <w:lang w:eastAsia="ko-KR"/>
              </w:rPr>
              <w:t>N</w:t>
            </w:r>
            <w:r w:rsidRPr="00D05191">
              <w:rPr>
                <w:rFonts w:ascii="Times New Roman" w:eastAsia="Times New Roman" w:hAnsi="Times New Roman"/>
                <w:b/>
                <w:bCs/>
                <w:color w:val="000000" w:themeColor="text1"/>
                <w:kern w:val="24"/>
                <w:position w:val="-5"/>
                <w:sz w:val="18"/>
                <w:szCs w:val="18"/>
                <w:vertAlign w:val="subscript"/>
                <w:lang w:eastAsia="ko-KR"/>
              </w:rPr>
              <w:t>RB</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29104182"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eastAsia="Times New Roman" w:hAnsi="Times New Roman"/>
                <w:b/>
                <w:bCs/>
                <w:color w:val="000000" w:themeColor="text1"/>
                <w:kern w:val="24"/>
                <w:sz w:val="18"/>
                <w:szCs w:val="18"/>
                <w:lang w:eastAsia="ko-KR"/>
              </w:rPr>
              <w:t>N</w:t>
            </w:r>
            <w:r w:rsidRPr="00D05191">
              <w:rPr>
                <w:rFonts w:ascii="Times New Roman" w:eastAsia="Times New Roman" w:hAnsi="Times New Roman"/>
                <w:b/>
                <w:bCs/>
                <w:color w:val="000000" w:themeColor="text1"/>
                <w:kern w:val="24"/>
                <w:position w:val="-5"/>
                <w:sz w:val="18"/>
                <w:szCs w:val="18"/>
                <w:vertAlign w:val="subscript"/>
                <w:lang w:eastAsia="ko-KR"/>
              </w:rPr>
              <w:t>RB</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FADEEB1"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eastAsia="Times New Roman" w:hAnsi="Times New Roman"/>
                <w:b/>
                <w:bCs/>
                <w:color w:val="000000" w:themeColor="text1"/>
                <w:kern w:val="24"/>
                <w:sz w:val="18"/>
                <w:szCs w:val="18"/>
                <w:lang w:eastAsia="ko-KR"/>
              </w:rPr>
              <w:t>N</w:t>
            </w:r>
            <w:r w:rsidRPr="00D05191">
              <w:rPr>
                <w:rFonts w:ascii="Times New Roman" w:eastAsia="Times New Roman" w:hAnsi="Times New Roman"/>
                <w:b/>
                <w:bCs/>
                <w:color w:val="000000" w:themeColor="text1"/>
                <w:kern w:val="24"/>
                <w:position w:val="-5"/>
                <w:sz w:val="18"/>
                <w:szCs w:val="18"/>
                <w:vertAlign w:val="subscript"/>
                <w:lang w:eastAsia="ko-KR"/>
              </w:rPr>
              <w:t>RB</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7EAAEDAA"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eastAsia="Times New Roman" w:hAnsi="Times New Roman"/>
                <w:b/>
                <w:bCs/>
                <w:color w:val="000000" w:themeColor="text1"/>
                <w:kern w:val="24"/>
                <w:sz w:val="18"/>
                <w:szCs w:val="18"/>
                <w:lang w:eastAsia="ko-KR"/>
              </w:rPr>
              <w:t>N</w:t>
            </w:r>
            <w:r w:rsidRPr="00D05191">
              <w:rPr>
                <w:rFonts w:ascii="Times New Roman" w:eastAsia="Times New Roman" w:hAnsi="Times New Roman"/>
                <w:b/>
                <w:bCs/>
                <w:color w:val="000000" w:themeColor="text1"/>
                <w:kern w:val="24"/>
                <w:position w:val="-5"/>
                <w:sz w:val="18"/>
                <w:szCs w:val="18"/>
                <w:vertAlign w:val="subscript"/>
                <w:lang w:eastAsia="ko-KR"/>
              </w:rPr>
              <w:t>RB</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7E6C8C37"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eastAsia="Times New Roman" w:hAnsi="Times New Roman"/>
                <w:b/>
                <w:bCs/>
                <w:color w:val="000000" w:themeColor="text1"/>
                <w:kern w:val="24"/>
                <w:sz w:val="18"/>
                <w:szCs w:val="18"/>
                <w:lang w:eastAsia="ko-KR"/>
              </w:rPr>
              <w:t>N</w:t>
            </w:r>
            <w:r w:rsidRPr="00D05191">
              <w:rPr>
                <w:rFonts w:ascii="Times New Roman" w:eastAsia="Times New Roman" w:hAnsi="Times New Roman"/>
                <w:b/>
                <w:bCs/>
                <w:color w:val="000000" w:themeColor="text1"/>
                <w:kern w:val="24"/>
                <w:position w:val="-5"/>
                <w:sz w:val="18"/>
                <w:szCs w:val="18"/>
                <w:vertAlign w:val="subscript"/>
                <w:lang w:eastAsia="ko-KR"/>
              </w:rPr>
              <w:t>RB</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254C04C1"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eastAsia="Times New Roman" w:hAnsi="Times New Roman"/>
                <w:b/>
                <w:bCs/>
                <w:color w:val="000000" w:themeColor="text1"/>
                <w:kern w:val="24"/>
                <w:sz w:val="18"/>
                <w:szCs w:val="18"/>
                <w:lang w:eastAsia="ko-KR"/>
              </w:rPr>
              <w:t>N</w:t>
            </w:r>
            <w:r w:rsidRPr="00D05191">
              <w:rPr>
                <w:rFonts w:ascii="Times New Roman" w:eastAsia="Times New Roman" w:hAnsi="Times New Roman"/>
                <w:b/>
                <w:bCs/>
                <w:color w:val="000000" w:themeColor="text1"/>
                <w:kern w:val="24"/>
                <w:position w:val="-5"/>
                <w:sz w:val="18"/>
                <w:szCs w:val="18"/>
                <w:vertAlign w:val="subscript"/>
                <w:lang w:eastAsia="ko-KR"/>
              </w:rPr>
              <w:t>RB</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705F33CE"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eastAsia="Times New Roman" w:hAnsi="Times New Roman"/>
                <w:b/>
                <w:bCs/>
                <w:color w:val="000000" w:themeColor="text1"/>
                <w:kern w:val="24"/>
                <w:sz w:val="18"/>
                <w:szCs w:val="18"/>
                <w:lang w:eastAsia="ko-KR"/>
              </w:rPr>
              <w:t>N</w:t>
            </w:r>
            <w:r w:rsidRPr="00D05191">
              <w:rPr>
                <w:rFonts w:ascii="Times New Roman" w:eastAsia="Times New Roman" w:hAnsi="Times New Roman"/>
                <w:b/>
                <w:bCs/>
                <w:color w:val="000000" w:themeColor="text1"/>
                <w:kern w:val="24"/>
                <w:position w:val="-5"/>
                <w:sz w:val="18"/>
                <w:szCs w:val="18"/>
                <w:vertAlign w:val="subscript"/>
                <w:lang w:eastAsia="ko-KR"/>
              </w:rPr>
              <w:t>RB</w:t>
            </w:r>
          </w:p>
        </w:tc>
        <w:tc>
          <w:tcPr>
            <w:tcW w:w="8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0F5361EC"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eastAsia="Times New Roman" w:hAnsi="Times New Roman"/>
                <w:b/>
                <w:bCs/>
                <w:color w:val="000000" w:themeColor="text1"/>
                <w:kern w:val="24"/>
                <w:sz w:val="18"/>
                <w:szCs w:val="18"/>
                <w:lang w:eastAsia="ko-KR"/>
              </w:rPr>
              <w:t>N</w:t>
            </w:r>
            <w:r w:rsidRPr="00D05191">
              <w:rPr>
                <w:rFonts w:ascii="Times New Roman" w:eastAsia="Times New Roman" w:hAnsi="Times New Roman"/>
                <w:b/>
                <w:bCs/>
                <w:color w:val="000000" w:themeColor="text1"/>
                <w:kern w:val="24"/>
                <w:position w:val="-5"/>
                <w:sz w:val="18"/>
                <w:szCs w:val="18"/>
                <w:vertAlign w:val="subscript"/>
                <w:lang w:eastAsia="ko-KR"/>
              </w:rPr>
              <w:t>RB</w:t>
            </w:r>
          </w:p>
        </w:tc>
      </w:tr>
      <w:tr w:rsidR="00D05191" w:rsidRPr="00D05191" w14:paraId="0678B846" w14:textId="77777777" w:rsidTr="00AE788F">
        <w:trPr>
          <w:trHeight w:val="127"/>
          <w:jc w:val="center"/>
        </w:trPr>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12FA4CBE"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eastAsia="Times New Roman" w:hAnsi="Times New Roman"/>
                <w:color w:val="000000" w:themeColor="text1"/>
                <w:kern w:val="24"/>
                <w:sz w:val="18"/>
                <w:szCs w:val="18"/>
                <w:lang w:eastAsia="ko-KR"/>
              </w:rPr>
              <w:t>15</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275ECEA5"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hAnsi="Times New Roman"/>
                <w:sz w:val="18"/>
                <w:szCs w:val="18"/>
              </w:rPr>
              <w:t>25</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7B2A5D90"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hAnsi="Times New Roman"/>
                <w:sz w:val="18"/>
                <w:szCs w:val="18"/>
              </w:rPr>
              <w:t>52</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23546469"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hAnsi="Times New Roman"/>
                <w:sz w:val="18"/>
                <w:szCs w:val="18"/>
              </w:rPr>
              <w:t>79</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779CD6CD"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hAnsi="Times New Roman"/>
                <w:sz w:val="18"/>
                <w:szCs w:val="18"/>
              </w:rPr>
              <w:t>106</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56E95B53"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hAnsi="Times New Roman"/>
                <w:sz w:val="18"/>
                <w:szCs w:val="18"/>
              </w:rPr>
              <w:t>133</w:t>
            </w:r>
          </w:p>
        </w:tc>
        <w:tc>
          <w:tcPr>
            <w:tcW w:w="796" w:type="dxa"/>
            <w:tcBorders>
              <w:top w:val="nil"/>
              <w:left w:val="nil"/>
              <w:bottom w:val="single" w:sz="8" w:space="0" w:color="auto"/>
              <w:right w:val="single" w:sz="8" w:space="0" w:color="auto"/>
            </w:tcBorders>
            <w:tcMar>
              <w:top w:w="15" w:type="dxa"/>
              <w:left w:w="15" w:type="dxa"/>
              <w:bottom w:w="0" w:type="dxa"/>
              <w:right w:w="15" w:type="dxa"/>
            </w:tcMar>
            <w:vAlign w:val="center"/>
            <w:hideMark/>
          </w:tcPr>
          <w:p w14:paraId="51616BDF"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hAnsi="Times New Roman"/>
                <w:sz w:val="18"/>
                <w:szCs w:val="18"/>
              </w:rPr>
              <w:t>[160]</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2174395B"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hAnsi="Times New Roman"/>
                <w:sz w:val="18"/>
                <w:szCs w:val="18"/>
              </w:rPr>
              <w:t>216</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02C92EC1"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hAnsi="Times New Roman"/>
                <w:sz w:val="18"/>
                <w:szCs w:val="18"/>
              </w:rPr>
              <w:t>270</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7B135BA8"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hAnsi="Times New Roman"/>
                <w:sz w:val="18"/>
                <w:szCs w:val="18"/>
              </w:rPr>
              <w:t>N/A</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30B0290E"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hAnsi="Times New Roman"/>
                <w:sz w:val="18"/>
                <w:szCs w:val="18"/>
              </w:rPr>
              <w:t>N/A</w:t>
            </w:r>
          </w:p>
        </w:tc>
        <w:tc>
          <w:tcPr>
            <w:tcW w:w="869"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7123D394"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hAnsi="Times New Roman"/>
                <w:sz w:val="18"/>
                <w:szCs w:val="18"/>
              </w:rPr>
              <w:t>N/A</w:t>
            </w:r>
          </w:p>
        </w:tc>
      </w:tr>
      <w:tr w:rsidR="00D05191" w:rsidRPr="00D05191" w14:paraId="3712B778" w14:textId="77777777" w:rsidTr="00AE788F">
        <w:trPr>
          <w:trHeight w:val="172"/>
          <w:jc w:val="center"/>
        </w:trPr>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6042114C"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eastAsia="Times New Roman" w:hAnsi="Times New Roman"/>
                <w:color w:val="000000" w:themeColor="text1"/>
                <w:kern w:val="24"/>
                <w:sz w:val="18"/>
                <w:szCs w:val="18"/>
                <w:lang w:eastAsia="ko-KR"/>
              </w:rPr>
              <w:t>30</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619E6F78"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hAnsi="Times New Roman"/>
                <w:sz w:val="18"/>
                <w:szCs w:val="18"/>
              </w:rPr>
              <w:t>11</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162726CA"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hAnsi="Times New Roman"/>
                <w:sz w:val="18"/>
                <w:szCs w:val="18"/>
              </w:rPr>
              <w:t>24</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7707BED7"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hAnsi="Times New Roman"/>
                <w:sz w:val="18"/>
                <w:szCs w:val="18"/>
              </w:rPr>
              <w:t>38</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7F31256E"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hAnsi="Times New Roman"/>
                <w:sz w:val="18"/>
                <w:szCs w:val="18"/>
              </w:rPr>
              <w:t>51</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1B75D962"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hAnsi="Times New Roman"/>
                <w:sz w:val="18"/>
                <w:szCs w:val="18"/>
              </w:rPr>
              <w:t>65</w:t>
            </w:r>
          </w:p>
        </w:tc>
        <w:tc>
          <w:tcPr>
            <w:tcW w:w="796" w:type="dxa"/>
            <w:tcBorders>
              <w:top w:val="nil"/>
              <w:left w:val="nil"/>
              <w:bottom w:val="single" w:sz="8" w:space="0" w:color="auto"/>
              <w:right w:val="single" w:sz="8" w:space="0" w:color="auto"/>
            </w:tcBorders>
            <w:tcMar>
              <w:top w:w="15" w:type="dxa"/>
              <w:left w:w="15" w:type="dxa"/>
              <w:bottom w:w="0" w:type="dxa"/>
              <w:right w:w="15" w:type="dxa"/>
            </w:tcMar>
            <w:vAlign w:val="center"/>
            <w:hideMark/>
          </w:tcPr>
          <w:p w14:paraId="13215826"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hAnsi="Times New Roman"/>
                <w:sz w:val="18"/>
                <w:szCs w:val="18"/>
              </w:rPr>
              <w:t>[78]</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013F7197"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hAnsi="Times New Roman"/>
                <w:sz w:val="18"/>
                <w:szCs w:val="18"/>
              </w:rPr>
              <w:t>106</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79F561C7"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hAnsi="Times New Roman"/>
                <w:sz w:val="18"/>
                <w:szCs w:val="18"/>
              </w:rPr>
              <w:t>133</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55B50AC6"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hAnsi="Times New Roman"/>
                <w:sz w:val="18"/>
                <w:szCs w:val="18"/>
              </w:rPr>
              <w:t>162</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1D6B407F"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hAnsi="Times New Roman"/>
                <w:sz w:val="18"/>
                <w:szCs w:val="18"/>
              </w:rPr>
              <w:t>217</w:t>
            </w:r>
          </w:p>
        </w:tc>
        <w:tc>
          <w:tcPr>
            <w:tcW w:w="869"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36961790"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hAnsi="Times New Roman"/>
                <w:sz w:val="18"/>
                <w:szCs w:val="18"/>
              </w:rPr>
              <w:t>273</w:t>
            </w:r>
          </w:p>
        </w:tc>
      </w:tr>
      <w:tr w:rsidR="00D05191" w:rsidRPr="00D05191" w14:paraId="718DF750" w14:textId="77777777" w:rsidTr="00AE788F">
        <w:trPr>
          <w:trHeight w:val="19"/>
          <w:jc w:val="center"/>
        </w:trPr>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64154D5C"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eastAsia="Times New Roman" w:hAnsi="Times New Roman"/>
                <w:color w:val="000000" w:themeColor="text1"/>
                <w:kern w:val="24"/>
                <w:sz w:val="18"/>
                <w:szCs w:val="18"/>
                <w:lang w:eastAsia="ko-KR"/>
              </w:rPr>
              <w:t>60</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2045A94D"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hAnsi="Times New Roman"/>
                <w:sz w:val="18"/>
                <w:szCs w:val="18"/>
              </w:rPr>
              <w:t>N/A</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2B7CB183"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hAnsi="Times New Roman"/>
                <w:sz w:val="18"/>
                <w:szCs w:val="18"/>
              </w:rPr>
              <w:t>11</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69B2AD74"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hAnsi="Times New Roman"/>
                <w:sz w:val="18"/>
                <w:szCs w:val="18"/>
              </w:rPr>
              <w:t>18</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06B52432"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hAnsi="Times New Roman"/>
                <w:sz w:val="18"/>
                <w:szCs w:val="18"/>
              </w:rPr>
              <w:t>24</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6E3A389A"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hAnsi="Times New Roman"/>
                <w:sz w:val="18"/>
                <w:szCs w:val="18"/>
              </w:rPr>
              <w:t>31</w:t>
            </w:r>
          </w:p>
        </w:tc>
        <w:tc>
          <w:tcPr>
            <w:tcW w:w="796" w:type="dxa"/>
            <w:tcBorders>
              <w:top w:val="nil"/>
              <w:left w:val="nil"/>
              <w:bottom w:val="single" w:sz="8" w:space="0" w:color="auto"/>
              <w:right w:val="single" w:sz="8" w:space="0" w:color="auto"/>
            </w:tcBorders>
            <w:tcMar>
              <w:top w:w="15" w:type="dxa"/>
              <w:left w:w="15" w:type="dxa"/>
              <w:bottom w:w="0" w:type="dxa"/>
              <w:right w:w="15" w:type="dxa"/>
            </w:tcMar>
            <w:vAlign w:val="center"/>
            <w:hideMark/>
          </w:tcPr>
          <w:p w14:paraId="4A9A4CC1"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hAnsi="Times New Roman"/>
                <w:sz w:val="18"/>
                <w:szCs w:val="18"/>
              </w:rPr>
              <w:t>[38]</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1C7F55AB"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hAnsi="Times New Roman"/>
                <w:sz w:val="18"/>
                <w:szCs w:val="18"/>
              </w:rPr>
              <w:t>51</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5C063485"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hAnsi="Times New Roman"/>
                <w:sz w:val="18"/>
                <w:szCs w:val="18"/>
              </w:rPr>
              <w:t>65</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7519C361"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hAnsi="Times New Roman"/>
                <w:sz w:val="18"/>
                <w:szCs w:val="18"/>
              </w:rPr>
              <w:t>79</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7869641C"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hAnsi="Times New Roman"/>
                <w:sz w:val="18"/>
                <w:szCs w:val="18"/>
              </w:rPr>
              <w:t>107</w:t>
            </w:r>
          </w:p>
        </w:tc>
        <w:tc>
          <w:tcPr>
            <w:tcW w:w="869"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7E327A62"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hAnsi="Times New Roman"/>
                <w:sz w:val="18"/>
                <w:szCs w:val="18"/>
              </w:rPr>
              <w:t>135</w:t>
            </w:r>
          </w:p>
        </w:tc>
      </w:tr>
    </w:tbl>
    <w:p w14:paraId="510C2C20" w14:textId="11C61927" w:rsidR="00035B4C" w:rsidRDefault="00035B4C" w:rsidP="00035B4C">
      <w:pPr>
        <w:pStyle w:val="ListParagraph"/>
        <w:spacing w:before="240"/>
        <w:ind w:left="360"/>
        <w:jc w:val="center"/>
        <w:rPr>
          <w:rFonts w:eastAsia="Batang"/>
          <w:szCs w:val="20"/>
          <w:lang w:val="en-US"/>
        </w:rPr>
      </w:pPr>
      <w:r w:rsidRPr="00035B4C">
        <w:rPr>
          <w:rFonts w:eastAsia="Batang"/>
          <w:szCs w:val="20"/>
          <w:lang w:val="en-US"/>
        </w:rPr>
        <w:object w:dxaOrig="8713" w:dyaOrig="4285" w14:anchorId="37EC62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35pt;height:150pt" o:ole="">
            <v:imagedata r:id="rId14" o:title=""/>
          </v:shape>
          <o:OLEObject Type="Embed" ProgID="Visio.Drawing.11" ShapeID="_x0000_i1025" DrawAspect="Content" ObjectID="_1587570715" r:id="rId15"/>
        </w:object>
      </w:r>
    </w:p>
    <w:p w14:paraId="77BFA86F" w14:textId="5354A08E" w:rsidR="00035B4C" w:rsidRPr="00035B4C" w:rsidRDefault="00035B4C" w:rsidP="00035B4C">
      <w:pPr>
        <w:pStyle w:val="ListParagraph"/>
        <w:spacing w:before="240"/>
        <w:ind w:left="360"/>
        <w:jc w:val="center"/>
        <w:rPr>
          <w:b/>
          <w:szCs w:val="20"/>
        </w:rPr>
      </w:pPr>
      <w:r w:rsidRPr="003B764C">
        <w:rPr>
          <w:b/>
          <w:szCs w:val="20"/>
        </w:rPr>
        <w:t xml:space="preserve">Figure </w:t>
      </w:r>
      <w:r>
        <w:rPr>
          <w:b/>
          <w:szCs w:val="20"/>
        </w:rPr>
        <w:t>3</w:t>
      </w:r>
      <w:r w:rsidRPr="003B764C">
        <w:rPr>
          <w:b/>
          <w:szCs w:val="20"/>
        </w:rPr>
        <w:t xml:space="preserve">. Illustration of </w:t>
      </w:r>
      <w:r>
        <w:rPr>
          <w:b/>
          <w:szCs w:val="20"/>
        </w:rPr>
        <w:t>channel bandwidth and transmission bandwidth configuration (N</w:t>
      </w:r>
      <w:r>
        <w:rPr>
          <w:b/>
          <w:szCs w:val="20"/>
          <w:vertAlign w:val="subscript"/>
        </w:rPr>
        <w:t>RB</w:t>
      </w:r>
      <w:r>
        <w:rPr>
          <w:b/>
          <w:szCs w:val="20"/>
        </w:rPr>
        <w:t>)</w:t>
      </w:r>
    </w:p>
    <w:p w14:paraId="6A6D2A8F" w14:textId="77777777" w:rsidR="00035B4C" w:rsidRDefault="00035B4C" w:rsidP="00035B4C">
      <w:pPr>
        <w:pStyle w:val="ListParagraph"/>
        <w:spacing w:before="240"/>
        <w:ind w:left="360"/>
        <w:jc w:val="center"/>
        <w:rPr>
          <w:rFonts w:eastAsia="Batang"/>
          <w:szCs w:val="20"/>
          <w:lang w:val="en-US"/>
        </w:rPr>
      </w:pPr>
    </w:p>
    <w:p w14:paraId="5663B7FB" w14:textId="039A41D3" w:rsidR="00FA2878" w:rsidRDefault="00035B4C" w:rsidP="00876D60">
      <w:pPr>
        <w:pStyle w:val="ListParagraph"/>
        <w:numPr>
          <w:ilvl w:val="0"/>
          <w:numId w:val="14"/>
        </w:numPr>
        <w:spacing w:before="240" w:line="240" w:lineRule="auto"/>
        <w:contextualSpacing w:val="0"/>
        <w:rPr>
          <w:rFonts w:eastAsia="Batang"/>
          <w:szCs w:val="20"/>
          <w:lang w:val="en-US"/>
        </w:rPr>
      </w:pPr>
      <w:r w:rsidRPr="00035B4C">
        <w:rPr>
          <w:rFonts w:eastAsia="Batang"/>
          <w:szCs w:val="20"/>
          <w:lang w:val="en-US"/>
        </w:rPr>
        <w:t>For</w:t>
      </w:r>
      <w:r>
        <w:rPr>
          <w:rFonts w:eastAsia="Batang"/>
          <w:szCs w:val="20"/>
          <w:lang w:val="en-US"/>
        </w:rPr>
        <w:t xml:space="preserve"> different sets of bandwidth-subcarrier spacing (SCS) configurations, transmission bandwidth configuration (N</w:t>
      </w:r>
      <w:r>
        <w:rPr>
          <w:rFonts w:eastAsia="Batang"/>
          <w:szCs w:val="20"/>
          <w:vertAlign w:val="subscript"/>
          <w:lang w:val="en-US"/>
        </w:rPr>
        <w:t>RB</w:t>
      </w:r>
      <w:r>
        <w:rPr>
          <w:rFonts w:eastAsia="Batang"/>
          <w:szCs w:val="20"/>
          <w:lang w:val="en-US"/>
        </w:rPr>
        <w:t xml:space="preserve">) as shown in Figure 3 varies irregularly, </w:t>
      </w:r>
      <w:r w:rsidR="00FA2878">
        <w:rPr>
          <w:rFonts w:eastAsia="Batang"/>
          <w:szCs w:val="20"/>
          <w:lang w:val="en-US"/>
        </w:rPr>
        <w:t xml:space="preserve">especially </w:t>
      </w:r>
      <w:r>
        <w:rPr>
          <w:rFonts w:eastAsia="Batang"/>
          <w:szCs w:val="20"/>
          <w:lang w:val="en-US"/>
        </w:rPr>
        <w:t xml:space="preserve">due to asymmetric </w:t>
      </w:r>
      <w:r w:rsidR="00FA2878">
        <w:rPr>
          <w:rFonts w:eastAsia="Batang"/>
          <w:szCs w:val="20"/>
          <w:lang w:val="en-US"/>
        </w:rPr>
        <w:t>guard band allocation at channel edges</w:t>
      </w:r>
      <w:r w:rsidR="002F586B">
        <w:rPr>
          <w:rFonts w:eastAsia="Batang"/>
          <w:szCs w:val="20"/>
          <w:lang w:val="en-US"/>
        </w:rPr>
        <w:t xml:space="preserve"> as illustrated in Figure 3</w:t>
      </w:r>
      <w:r w:rsidR="00FA2878">
        <w:rPr>
          <w:rFonts w:eastAsia="Batang"/>
          <w:szCs w:val="20"/>
          <w:lang w:val="en-US"/>
        </w:rPr>
        <w:t xml:space="preserve">. This makes numerology scalable interlace design </w:t>
      </w:r>
      <w:r w:rsidR="009C4342">
        <w:rPr>
          <w:rFonts w:eastAsia="Batang"/>
          <w:szCs w:val="20"/>
          <w:lang w:val="en-US"/>
        </w:rPr>
        <w:t xml:space="preserve">a </w:t>
      </w:r>
      <w:r w:rsidR="00FA2878">
        <w:rPr>
          <w:rFonts w:eastAsia="Batang"/>
          <w:szCs w:val="20"/>
          <w:lang w:val="en-US"/>
        </w:rPr>
        <w:t>quite challenging problem.</w:t>
      </w:r>
    </w:p>
    <w:p w14:paraId="4F777930" w14:textId="0FCCCC01" w:rsidR="00D05191" w:rsidRDefault="00FA2878" w:rsidP="00876D60">
      <w:pPr>
        <w:pStyle w:val="ListParagraph"/>
        <w:numPr>
          <w:ilvl w:val="0"/>
          <w:numId w:val="14"/>
        </w:numPr>
        <w:spacing w:before="240" w:after="240" w:line="240" w:lineRule="auto"/>
        <w:contextualSpacing w:val="0"/>
        <w:rPr>
          <w:rFonts w:eastAsia="Batang"/>
          <w:szCs w:val="20"/>
          <w:lang w:val="en-US"/>
        </w:rPr>
      </w:pPr>
      <w:r>
        <w:rPr>
          <w:rFonts w:eastAsia="Batang"/>
          <w:szCs w:val="20"/>
          <w:lang w:val="en-US"/>
        </w:rPr>
        <w:t>For certain transmission bandwidth configurations (as shown in Table I), it would be difficult to design multiple interlaces due to the fact that N</w:t>
      </w:r>
      <w:r>
        <w:rPr>
          <w:rFonts w:eastAsia="Batang"/>
          <w:szCs w:val="20"/>
          <w:vertAlign w:val="subscript"/>
          <w:lang w:val="en-US"/>
        </w:rPr>
        <w:t>RB</w:t>
      </w:r>
      <w:r>
        <w:rPr>
          <w:rFonts w:eastAsia="Batang"/>
          <w:szCs w:val="20"/>
          <w:lang w:val="en-US"/>
        </w:rPr>
        <w:t xml:space="preserve">’s are factored into prime numbers, which limits the possibility of interlace designs while keeping the inter-RB separation equal among different interlaces.  </w:t>
      </w:r>
      <w:r w:rsidR="00721665">
        <w:rPr>
          <w:rFonts w:eastAsia="Batang"/>
          <w:szCs w:val="20"/>
          <w:lang w:val="en-US"/>
        </w:rPr>
        <w:t>As an example, N</w:t>
      </w:r>
      <w:r w:rsidR="00721665">
        <w:rPr>
          <w:rFonts w:eastAsia="Batang"/>
          <w:szCs w:val="20"/>
          <w:vertAlign w:val="subscript"/>
          <w:lang w:val="en-US"/>
        </w:rPr>
        <w:t xml:space="preserve">RB </w:t>
      </w:r>
      <w:r w:rsidR="00721665">
        <w:rPr>
          <w:rFonts w:eastAsia="Batang"/>
          <w:szCs w:val="20"/>
          <w:lang w:val="en-US"/>
        </w:rPr>
        <w:t>=51 for 60 KHz SCS and 40 MHz bandwidth, which only gives the option of interleaving 3 interlaces with 17 PRBs/interlace. Otherwise, the number of PRBs/interlace will be non-uniform. Since 17 is a prime number, DFT implementation for 17 PRBs will not be efficient</w:t>
      </w:r>
      <w:r w:rsidR="009C4342">
        <w:rPr>
          <w:rFonts w:eastAsia="Batang"/>
          <w:szCs w:val="20"/>
          <w:lang w:val="en-US"/>
        </w:rPr>
        <w:t xml:space="preserve"> or may not be supported in some implementations</w:t>
      </w:r>
      <w:r w:rsidR="00721665">
        <w:rPr>
          <w:rFonts w:eastAsia="Batang"/>
          <w:szCs w:val="20"/>
          <w:lang w:val="en-US"/>
        </w:rPr>
        <w:t>. On the other hand, if 50 RBs are used for interlace design instead of 51, 5 interlaces with 10 PRBs/interlace will meet the OCB requirement, but the resource utilization will not be efficient, leaving an unused PRB.</w:t>
      </w:r>
    </w:p>
    <w:p w14:paraId="0E5DEAF1" w14:textId="179A82F4" w:rsidR="00340D29" w:rsidRDefault="00721665" w:rsidP="00876D60">
      <w:pPr>
        <w:pStyle w:val="ListParagraph"/>
        <w:numPr>
          <w:ilvl w:val="0"/>
          <w:numId w:val="14"/>
        </w:numPr>
        <w:spacing w:before="240" w:after="240" w:line="240" w:lineRule="auto"/>
        <w:contextualSpacing w:val="0"/>
        <w:rPr>
          <w:rFonts w:eastAsia="Batang"/>
          <w:szCs w:val="20"/>
          <w:lang w:val="en-US"/>
        </w:rPr>
      </w:pPr>
      <w:r>
        <w:rPr>
          <w:rFonts w:eastAsia="Batang"/>
          <w:szCs w:val="20"/>
          <w:lang w:val="en-US"/>
        </w:rPr>
        <w:t xml:space="preserve">Unlike in legacy LTE eLAA, where interlace design has been based on PRB level resource block allocation (i.e. each RB is equivalent to a PRB), NR-unlicensed design based on PRB based interlace for all numerologies may not be efficient. </w:t>
      </w:r>
      <w:r w:rsidR="00340D29">
        <w:rPr>
          <w:rFonts w:eastAsia="Batang"/>
          <w:szCs w:val="20"/>
          <w:lang w:val="en-US"/>
        </w:rPr>
        <w:t>In particular, the number of PRBs occupying transmission bandwidth decreases with increasing SCS, while each PRB occupies wider bandwidth. Therefore, for larger SCS (e.g. 60 KHz), PRB based interlace design may not be efficient and necessary. But on the other hand, if RB size is chosen to be less than 1 PRB, new frequency allocation unit needs to defined in the NR specification, which defines PRB as the basic frequency resource unit for all numerologies in Rel-15.</w:t>
      </w:r>
    </w:p>
    <w:p w14:paraId="38710CE6" w14:textId="14454F53" w:rsidR="00340D29" w:rsidRDefault="00340D29" w:rsidP="00AE788F">
      <w:pPr>
        <w:pStyle w:val="ListParagraph"/>
        <w:spacing w:before="240" w:after="240" w:line="240" w:lineRule="auto"/>
        <w:ind w:left="0"/>
        <w:contextualSpacing w:val="0"/>
        <w:rPr>
          <w:rFonts w:eastAsia="Batang"/>
          <w:szCs w:val="20"/>
          <w:lang w:val="en-US"/>
        </w:rPr>
      </w:pPr>
      <w:r>
        <w:rPr>
          <w:rFonts w:eastAsia="Batang"/>
          <w:szCs w:val="20"/>
          <w:lang w:val="en-US"/>
        </w:rPr>
        <w:t>From the above discussions, we make the following observations</w:t>
      </w:r>
    </w:p>
    <w:p w14:paraId="4200DB80" w14:textId="5A349802" w:rsidR="00340D29" w:rsidRDefault="00340D29" w:rsidP="00AE788F">
      <w:pPr>
        <w:pStyle w:val="ListParagraph"/>
        <w:spacing w:before="240" w:after="240" w:line="240" w:lineRule="auto"/>
        <w:ind w:left="0"/>
        <w:contextualSpacing w:val="0"/>
        <w:rPr>
          <w:rFonts w:eastAsia="Batang"/>
          <w:b/>
          <w:szCs w:val="20"/>
          <w:u w:val="single"/>
          <w:lang w:val="en-US"/>
        </w:rPr>
      </w:pPr>
      <w:r w:rsidRPr="00340D29">
        <w:rPr>
          <w:rFonts w:eastAsia="Batang"/>
          <w:b/>
          <w:szCs w:val="20"/>
          <w:u w:val="single"/>
          <w:lang w:val="en-US"/>
        </w:rPr>
        <w:t xml:space="preserve">Observation 1 </w:t>
      </w:r>
    </w:p>
    <w:p w14:paraId="7238F089" w14:textId="081DC76E" w:rsidR="00340D29" w:rsidRDefault="00340D29" w:rsidP="00AE788F">
      <w:pPr>
        <w:pStyle w:val="ListParagraph"/>
        <w:spacing w:before="240" w:after="240" w:line="240" w:lineRule="auto"/>
        <w:ind w:left="0"/>
        <w:contextualSpacing w:val="0"/>
        <w:rPr>
          <w:rFonts w:eastAsia="Batang"/>
          <w:b/>
          <w:i/>
          <w:szCs w:val="20"/>
          <w:lang w:val="en-US"/>
        </w:rPr>
      </w:pPr>
      <w:r w:rsidRPr="00340D29">
        <w:rPr>
          <w:rFonts w:eastAsia="Batang"/>
          <w:b/>
          <w:i/>
          <w:szCs w:val="20"/>
          <w:lang w:val="en-US"/>
        </w:rPr>
        <w:t xml:space="preserve">Simple uniform interlace deign for NR-unlicensed </w:t>
      </w:r>
      <w:r>
        <w:rPr>
          <w:rFonts w:eastAsia="Batang"/>
          <w:b/>
          <w:i/>
          <w:szCs w:val="20"/>
          <w:lang w:val="en-US"/>
        </w:rPr>
        <w:t>across different numerology configurations would be difficult.</w:t>
      </w:r>
    </w:p>
    <w:p w14:paraId="79787C02" w14:textId="446B68C6" w:rsidR="00340D29" w:rsidRPr="00340D29" w:rsidRDefault="00340D29" w:rsidP="00AE788F">
      <w:pPr>
        <w:pStyle w:val="ListParagraph"/>
        <w:spacing w:before="240" w:after="240" w:line="240" w:lineRule="auto"/>
        <w:ind w:left="0"/>
        <w:contextualSpacing w:val="0"/>
        <w:rPr>
          <w:rFonts w:eastAsia="Batang"/>
          <w:b/>
          <w:szCs w:val="20"/>
          <w:u w:val="single"/>
          <w:lang w:val="en-US"/>
        </w:rPr>
      </w:pPr>
      <w:r w:rsidRPr="00340D29">
        <w:rPr>
          <w:rFonts w:eastAsia="Batang"/>
          <w:b/>
          <w:szCs w:val="20"/>
          <w:u w:val="single"/>
          <w:lang w:val="en-US"/>
        </w:rPr>
        <w:t>Observation 2</w:t>
      </w:r>
    </w:p>
    <w:p w14:paraId="2EB85F9E" w14:textId="12D5E3AA" w:rsidR="00340D29" w:rsidRPr="001509AD" w:rsidRDefault="001509AD" w:rsidP="00AE788F">
      <w:pPr>
        <w:pStyle w:val="ListParagraph"/>
        <w:spacing w:before="240" w:after="240" w:line="240" w:lineRule="auto"/>
        <w:ind w:left="0"/>
        <w:contextualSpacing w:val="0"/>
        <w:rPr>
          <w:rFonts w:eastAsia="Batang"/>
          <w:b/>
          <w:i/>
          <w:szCs w:val="20"/>
          <w:lang w:val="en-US"/>
        </w:rPr>
      </w:pPr>
      <w:r w:rsidRPr="001509AD">
        <w:rPr>
          <w:rFonts w:eastAsia="Batang"/>
          <w:b/>
          <w:i/>
          <w:szCs w:val="20"/>
          <w:lang w:val="en-US"/>
        </w:rPr>
        <w:t xml:space="preserve">Interlace design for NR-unlicensed would be numerology dependent, i.e. for different numerologies, new interlace design may be required </w:t>
      </w:r>
      <w:r>
        <w:rPr>
          <w:rFonts w:eastAsia="Batang"/>
          <w:b/>
          <w:i/>
          <w:szCs w:val="20"/>
          <w:lang w:val="en-US"/>
        </w:rPr>
        <w:t xml:space="preserve">to ensure </w:t>
      </w:r>
      <w:r w:rsidRPr="001509AD">
        <w:rPr>
          <w:rFonts w:eastAsia="Batang"/>
          <w:b/>
          <w:i/>
          <w:szCs w:val="20"/>
          <w:lang w:val="en-US"/>
        </w:rPr>
        <w:t>efficient resource utilization while meeting regulatory requirements.</w:t>
      </w:r>
    </w:p>
    <w:p w14:paraId="473C76CC" w14:textId="6E3F3D61" w:rsidR="00721665" w:rsidRDefault="00340D29" w:rsidP="00AE788F">
      <w:pPr>
        <w:pStyle w:val="ListParagraph"/>
        <w:spacing w:before="240" w:after="240"/>
        <w:ind w:left="0"/>
        <w:contextualSpacing w:val="0"/>
        <w:rPr>
          <w:rFonts w:eastAsia="Batang"/>
          <w:b/>
          <w:szCs w:val="20"/>
          <w:u w:val="single"/>
          <w:lang w:val="en-US"/>
        </w:rPr>
      </w:pPr>
      <w:r>
        <w:rPr>
          <w:rFonts w:eastAsia="Batang"/>
          <w:szCs w:val="20"/>
          <w:lang w:val="en-US"/>
        </w:rPr>
        <w:t xml:space="preserve"> </w:t>
      </w:r>
      <w:r w:rsidR="001509AD" w:rsidRPr="001509AD">
        <w:rPr>
          <w:rFonts w:eastAsia="Batang"/>
          <w:b/>
          <w:szCs w:val="20"/>
          <w:u w:val="single"/>
          <w:lang w:val="en-US"/>
        </w:rPr>
        <w:t>Observation 3</w:t>
      </w:r>
      <w:r w:rsidRPr="001509AD">
        <w:rPr>
          <w:rFonts w:eastAsia="Batang"/>
          <w:b/>
          <w:szCs w:val="20"/>
          <w:u w:val="single"/>
          <w:lang w:val="en-US"/>
        </w:rPr>
        <w:t xml:space="preserve"> </w:t>
      </w:r>
    </w:p>
    <w:p w14:paraId="7340D730" w14:textId="4FDBE6F6" w:rsidR="001509AD" w:rsidRDefault="001509AD" w:rsidP="00AE788F">
      <w:pPr>
        <w:pStyle w:val="ListParagraph"/>
        <w:spacing w:before="240" w:after="240"/>
        <w:ind w:left="0"/>
        <w:contextualSpacing w:val="0"/>
        <w:rPr>
          <w:rFonts w:eastAsia="Batang"/>
          <w:b/>
          <w:i/>
          <w:szCs w:val="20"/>
          <w:lang w:val="en-US"/>
        </w:rPr>
      </w:pPr>
      <w:r w:rsidRPr="001509AD">
        <w:rPr>
          <w:rFonts w:eastAsia="Batang"/>
          <w:b/>
          <w:i/>
          <w:szCs w:val="20"/>
          <w:lang w:val="en-US"/>
        </w:rPr>
        <w:t>PRB based interlace design of legacy LTE eLAA may not be efficient for NR-unlicensed physical channels, especially for larger subcarrier spacing</w:t>
      </w:r>
      <w:r w:rsidR="002F586B">
        <w:rPr>
          <w:rFonts w:eastAsia="Batang"/>
          <w:b/>
          <w:i/>
          <w:szCs w:val="20"/>
          <w:lang w:val="en-US"/>
        </w:rPr>
        <w:t>.</w:t>
      </w:r>
    </w:p>
    <w:p w14:paraId="0B229CDD" w14:textId="74FF8924" w:rsidR="001509AD" w:rsidRPr="001509AD" w:rsidRDefault="001509AD" w:rsidP="00AE788F">
      <w:pPr>
        <w:pStyle w:val="ListParagraph"/>
        <w:spacing w:before="240" w:after="240"/>
        <w:ind w:left="0"/>
        <w:contextualSpacing w:val="0"/>
        <w:rPr>
          <w:rFonts w:eastAsia="Batang"/>
          <w:b/>
          <w:i/>
          <w:szCs w:val="20"/>
          <w:lang w:val="en-US"/>
        </w:rPr>
      </w:pPr>
      <w:r>
        <w:rPr>
          <w:rFonts w:eastAsia="Batang"/>
          <w:szCs w:val="20"/>
          <w:lang w:val="en-US"/>
        </w:rPr>
        <w:t xml:space="preserve">Even though interlace design is not that straightforward for NR-unlicensed physical channels, the support of interlaced based operation may still be useful for NR-unlicensed physical channels, since interlaced design inherently allows wider bandwidth transmission, thereby meeting the OCB requirement while allowing UE multiplexing over </w:t>
      </w:r>
      <w:r w:rsidR="00756BE5">
        <w:rPr>
          <w:rFonts w:eastAsia="Batang"/>
          <w:szCs w:val="20"/>
          <w:lang w:val="en-US"/>
        </w:rPr>
        <w:t>multiple</w:t>
      </w:r>
      <w:r>
        <w:rPr>
          <w:rFonts w:eastAsia="Batang"/>
          <w:szCs w:val="20"/>
          <w:lang w:val="en-US"/>
        </w:rPr>
        <w:t xml:space="preserve"> interlaces</w:t>
      </w:r>
      <w:r w:rsidR="00756BE5">
        <w:rPr>
          <w:rFonts w:eastAsia="Batang"/>
          <w:szCs w:val="20"/>
          <w:lang w:val="en-US"/>
        </w:rPr>
        <w:t xml:space="preserve">. Also, interlaced physical channels can exploit the PSD regulation to maximize transmission power per PRB, which is not possible for contiguous PRB allocation, especially for </w:t>
      </w:r>
      <w:r w:rsidR="002F586B">
        <w:rPr>
          <w:rFonts w:eastAsia="Batang"/>
          <w:szCs w:val="20"/>
          <w:lang w:val="en-US"/>
        </w:rPr>
        <w:t>smaller</w:t>
      </w:r>
      <w:r w:rsidR="00756BE5">
        <w:rPr>
          <w:rFonts w:eastAsia="Batang"/>
          <w:szCs w:val="20"/>
          <w:lang w:val="en-US"/>
        </w:rPr>
        <w:t xml:space="preserve"> SCS where PRBs occupy much less than 1 MHz bandwidth. Therefore, </w:t>
      </w:r>
      <w:r w:rsidR="00756BE5">
        <w:rPr>
          <w:rFonts w:eastAsia="Batang"/>
          <w:szCs w:val="20"/>
          <w:lang w:val="en-US"/>
        </w:rPr>
        <w:lastRenderedPageBreak/>
        <w:t>it is imperative to study further the design of NR-unlicensed uplink physical channels using interlaced RB allocation based transmission scheme.</w:t>
      </w:r>
      <w:r>
        <w:rPr>
          <w:rFonts w:eastAsia="Batang"/>
          <w:szCs w:val="20"/>
          <w:lang w:val="en-US"/>
        </w:rPr>
        <w:t xml:space="preserve">  </w:t>
      </w:r>
      <w:r w:rsidRPr="001509AD">
        <w:rPr>
          <w:rFonts w:eastAsia="Batang"/>
          <w:b/>
          <w:i/>
          <w:szCs w:val="20"/>
          <w:lang w:val="en-US"/>
        </w:rPr>
        <w:t xml:space="preserve"> </w:t>
      </w:r>
    </w:p>
    <w:p w14:paraId="1E01E3D1" w14:textId="5C57AE3A" w:rsidR="00FA2878" w:rsidRDefault="00F31258" w:rsidP="00FA2878">
      <w:pPr>
        <w:pStyle w:val="Heading2"/>
        <w:rPr>
          <w:lang w:val="en-US"/>
        </w:rPr>
      </w:pPr>
      <w:r>
        <w:rPr>
          <w:lang w:val="en-US"/>
        </w:rPr>
        <w:t>Uplink physical channels with c</w:t>
      </w:r>
      <w:r w:rsidR="00FA2878">
        <w:rPr>
          <w:lang w:val="en-US"/>
        </w:rPr>
        <w:t>ontiguous resource allocation</w:t>
      </w:r>
    </w:p>
    <w:p w14:paraId="64E92975" w14:textId="657815E7" w:rsidR="00295EA7" w:rsidRDefault="00AE788F" w:rsidP="00AE788F">
      <w:pPr>
        <w:spacing w:before="120"/>
      </w:pPr>
      <w:r>
        <w:rPr>
          <w:lang w:val="en-US"/>
        </w:rPr>
        <w:t>In Rel-15 NR framework, uplink physical channels are designed based on CP-</w:t>
      </w:r>
      <w:r w:rsidR="00B24D44">
        <w:rPr>
          <w:lang w:val="en-US"/>
        </w:rPr>
        <w:t>O</w:t>
      </w:r>
      <w:r>
        <w:rPr>
          <w:lang w:val="en-US"/>
        </w:rPr>
        <w:t>FDM or DFT-s-OFDM waveforms and can span 1~14 symbols in the t</w:t>
      </w:r>
      <w:r w:rsidR="00FD75AF">
        <w:rPr>
          <w:lang w:val="en-US"/>
        </w:rPr>
        <w:t>i</w:t>
      </w:r>
      <w:r>
        <w:rPr>
          <w:lang w:val="en-US"/>
        </w:rPr>
        <w:t>me domain (depending on which of the uplink physical channels, viz.  PRACH or PUSCH or PUCCH</w:t>
      </w:r>
      <w:r w:rsidR="002F586B">
        <w:rPr>
          <w:lang w:val="en-US"/>
        </w:rPr>
        <w:t xml:space="preserve"> are used</w:t>
      </w:r>
      <w:r>
        <w:rPr>
          <w:lang w:val="en-US"/>
        </w:rPr>
        <w:t xml:space="preserve">) and may occupy </w:t>
      </w:r>
      <w:r>
        <w:rPr>
          <w:rFonts w:cs="Times"/>
          <w:lang w:val="en-US"/>
        </w:rPr>
        <w:t>≥</w:t>
      </w:r>
      <w:r>
        <w:rPr>
          <w:lang w:val="en-US"/>
        </w:rPr>
        <w:t xml:space="preserve">1 PRB across the frequency domain. </w:t>
      </w:r>
      <w:r w:rsidR="00B24D44">
        <w:rPr>
          <w:lang w:val="en-US"/>
        </w:rPr>
        <w:t xml:space="preserve">When a physical uplink channel in legacy NR occupies more than 1 PRB, the PRBs are assigned in a contiguous manner, in contrast to the distributed resource allocation described in the previous section. Also, for DFT-s-OFDM waveform based transmission, the number of contiguous PRBs should be </w:t>
      </w:r>
      <w:r w:rsidR="00B24D44">
        <w:t>factorable into 2</w:t>
      </w:r>
      <w:r w:rsidR="00B24D44">
        <w:rPr>
          <w:vertAlign w:val="superscript"/>
        </w:rPr>
        <w:t>a</w:t>
      </w:r>
      <w:r w:rsidR="00B24D44">
        <w:t>*3</w:t>
      </w:r>
      <w:r w:rsidR="00B24D44">
        <w:rPr>
          <w:vertAlign w:val="superscript"/>
        </w:rPr>
        <w:t>b</w:t>
      </w:r>
      <w:r w:rsidR="00B24D44">
        <w:t>*5</w:t>
      </w:r>
      <w:r w:rsidR="00B24D44">
        <w:rPr>
          <w:vertAlign w:val="superscript"/>
        </w:rPr>
        <w:t xml:space="preserve">c </w:t>
      </w:r>
      <w:r w:rsidR="00B24D44">
        <w:t>as mentioned in the previous section for legacy LTE.</w:t>
      </w:r>
    </w:p>
    <w:p w14:paraId="0C78D4BE" w14:textId="03544EB6" w:rsidR="00B24D44" w:rsidRDefault="00B24D44" w:rsidP="00AE788F">
      <w:pPr>
        <w:spacing w:before="120"/>
      </w:pPr>
      <w:r>
        <w:t xml:space="preserve">As one of the primary objectives of NR-unlicensed SI phase is to study the feasibility of inheriting NR physical channels </w:t>
      </w:r>
      <w:r w:rsidR="003422CD">
        <w:t xml:space="preserve">and </w:t>
      </w:r>
      <w:r>
        <w:t>framework as baseline, avoiding unnecessary divergence from the decision</w:t>
      </w:r>
      <w:r w:rsidR="002F586B">
        <w:t>s</w:t>
      </w:r>
      <w:r>
        <w:t xml:space="preserve"> made in NR WI phase for Rel-15, </w:t>
      </w:r>
      <w:r w:rsidR="00F31258">
        <w:t>it is imperative to look into NR physical channels and identify the essential enhancements and modifications that need to</w:t>
      </w:r>
      <w:r w:rsidR="003422CD">
        <w:t xml:space="preserve"> be</w:t>
      </w:r>
      <w:r w:rsidR="00F31258">
        <w:t xml:space="preserve"> incorporated in order to enable the unlicensed operation. Regulatory requirements are to be mandatorily met, which will inevitabl</w:t>
      </w:r>
      <w:r w:rsidR="002F586B">
        <w:t>y</w:t>
      </w:r>
      <w:r w:rsidR="00F31258">
        <w:t xml:space="preserve"> call for certain redesigning effort of the NR-licensed framework. Various aspects of these essential enhancement /modification of the legacy NR-licensed system is described below.</w:t>
      </w:r>
    </w:p>
    <w:p w14:paraId="3017882C" w14:textId="61ED8A22" w:rsidR="00F31258" w:rsidRDefault="00893EC2" w:rsidP="00876D60">
      <w:pPr>
        <w:pStyle w:val="ListParagraph"/>
        <w:numPr>
          <w:ilvl w:val="0"/>
          <w:numId w:val="15"/>
        </w:numPr>
        <w:spacing w:before="120"/>
        <w:contextualSpacing w:val="0"/>
        <w:rPr>
          <w:lang w:val="en-US"/>
        </w:rPr>
      </w:pPr>
      <w:r>
        <w:rPr>
          <w:lang w:val="en-US"/>
        </w:rPr>
        <w:t xml:space="preserve">OCB requirement: as mentioned in section 2, updated ETSI regulations </w:t>
      </w:r>
      <w:r w:rsidR="002F586B">
        <w:rPr>
          <w:lang w:val="en-US"/>
        </w:rPr>
        <w:t>permit</w:t>
      </w:r>
      <w:r>
        <w:rPr>
          <w:lang w:val="en-US"/>
        </w:rPr>
        <w:t xml:space="preserve"> temporal allowance of less than 80 % occupied channel bandwidth, with a minimum of 2 MHz for operation in the unlicensed spectrum. If we can exploit this </w:t>
      </w:r>
      <w:r w:rsidR="00F820D6">
        <w:rPr>
          <w:lang w:val="en-US"/>
        </w:rPr>
        <w:t>exception</w:t>
      </w:r>
      <w:r>
        <w:rPr>
          <w:lang w:val="en-US"/>
        </w:rPr>
        <w:t xml:space="preserve">, there is essentially no need to allocate wide bandwidth to a UE. Meeting 2 MHz transmission bandwidth requirement is not at all a problem for contiguous resource allocation scheme, especially for larger SCS. </w:t>
      </w:r>
    </w:p>
    <w:p w14:paraId="2853EE62" w14:textId="582F70B0" w:rsidR="00893EC2" w:rsidRPr="0033350E" w:rsidRDefault="002F586B" w:rsidP="00876D60">
      <w:pPr>
        <w:pStyle w:val="ListParagraph"/>
        <w:numPr>
          <w:ilvl w:val="0"/>
          <w:numId w:val="15"/>
        </w:numPr>
        <w:spacing w:before="120"/>
        <w:contextualSpacing w:val="0"/>
        <w:rPr>
          <w:lang w:val="en-US"/>
        </w:rPr>
      </w:pPr>
      <w:r>
        <w:rPr>
          <w:lang w:val="en-US"/>
        </w:rPr>
        <w:t>PSD limitation: r</w:t>
      </w:r>
      <w:r w:rsidR="00893EC2">
        <w:rPr>
          <w:lang w:val="en-US"/>
        </w:rPr>
        <w:t xml:space="preserve">egulatory limitation on maximum allowed PSD per 1 MHz bandwidth imposes design restrictions for NR-unlicensed physical channels using contiguous allocation scheme. </w:t>
      </w:r>
      <w:r w:rsidR="00893EC2">
        <w:t xml:space="preserve">When contiguous PRBs are used for transmission, the total transmission power will be restricted by the PSD limit rather than the maximum transmit power limit, when the transmission bandwidth is not sufficiently wide. But since NR-unlicensed operation is </w:t>
      </w:r>
      <w:r w:rsidR="0033350E">
        <w:t>primarily targeted for wider bandwidth, higher SCS is preferred. Power boosting gain as explained for distributed allocation scheme will make less of a difference in between distributed and contiguous allocation schemes at higher SCS, as illustrated in Figure 4.</w:t>
      </w:r>
    </w:p>
    <w:p w14:paraId="1AA128F3" w14:textId="7517845F" w:rsidR="0033350E" w:rsidRDefault="0033350E" w:rsidP="0033350E">
      <w:pPr>
        <w:pStyle w:val="ListParagraph"/>
        <w:spacing w:before="120"/>
        <w:ind w:left="360"/>
        <w:contextualSpacing w:val="0"/>
        <w:jc w:val="center"/>
        <w:rPr>
          <w:lang w:val="en-US"/>
        </w:rPr>
      </w:pPr>
      <w:r w:rsidRPr="0033350E">
        <w:rPr>
          <w:noProof/>
          <w:lang w:val="en-US" w:eastAsia="ko-KR"/>
        </w:rPr>
        <w:drawing>
          <wp:inline distT="0" distB="0" distL="0" distR="0" wp14:anchorId="223E1884" wp14:editId="433F37ED">
            <wp:extent cx="3039142" cy="1015920"/>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6"/>
                    <a:stretch>
                      <a:fillRect/>
                    </a:stretch>
                  </pic:blipFill>
                  <pic:spPr>
                    <a:xfrm>
                      <a:off x="0" y="0"/>
                      <a:ext cx="3039142" cy="1015920"/>
                    </a:xfrm>
                    <a:prstGeom prst="rect">
                      <a:avLst/>
                    </a:prstGeom>
                  </pic:spPr>
                </pic:pic>
              </a:graphicData>
            </a:graphic>
          </wp:inline>
        </w:drawing>
      </w:r>
    </w:p>
    <w:p w14:paraId="7713E783" w14:textId="16B6D92D" w:rsidR="0033350E" w:rsidRPr="0033350E" w:rsidRDefault="0033350E" w:rsidP="0033350E">
      <w:pPr>
        <w:pStyle w:val="ListParagraph"/>
        <w:spacing w:before="120"/>
        <w:ind w:left="360"/>
        <w:contextualSpacing w:val="0"/>
        <w:jc w:val="center"/>
        <w:rPr>
          <w:b/>
          <w:lang w:val="en-US"/>
        </w:rPr>
      </w:pPr>
      <w:r w:rsidRPr="0033350E">
        <w:rPr>
          <w:b/>
          <w:lang w:val="en-US"/>
        </w:rPr>
        <w:t xml:space="preserve">Figure 4. Illustration of PRB sizes at different subcarrier spacing, with 1 MHZ as a reference </w:t>
      </w:r>
    </w:p>
    <w:p w14:paraId="7FB64506" w14:textId="318634D7" w:rsidR="0033350E" w:rsidRDefault="0033350E" w:rsidP="00876D60">
      <w:pPr>
        <w:pStyle w:val="ListParagraph"/>
        <w:numPr>
          <w:ilvl w:val="0"/>
          <w:numId w:val="15"/>
        </w:numPr>
        <w:spacing w:before="240" w:after="240"/>
        <w:rPr>
          <w:szCs w:val="20"/>
          <w:lang w:val="en-US"/>
        </w:rPr>
      </w:pPr>
      <w:r w:rsidRPr="0033350E">
        <w:rPr>
          <w:szCs w:val="20"/>
          <w:lang w:val="en-US"/>
        </w:rPr>
        <w:t xml:space="preserve">If legacy NR framework </w:t>
      </w:r>
      <w:r>
        <w:rPr>
          <w:szCs w:val="20"/>
          <w:lang w:val="en-US"/>
        </w:rPr>
        <w:t>can be</w:t>
      </w:r>
      <w:r w:rsidR="00077176">
        <w:rPr>
          <w:szCs w:val="20"/>
          <w:lang w:val="en-US"/>
        </w:rPr>
        <w:t xml:space="preserve"> adopted as the</w:t>
      </w:r>
      <w:r>
        <w:rPr>
          <w:szCs w:val="20"/>
          <w:lang w:val="en-US"/>
        </w:rPr>
        <w:t xml:space="preserve"> baseline after meeting all regulatory requirements, minimal design effort needs to be invested in developing NR-unlicensed </w:t>
      </w:r>
      <w:r w:rsidR="00077176">
        <w:rPr>
          <w:szCs w:val="20"/>
          <w:lang w:val="en-US"/>
        </w:rPr>
        <w:t>framework. I</w:t>
      </w:r>
      <w:r>
        <w:rPr>
          <w:szCs w:val="20"/>
          <w:lang w:val="en-US"/>
        </w:rPr>
        <w:t>nclusion of channel access mechanism (required for ensuring fair co-existence with incumbent systems in unlicensed spectrum)</w:t>
      </w:r>
      <w:r w:rsidR="00077176">
        <w:rPr>
          <w:szCs w:val="20"/>
          <w:lang w:val="en-US"/>
        </w:rPr>
        <w:t xml:space="preserve"> would enhance the usability of legacy NR physical channels to unlicensed operation. To meet the 2 MHz occupied </w:t>
      </w:r>
      <w:r w:rsidR="002F586B">
        <w:rPr>
          <w:szCs w:val="20"/>
          <w:lang w:val="en-US"/>
        </w:rPr>
        <w:t xml:space="preserve">channel </w:t>
      </w:r>
      <w:r w:rsidR="00077176">
        <w:rPr>
          <w:szCs w:val="20"/>
          <w:lang w:val="en-US"/>
        </w:rPr>
        <w:t>bandwidth requirement (temporal allowance), PRACH channels for NR need to be redesigned</w:t>
      </w:r>
      <w:r w:rsidR="00735C29">
        <w:rPr>
          <w:szCs w:val="20"/>
          <w:lang w:val="en-US"/>
        </w:rPr>
        <w:t xml:space="preserve"> for L-839 sequence with 1.25 KHz SCS</w:t>
      </w:r>
      <w:r w:rsidR="00077176">
        <w:rPr>
          <w:szCs w:val="20"/>
          <w:lang w:val="en-US"/>
        </w:rPr>
        <w:t>, but PUSCH and PUCCH channels can be reused from legacy NR framework. Also, time-domain and code-domain UE multiplexing capabilit</w:t>
      </w:r>
      <w:r w:rsidR="006D37AB">
        <w:rPr>
          <w:szCs w:val="20"/>
          <w:lang w:val="en-US"/>
        </w:rPr>
        <w:t>ies</w:t>
      </w:r>
      <w:r w:rsidR="00077176">
        <w:rPr>
          <w:szCs w:val="20"/>
          <w:lang w:val="en-US"/>
        </w:rPr>
        <w:t xml:space="preserve"> can be used from legacy NR physical channel framework to boost the multiplexing capacity of NR-unlicensed operation.</w:t>
      </w:r>
    </w:p>
    <w:p w14:paraId="722ABF63" w14:textId="000B1FAC" w:rsidR="00A5127E" w:rsidRDefault="00D40AEA" w:rsidP="003E615D">
      <w:pPr>
        <w:spacing w:before="240" w:after="240"/>
        <w:rPr>
          <w:szCs w:val="20"/>
          <w:lang w:val="en-US"/>
        </w:rPr>
      </w:pPr>
      <w:r>
        <w:rPr>
          <w:szCs w:val="20"/>
          <w:lang w:val="en-US"/>
        </w:rPr>
        <w:t xml:space="preserve">Although adoption of legacy NR based physical channel designs </w:t>
      </w:r>
      <w:r w:rsidR="006D37AB">
        <w:rPr>
          <w:szCs w:val="20"/>
          <w:lang w:val="en-US"/>
        </w:rPr>
        <w:t>can potentially save</w:t>
      </w:r>
      <w:r>
        <w:rPr>
          <w:szCs w:val="20"/>
          <w:lang w:val="en-US"/>
        </w:rPr>
        <w:t xml:space="preserve"> significant design effort, it may not be adequate as a standalone physical channel design for NR-unlicensed.</w:t>
      </w:r>
      <w:r w:rsidR="00ED63B0">
        <w:rPr>
          <w:szCs w:val="20"/>
          <w:lang w:val="en-US"/>
        </w:rPr>
        <w:t xml:space="preserve"> Interlaced PRB allocation could be still beneficial in terms of power boosting for narrow sub-carrier spacing. On the other hand, one can also attempt to meet the OCB criteria in a </w:t>
      </w:r>
      <w:r w:rsidR="006D37AB">
        <w:rPr>
          <w:szCs w:val="20"/>
          <w:lang w:val="en-US"/>
        </w:rPr>
        <w:t>regular</w:t>
      </w:r>
      <w:r w:rsidR="00ED63B0">
        <w:rPr>
          <w:szCs w:val="20"/>
          <w:lang w:val="en-US"/>
        </w:rPr>
        <w:t xml:space="preserve"> manner, although it may not be required. </w:t>
      </w:r>
      <w:r>
        <w:rPr>
          <w:szCs w:val="20"/>
          <w:lang w:val="en-US"/>
        </w:rPr>
        <w:t xml:space="preserve">Hence, in our view, it is beneficial to use legacy NR physical channel framework when OCB regulation is not to be mandatorily met, while for other scenarios, interlace based distributed allocation scheme from legacy LTE eLAA </w:t>
      </w:r>
      <w:r w:rsidR="00ED63B0">
        <w:rPr>
          <w:szCs w:val="20"/>
          <w:lang w:val="en-US"/>
        </w:rPr>
        <w:t>can be additionally</w:t>
      </w:r>
      <w:r>
        <w:rPr>
          <w:szCs w:val="20"/>
          <w:lang w:val="en-US"/>
        </w:rPr>
        <w:t xml:space="preserve"> supported.</w:t>
      </w:r>
    </w:p>
    <w:p w14:paraId="3E30B438" w14:textId="77777777" w:rsidR="002F586B" w:rsidRDefault="002F586B" w:rsidP="003E615D">
      <w:pPr>
        <w:spacing w:before="240" w:after="240"/>
        <w:rPr>
          <w:rFonts w:ascii="Times New Roman" w:hAnsi="Times New Roman"/>
          <w:b/>
          <w:szCs w:val="20"/>
          <w:u w:val="single"/>
          <w:lang w:val="en-US"/>
        </w:rPr>
      </w:pPr>
    </w:p>
    <w:p w14:paraId="443A5035" w14:textId="77777777" w:rsidR="00721F9A" w:rsidRPr="00721F9A" w:rsidRDefault="000114F7" w:rsidP="003E615D">
      <w:pPr>
        <w:spacing w:before="240" w:after="240"/>
        <w:rPr>
          <w:rFonts w:ascii="Times New Roman" w:hAnsi="Times New Roman"/>
          <w:b/>
          <w:szCs w:val="20"/>
          <w:u w:val="single"/>
          <w:lang w:val="en-US"/>
        </w:rPr>
      </w:pPr>
      <w:r w:rsidRPr="00721F9A">
        <w:rPr>
          <w:rFonts w:ascii="Times New Roman" w:hAnsi="Times New Roman"/>
          <w:b/>
          <w:szCs w:val="20"/>
          <w:u w:val="single"/>
          <w:lang w:val="en-US"/>
        </w:rPr>
        <w:lastRenderedPageBreak/>
        <w:t>Proposal 2</w:t>
      </w:r>
    </w:p>
    <w:p w14:paraId="35757AC0" w14:textId="599AFAF7" w:rsidR="00FD3B22" w:rsidRPr="007A4D7A" w:rsidRDefault="00EC34A7" w:rsidP="00876D60">
      <w:pPr>
        <w:pStyle w:val="ListParagraph"/>
        <w:numPr>
          <w:ilvl w:val="0"/>
          <w:numId w:val="11"/>
        </w:numPr>
        <w:spacing w:before="240" w:after="240"/>
        <w:ind w:left="360"/>
        <w:rPr>
          <w:b/>
          <w:i/>
          <w:szCs w:val="20"/>
          <w:lang w:val="en-US"/>
        </w:rPr>
      </w:pPr>
      <w:r w:rsidRPr="007A4D7A">
        <w:rPr>
          <w:b/>
          <w:i/>
          <w:szCs w:val="20"/>
          <w:lang w:val="en-US"/>
        </w:rPr>
        <w:t xml:space="preserve">NR-unlicensed uplink physical channels </w:t>
      </w:r>
      <w:r w:rsidR="00ED63B0">
        <w:rPr>
          <w:b/>
          <w:i/>
          <w:szCs w:val="20"/>
          <w:lang w:val="en-US"/>
        </w:rPr>
        <w:t>can</w:t>
      </w:r>
      <w:r w:rsidR="007A4D7A">
        <w:rPr>
          <w:b/>
          <w:i/>
          <w:szCs w:val="20"/>
          <w:lang w:val="en-US"/>
        </w:rPr>
        <w:t xml:space="preserve"> </w:t>
      </w:r>
      <w:r w:rsidRPr="007A4D7A">
        <w:rPr>
          <w:b/>
          <w:i/>
          <w:szCs w:val="20"/>
          <w:lang w:val="en-US"/>
        </w:rPr>
        <w:t>support interlace design, in a</w:t>
      </w:r>
      <w:r w:rsidR="00121961" w:rsidRPr="007A4D7A">
        <w:rPr>
          <w:b/>
          <w:i/>
          <w:szCs w:val="20"/>
          <w:lang w:val="en-US"/>
        </w:rPr>
        <w:t>ddition to the legacy Rel-15 NR</w:t>
      </w:r>
      <w:r w:rsidRPr="007A4D7A">
        <w:rPr>
          <w:b/>
          <w:i/>
          <w:szCs w:val="20"/>
          <w:lang w:val="en-US"/>
        </w:rPr>
        <w:t xml:space="preserve"> uplink physical channel</w:t>
      </w:r>
      <w:r w:rsidR="00721F9A" w:rsidRPr="007A4D7A">
        <w:rPr>
          <w:b/>
          <w:i/>
          <w:szCs w:val="20"/>
          <w:lang w:val="en-US"/>
        </w:rPr>
        <w:t xml:space="preserve"> framework</w:t>
      </w:r>
      <w:r w:rsidRPr="007A4D7A">
        <w:rPr>
          <w:b/>
          <w:i/>
          <w:szCs w:val="20"/>
          <w:lang w:val="en-US"/>
        </w:rPr>
        <w:t xml:space="preserve">. </w:t>
      </w:r>
    </w:p>
    <w:p w14:paraId="499EDE34" w14:textId="77777777" w:rsidR="000176A4" w:rsidRPr="00C37487" w:rsidRDefault="000D3BDE" w:rsidP="003E615D">
      <w:pPr>
        <w:pStyle w:val="Heading1"/>
        <w:keepNext w:val="0"/>
        <w:widowControl w:val="0"/>
        <w:spacing w:before="480" w:after="120"/>
        <w:ind w:left="518"/>
        <w:rPr>
          <w:rFonts w:ascii="Times New Roman" w:hAnsi="Times New Roman" w:cs="Times New Roman"/>
          <w:sz w:val="28"/>
          <w:lang w:val="en-US"/>
        </w:rPr>
      </w:pPr>
      <w:r w:rsidRPr="00C37487">
        <w:rPr>
          <w:rFonts w:ascii="Times New Roman" w:hAnsi="Times New Roman" w:cs="Times New Roman"/>
          <w:sz w:val="28"/>
          <w:lang w:val="en-US"/>
        </w:rPr>
        <w:t>Conclusion</w:t>
      </w:r>
    </w:p>
    <w:p w14:paraId="2F243AF6" w14:textId="77777777" w:rsidR="007A4D7A" w:rsidRDefault="00CA44F8" w:rsidP="003E615D">
      <w:pPr>
        <w:overflowPunct w:val="0"/>
        <w:autoSpaceDE w:val="0"/>
        <w:autoSpaceDN w:val="0"/>
        <w:adjustRightInd w:val="0"/>
        <w:spacing w:after="0"/>
        <w:rPr>
          <w:rFonts w:ascii="Times New Roman" w:hAnsi="Times New Roman"/>
        </w:rPr>
      </w:pPr>
      <w:r w:rsidRPr="00C37487">
        <w:rPr>
          <w:rFonts w:ascii="Times New Roman" w:hAnsi="Times New Roman"/>
        </w:rPr>
        <w:t xml:space="preserve">In this </w:t>
      </w:r>
      <w:r w:rsidR="00332D29">
        <w:rPr>
          <w:rFonts w:ascii="Times New Roman" w:hAnsi="Times New Roman"/>
        </w:rPr>
        <w:t xml:space="preserve">contribution, we have discussed the </w:t>
      </w:r>
      <w:r w:rsidR="007A4D7A">
        <w:rPr>
          <w:rFonts w:ascii="Times New Roman" w:hAnsi="Times New Roman"/>
        </w:rPr>
        <w:t>regulations for NR-unlicensed operation and its impact on the design considerations for uplink physical channels operating in NR-unlicensed spectrum. In this context, we compared two candidates as potential baseline configuration of NR-unlicensed uplink physical channels, viz. interlaced distributed resource allocation scheme similar to legacy LTE eLAA and contiguous allocation scheme as in legacy Rel-15 NR-licensed design. Based on our discussion, we make the following observations and proposals</w:t>
      </w:r>
    </w:p>
    <w:p w14:paraId="60DA7E3E" w14:textId="77777777" w:rsidR="007A4D7A" w:rsidRDefault="007A4D7A" w:rsidP="003E615D">
      <w:pPr>
        <w:overflowPunct w:val="0"/>
        <w:autoSpaceDE w:val="0"/>
        <w:autoSpaceDN w:val="0"/>
        <w:adjustRightInd w:val="0"/>
        <w:spacing w:after="0"/>
        <w:rPr>
          <w:rFonts w:ascii="Times New Roman" w:hAnsi="Times New Roman"/>
        </w:rPr>
      </w:pPr>
    </w:p>
    <w:p w14:paraId="40E57D8D" w14:textId="77777777" w:rsidR="007A4D7A" w:rsidRPr="00721F9A" w:rsidRDefault="007A4D7A" w:rsidP="007A4D7A">
      <w:pPr>
        <w:spacing w:before="240" w:after="240"/>
        <w:rPr>
          <w:rFonts w:ascii="Times New Roman" w:hAnsi="Times New Roman"/>
          <w:b/>
          <w:szCs w:val="20"/>
          <w:u w:val="single"/>
          <w:lang w:val="en-US"/>
        </w:rPr>
      </w:pPr>
      <w:r>
        <w:rPr>
          <w:rFonts w:ascii="Times New Roman" w:hAnsi="Times New Roman"/>
        </w:rPr>
        <w:t xml:space="preserve"> </w:t>
      </w:r>
      <w:r w:rsidRPr="00721F9A">
        <w:rPr>
          <w:rFonts w:ascii="Times New Roman" w:hAnsi="Times New Roman"/>
          <w:b/>
          <w:szCs w:val="20"/>
          <w:u w:val="single"/>
          <w:lang w:val="en-US"/>
        </w:rPr>
        <w:t xml:space="preserve">Proposal 1 </w:t>
      </w:r>
    </w:p>
    <w:p w14:paraId="3F0E5620" w14:textId="77777777" w:rsidR="007A4D7A" w:rsidRPr="000114F7" w:rsidRDefault="007A4D7A" w:rsidP="00876D60">
      <w:pPr>
        <w:pStyle w:val="ListParagraph"/>
        <w:numPr>
          <w:ilvl w:val="0"/>
          <w:numId w:val="8"/>
        </w:numPr>
        <w:spacing w:before="240" w:after="240"/>
        <w:ind w:left="360"/>
        <w:rPr>
          <w:b/>
          <w:szCs w:val="20"/>
          <w:lang w:val="en-US"/>
        </w:rPr>
      </w:pPr>
      <w:r w:rsidRPr="000114F7">
        <w:rPr>
          <w:b/>
          <w:i/>
          <w:szCs w:val="20"/>
          <w:lang w:val="en-US"/>
        </w:rPr>
        <w:t>The NR-unlicensed system shall be built based on the precise interpretation of the relevant regulations</w:t>
      </w:r>
      <w:r w:rsidRPr="000114F7">
        <w:rPr>
          <w:b/>
          <w:szCs w:val="20"/>
          <w:lang w:val="en-US"/>
        </w:rPr>
        <w:t>.</w:t>
      </w:r>
    </w:p>
    <w:p w14:paraId="059BAF06" w14:textId="16475941" w:rsidR="007A4D7A" w:rsidRPr="00A16335" w:rsidRDefault="007A4D7A" w:rsidP="00DB39CE">
      <w:pPr>
        <w:pStyle w:val="ListParagraph"/>
        <w:numPr>
          <w:ilvl w:val="0"/>
          <w:numId w:val="10"/>
        </w:numPr>
        <w:spacing w:before="240" w:after="240"/>
        <w:ind w:left="1080"/>
        <w:rPr>
          <w:b/>
          <w:szCs w:val="20"/>
          <w:u w:val="single"/>
          <w:lang w:val="en-US"/>
        </w:rPr>
      </w:pPr>
      <w:r w:rsidRPr="00A16335">
        <w:rPr>
          <w:b/>
          <w:i/>
          <w:szCs w:val="20"/>
          <w:lang w:val="en-US"/>
        </w:rPr>
        <w:t>NR-unlicensed system may exploit the temporal allowance of occupied channel bandwidth to be less than 80% of nominal channel bandwidth (with a minimum of 2 MHz) to use NR-licensed physical channels/signals, when applicable.</w:t>
      </w:r>
    </w:p>
    <w:p w14:paraId="47BDBB38" w14:textId="77777777" w:rsidR="007A4D7A" w:rsidRPr="00721F9A" w:rsidRDefault="007A4D7A" w:rsidP="007A4D7A">
      <w:pPr>
        <w:spacing w:before="240" w:after="240"/>
        <w:rPr>
          <w:rFonts w:ascii="Times New Roman" w:hAnsi="Times New Roman"/>
          <w:b/>
          <w:szCs w:val="20"/>
          <w:u w:val="single"/>
          <w:lang w:val="en-US"/>
        </w:rPr>
      </w:pPr>
      <w:r w:rsidRPr="00721F9A">
        <w:rPr>
          <w:rFonts w:ascii="Times New Roman" w:hAnsi="Times New Roman"/>
          <w:b/>
          <w:szCs w:val="20"/>
          <w:u w:val="single"/>
          <w:lang w:val="en-US"/>
        </w:rPr>
        <w:t>Proposal 2</w:t>
      </w:r>
    </w:p>
    <w:p w14:paraId="54C43114" w14:textId="299AB9B0" w:rsidR="007A4D7A" w:rsidRPr="007A4D7A" w:rsidRDefault="007A4D7A" w:rsidP="00876D60">
      <w:pPr>
        <w:pStyle w:val="ListParagraph"/>
        <w:numPr>
          <w:ilvl w:val="0"/>
          <w:numId w:val="11"/>
        </w:numPr>
        <w:spacing w:before="240" w:after="240"/>
        <w:ind w:left="360"/>
        <w:rPr>
          <w:b/>
          <w:i/>
          <w:szCs w:val="20"/>
          <w:lang w:val="en-US"/>
        </w:rPr>
      </w:pPr>
      <w:r w:rsidRPr="007A4D7A">
        <w:rPr>
          <w:b/>
          <w:i/>
          <w:szCs w:val="20"/>
          <w:lang w:val="en-US"/>
        </w:rPr>
        <w:t xml:space="preserve">NR-unlicensed uplink physical channels </w:t>
      </w:r>
      <w:r w:rsidR="00ED63B0">
        <w:rPr>
          <w:b/>
          <w:i/>
          <w:szCs w:val="20"/>
          <w:lang w:val="en-US"/>
        </w:rPr>
        <w:t xml:space="preserve">can </w:t>
      </w:r>
      <w:r w:rsidRPr="007A4D7A">
        <w:rPr>
          <w:b/>
          <w:i/>
          <w:szCs w:val="20"/>
          <w:lang w:val="en-US"/>
        </w:rPr>
        <w:t xml:space="preserve">support interlace design, in addition to the legacy Rel-15 NR uplink physical channel framework. </w:t>
      </w:r>
    </w:p>
    <w:p w14:paraId="2F98AD2B" w14:textId="77777777" w:rsidR="007A4D7A" w:rsidRPr="007A4D7A" w:rsidRDefault="007A4D7A" w:rsidP="007A4D7A">
      <w:pPr>
        <w:spacing w:before="240" w:after="240"/>
        <w:rPr>
          <w:b/>
          <w:szCs w:val="20"/>
          <w:u w:val="single"/>
          <w:lang w:val="en-US"/>
        </w:rPr>
      </w:pPr>
      <w:r w:rsidRPr="007A4D7A">
        <w:rPr>
          <w:b/>
          <w:szCs w:val="20"/>
          <w:u w:val="single"/>
          <w:lang w:val="en-US"/>
        </w:rPr>
        <w:t xml:space="preserve">Observation 1 </w:t>
      </w:r>
    </w:p>
    <w:p w14:paraId="0F382942" w14:textId="77777777" w:rsidR="007A4D7A" w:rsidRPr="007A4D7A" w:rsidRDefault="007A4D7A" w:rsidP="00876D60">
      <w:pPr>
        <w:pStyle w:val="ListParagraph"/>
        <w:numPr>
          <w:ilvl w:val="0"/>
          <w:numId w:val="11"/>
        </w:numPr>
        <w:spacing w:before="240" w:after="240" w:line="240" w:lineRule="auto"/>
        <w:ind w:left="360"/>
        <w:rPr>
          <w:b/>
          <w:i/>
          <w:szCs w:val="20"/>
          <w:lang w:val="en-US"/>
        </w:rPr>
      </w:pPr>
      <w:r w:rsidRPr="007A4D7A">
        <w:rPr>
          <w:b/>
          <w:i/>
          <w:szCs w:val="20"/>
          <w:lang w:val="en-US"/>
        </w:rPr>
        <w:t>Simple uniform interlace deign for NR-unlicensed across different numerology configurations would be difficult.</w:t>
      </w:r>
    </w:p>
    <w:p w14:paraId="78938C42" w14:textId="77777777" w:rsidR="007A4D7A" w:rsidRPr="007A4D7A" w:rsidRDefault="007A4D7A" w:rsidP="007A4D7A">
      <w:pPr>
        <w:spacing w:before="240" w:after="240"/>
        <w:rPr>
          <w:b/>
          <w:szCs w:val="20"/>
          <w:u w:val="single"/>
          <w:lang w:val="en-US"/>
        </w:rPr>
      </w:pPr>
      <w:r w:rsidRPr="007A4D7A">
        <w:rPr>
          <w:b/>
          <w:szCs w:val="20"/>
          <w:u w:val="single"/>
          <w:lang w:val="en-US"/>
        </w:rPr>
        <w:t>Observation 2</w:t>
      </w:r>
    </w:p>
    <w:p w14:paraId="4F78C486" w14:textId="77777777" w:rsidR="007A4D7A" w:rsidRPr="007A4D7A" w:rsidRDefault="007A4D7A" w:rsidP="00876D60">
      <w:pPr>
        <w:pStyle w:val="ListParagraph"/>
        <w:numPr>
          <w:ilvl w:val="0"/>
          <w:numId w:val="11"/>
        </w:numPr>
        <w:spacing w:before="240" w:after="240"/>
        <w:ind w:left="360"/>
        <w:rPr>
          <w:b/>
          <w:i/>
          <w:szCs w:val="20"/>
          <w:lang w:val="en-US"/>
        </w:rPr>
      </w:pPr>
      <w:r w:rsidRPr="007A4D7A">
        <w:rPr>
          <w:b/>
          <w:i/>
          <w:szCs w:val="20"/>
          <w:lang w:val="en-US"/>
        </w:rPr>
        <w:t>Interlace design for NR-unlicensed would be numerology dependent, i.e. for different numerologies, new interlace design may be required to ensure efficient resource utilization while meeting regulatory requirements.</w:t>
      </w:r>
    </w:p>
    <w:p w14:paraId="67182EF4" w14:textId="77777777" w:rsidR="007A4D7A" w:rsidRPr="007A4D7A" w:rsidRDefault="007A4D7A" w:rsidP="007A4D7A">
      <w:pPr>
        <w:spacing w:before="240" w:after="240"/>
        <w:rPr>
          <w:b/>
          <w:szCs w:val="20"/>
          <w:u w:val="single"/>
          <w:lang w:val="en-US"/>
        </w:rPr>
      </w:pPr>
      <w:r w:rsidRPr="007A4D7A">
        <w:rPr>
          <w:szCs w:val="20"/>
          <w:lang w:val="en-US"/>
        </w:rPr>
        <w:t xml:space="preserve"> </w:t>
      </w:r>
      <w:r w:rsidRPr="007A4D7A">
        <w:rPr>
          <w:b/>
          <w:szCs w:val="20"/>
          <w:u w:val="single"/>
          <w:lang w:val="en-US"/>
        </w:rPr>
        <w:t xml:space="preserve">Observation 3 </w:t>
      </w:r>
    </w:p>
    <w:p w14:paraId="238F967D" w14:textId="25CE4486" w:rsidR="00706604" w:rsidRPr="007A4D7A" w:rsidRDefault="007A4D7A" w:rsidP="00876D60">
      <w:pPr>
        <w:pStyle w:val="ListParagraph"/>
        <w:numPr>
          <w:ilvl w:val="0"/>
          <w:numId w:val="11"/>
        </w:numPr>
        <w:overflowPunct w:val="0"/>
        <w:autoSpaceDE w:val="0"/>
        <w:autoSpaceDN w:val="0"/>
        <w:adjustRightInd w:val="0"/>
        <w:spacing w:after="0"/>
        <w:ind w:left="360"/>
        <w:rPr>
          <w:b/>
          <w:szCs w:val="20"/>
          <w:lang w:val="en-US"/>
        </w:rPr>
      </w:pPr>
      <w:r w:rsidRPr="007A4D7A">
        <w:rPr>
          <w:b/>
          <w:i/>
          <w:szCs w:val="20"/>
          <w:lang w:val="en-US"/>
        </w:rPr>
        <w:t>PRB based interlace design of legacy LTE eLAA may not be efficient for NR-unlicensed physical channels, especially for larger subcarrier spacing</w:t>
      </w:r>
    </w:p>
    <w:p w14:paraId="568D0875" w14:textId="77777777" w:rsidR="00427643" w:rsidRPr="00C37487" w:rsidRDefault="00427643" w:rsidP="007016AD">
      <w:pPr>
        <w:pStyle w:val="Heading1"/>
        <w:keepNext w:val="0"/>
        <w:widowControl w:val="0"/>
        <w:numPr>
          <w:ilvl w:val="0"/>
          <w:numId w:val="0"/>
        </w:numPr>
        <w:spacing w:before="480" w:after="240"/>
        <w:ind w:left="518" w:hanging="432"/>
        <w:rPr>
          <w:rFonts w:ascii="Times New Roman" w:hAnsi="Times New Roman" w:cs="Times New Roman"/>
          <w:sz w:val="28"/>
          <w:lang w:val="en-US"/>
        </w:rPr>
      </w:pPr>
      <w:r w:rsidRPr="00C37487">
        <w:rPr>
          <w:rFonts w:ascii="Times New Roman" w:hAnsi="Times New Roman" w:cs="Times New Roman"/>
          <w:sz w:val="28"/>
          <w:lang w:val="en-US"/>
        </w:rPr>
        <w:t>References</w:t>
      </w:r>
      <w:bookmarkStart w:id="1" w:name="_GoBack"/>
      <w:bookmarkEnd w:id="1"/>
    </w:p>
    <w:p w14:paraId="3E9BC3FB" w14:textId="4776C388" w:rsidR="005075EC" w:rsidRPr="00C37487" w:rsidRDefault="005075EC" w:rsidP="00876D60">
      <w:pPr>
        <w:pStyle w:val="BodyText"/>
        <w:numPr>
          <w:ilvl w:val="0"/>
          <w:numId w:val="7"/>
        </w:numPr>
        <w:overflowPunct w:val="0"/>
        <w:textAlignment w:val="baseline"/>
        <w:rPr>
          <w:rFonts w:ascii="Times New Roman" w:hAnsi="Times New Roman"/>
          <w:lang w:eastAsia="zh-CN"/>
        </w:rPr>
      </w:pPr>
      <w:r w:rsidRPr="00C37487">
        <w:rPr>
          <w:rFonts w:ascii="Times New Roman" w:hAnsi="Times New Roman"/>
          <w:lang w:eastAsia="zh-CN"/>
        </w:rPr>
        <w:t>RP-172021, “New SID on NR-based Access to Unlicensed Spectrum”, Qualcomm Inc., 3GPP TSG RAN Meeting #77, Sept</w:t>
      </w:r>
      <w:r w:rsidR="003F7C0C">
        <w:rPr>
          <w:rFonts w:ascii="Times New Roman" w:hAnsi="Times New Roman"/>
          <w:lang w:eastAsia="zh-CN"/>
        </w:rPr>
        <w:t>.</w:t>
      </w:r>
      <w:r w:rsidRPr="00C37487">
        <w:rPr>
          <w:rFonts w:ascii="Times New Roman" w:hAnsi="Times New Roman"/>
          <w:lang w:eastAsia="zh-CN"/>
        </w:rPr>
        <w:t>, 2017.</w:t>
      </w:r>
    </w:p>
    <w:p w14:paraId="0A0565CA" w14:textId="0E8418D0" w:rsidR="00C37487" w:rsidRDefault="00C37487" w:rsidP="00876D60">
      <w:pPr>
        <w:pStyle w:val="BodyText"/>
        <w:numPr>
          <w:ilvl w:val="0"/>
          <w:numId w:val="7"/>
        </w:numPr>
        <w:overflowPunct w:val="0"/>
        <w:textAlignment w:val="baseline"/>
        <w:rPr>
          <w:rFonts w:ascii="Times New Roman" w:hAnsi="Times New Roman"/>
          <w:lang w:eastAsia="zh-CN"/>
        </w:rPr>
      </w:pPr>
      <w:r>
        <w:rPr>
          <w:rFonts w:ascii="Times New Roman" w:hAnsi="Times New Roman"/>
        </w:rPr>
        <w:t xml:space="preserve">ETSI EN 301.893, 5 GHz RAN; Harmonised Standard </w:t>
      </w:r>
      <w:r w:rsidRPr="00FE5E96">
        <w:rPr>
          <w:rFonts w:ascii="Times New Roman" w:hAnsi="Times New Roman"/>
        </w:rPr>
        <w:t>covering the essential requirements</w:t>
      </w:r>
      <w:r>
        <w:rPr>
          <w:rFonts w:ascii="Times New Roman" w:hAnsi="Times New Roman"/>
        </w:rPr>
        <w:t xml:space="preserve"> </w:t>
      </w:r>
      <w:r w:rsidRPr="00FE5E96">
        <w:rPr>
          <w:rFonts w:ascii="Times New Roman" w:hAnsi="Times New Roman"/>
        </w:rPr>
        <w:t>of article 3.2 of Directive 2014/53/EU</w:t>
      </w:r>
      <w:r>
        <w:rPr>
          <w:rFonts w:ascii="Times New Roman" w:hAnsi="Times New Roman"/>
        </w:rPr>
        <w:t xml:space="preserve"> V2.1.1, 2017-05.</w:t>
      </w:r>
    </w:p>
    <w:p w14:paraId="0AF90746" w14:textId="1420BD28" w:rsidR="003F7C0C" w:rsidRPr="003F7C0C" w:rsidRDefault="00684676" w:rsidP="00876D60">
      <w:pPr>
        <w:pStyle w:val="BodyText"/>
        <w:numPr>
          <w:ilvl w:val="0"/>
          <w:numId w:val="7"/>
        </w:numPr>
        <w:overflowPunct w:val="0"/>
        <w:textAlignment w:val="baseline"/>
        <w:rPr>
          <w:rFonts w:ascii="Times New Roman" w:hAnsi="Times New Roman"/>
          <w:lang w:eastAsia="zh-CN"/>
        </w:rPr>
      </w:pPr>
      <w:r w:rsidRPr="00C37487">
        <w:rPr>
          <w:rFonts w:ascii="Times New Roman" w:hAnsi="Times New Roman"/>
          <w:lang w:eastAsia="zh-CN"/>
        </w:rPr>
        <w:t xml:space="preserve">R1-1802433, </w:t>
      </w:r>
      <w:r w:rsidR="00BD19CF">
        <w:rPr>
          <w:rFonts w:ascii="Times New Roman" w:hAnsi="Times New Roman"/>
          <w:lang w:eastAsia="zh-CN"/>
        </w:rPr>
        <w:t>“</w:t>
      </w:r>
      <w:r w:rsidRPr="00C37487">
        <w:rPr>
          <w:rFonts w:ascii="Times New Roman" w:hAnsi="Times New Roman"/>
          <w:bCs/>
          <w:lang w:val="en-US" w:eastAsia="zh-CN"/>
        </w:rPr>
        <w:t>Companies’ views on candidate spectrum for NR unlicensed operation</w:t>
      </w:r>
      <w:r w:rsidR="00BD19CF">
        <w:rPr>
          <w:rFonts w:ascii="Times New Roman" w:hAnsi="Times New Roman"/>
          <w:bCs/>
          <w:lang w:val="en-US" w:eastAsia="zh-CN"/>
        </w:rPr>
        <w:t>”, Intel</w:t>
      </w:r>
      <w:r w:rsidRPr="00C37487">
        <w:rPr>
          <w:rFonts w:ascii="Times New Roman" w:hAnsi="Times New Roman"/>
          <w:bCs/>
          <w:lang w:val="en-US" w:eastAsia="zh-CN"/>
        </w:rPr>
        <w:t xml:space="preserve"> et al., </w:t>
      </w:r>
      <w:r w:rsidRPr="00C37487">
        <w:rPr>
          <w:rFonts w:ascii="Times New Roman" w:hAnsi="Times New Roman"/>
          <w:lang w:eastAsia="zh-CN"/>
        </w:rPr>
        <w:t xml:space="preserve">3GPP TSG RAN WG1 </w:t>
      </w:r>
      <w:r w:rsidRPr="00C37487">
        <w:rPr>
          <w:rFonts w:ascii="Times New Roman" w:hAnsi="Times New Roman"/>
          <w:bCs/>
          <w:lang w:val="en-US" w:eastAsia="zh-CN"/>
        </w:rPr>
        <w:t>#92, Feb., 2018.</w:t>
      </w:r>
    </w:p>
    <w:p w14:paraId="5DE219F4" w14:textId="7EAAB462" w:rsidR="00B5463D" w:rsidRPr="003F7C0C" w:rsidRDefault="009060A4" w:rsidP="00876D60">
      <w:pPr>
        <w:pStyle w:val="BodyText"/>
        <w:numPr>
          <w:ilvl w:val="0"/>
          <w:numId w:val="7"/>
        </w:numPr>
        <w:overflowPunct w:val="0"/>
        <w:textAlignment w:val="baseline"/>
        <w:rPr>
          <w:rFonts w:ascii="Times New Roman" w:hAnsi="Times New Roman"/>
          <w:lang w:eastAsia="zh-CN"/>
        </w:rPr>
      </w:pPr>
      <w:r w:rsidRPr="00706C1E">
        <w:t>3GPP TR 36.889 V13.0.0, “Study on Licensed-Assisted Access to Unlicensed Spectrum”</w:t>
      </w:r>
      <w:r>
        <w:t>.</w:t>
      </w:r>
    </w:p>
    <w:p w14:paraId="3F459160" w14:textId="6357A919" w:rsidR="003F7C0C" w:rsidRDefault="003F7C0C" w:rsidP="00876D60">
      <w:pPr>
        <w:pStyle w:val="BodyText"/>
        <w:numPr>
          <w:ilvl w:val="0"/>
          <w:numId w:val="7"/>
        </w:numPr>
        <w:overflowPunct w:val="0"/>
        <w:textAlignment w:val="baseline"/>
        <w:rPr>
          <w:rFonts w:ascii="Times New Roman" w:hAnsi="Times New Roman"/>
          <w:lang w:eastAsia="zh-CN"/>
        </w:rPr>
      </w:pPr>
      <w:r>
        <w:rPr>
          <w:rFonts w:ascii="Times New Roman" w:hAnsi="Times New Roman"/>
          <w:lang w:eastAsia="zh-CN"/>
        </w:rPr>
        <w:t>R1-160419, “UL waveform for eLAA: B-IFDMA”, Intel Corporation, 3GPP TSG RAN WG1 #84 meeting, Feb. 2016.</w:t>
      </w:r>
    </w:p>
    <w:p w14:paraId="2718EA6E" w14:textId="5BFC7FF9" w:rsidR="0050700A" w:rsidRPr="00750D61" w:rsidRDefault="00D05191" w:rsidP="00750D61">
      <w:pPr>
        <w:pStyle w:val="BodyText"/>
        <w:numPr>
          <w:ilvl w:val="0"/>
          <w:numId w:val="7"/>
        </w:numPr>
        <w:overflowPunct w:val="0"/>
        <w:textAlignment w:val="baseline"/>
        <w:rPr>
          <w:rFonts w:ascii="Times New Roman" w:hAnsi="Times New Roman"/>
          <w:lang w:eastAsia="zh-CN"/>
        </w:rPr>
      </w:pPr>
      <w:r w:rsidRPr="00750D61">
        <w:rPr>
          <w:rFonts w:ascii="Times New Roman" w:hAnsi="Times New Roman"/>
        </w:rPr>
        <w:t xml:space="preserve">3GPP TS 38.101-1, </w:t>
      </w:r>
      <w:r w:rsidRPr="00750D61">
        <w:rPr>
          <w:lang w:val="en-US"/>
        </w:rPr>
        <w:t>User Equipment (UE) radio transmission and reception</w:t>
      </w:r>
      <w:r w:rsidRPr="00750D61">
        <w:rPr>
          <w:rFonts w:ascii="Times New Roman" w:hAnsi="Times New Roman"/>
        </w:rPr>
        <w:t xml:space="preserve"> Part 1: Range 1 Standalone, V1.0.0, 2017-12.</w:t>
      </w:r>
    </w:p>
    <w:sectPr w:rsidR="0050700A" w:rsidRPr="00750D61" w:rsidSect="0012020F">
      <w:footerReference w:type="default" r:id="rId17"/>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1E58FA" w14:textId="77777777" w:rsidR="004C2767" w:rsidRDefault="004C2767"/>
  </w:endnote>
  <w:endnote w:type="continuationSeparator" w:id="0">
    <w:p w14:paraId="5A2D7138" w14:textId="77777777" w:rsidR="004C2767" w:rsidRDefault="004C27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706" w14:textId="77777777" w:rsidR="00AE788F" w:rsidRDefault="00AE788F">
    <w:pPr>
      <w:pStyle w:val="Footer"/>
    </w:pPr>
  </w:p>
  <w:p w14:paraId="43FA2102" w14:textId="77777777" w:rsidR="00AE788F" w:rsidRDefault="00AE788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14375B" w14:textId="77777777" w:rsidR="004C2767" w:rsidRDefault="004C2767"/>
  </w:footnote>
  <w:footnote w:type="continuationSeparator" w:id="0">
    <w:p w14:paraId="3A03E07A" w14:textId="77777777" w:rsidR="004C2767" w:rsidRDefault="004C2767"/>
  </w:footnote>
  <w:footnote w:id="1">
    <w:p w14:paraId="4D919A75" w14:textId="05E2606D" w:rsidR="0015479F" w:rsidRDefault="0015479F">
      <w:pPr>
        <w:pStyle w:val="FootnoteText"/>
      </w:pPr>
      <w:r>
        <w:rPr>
          <w:rStyle w:val="FootnoteReference"/>
        </w:rPr>
        <w:footnoteRef/>
      </w:r>
      <w:r>
        <w:t xml:space="preserve"> </w:t>
      </w:r>
      <w:r w:rsidRPr="006C3BD9">
        <w:rPr>
          <w:sz w:val="16"/>
        </w:rPr>
        <w:t xml:space="preserve">It is noted that the minimum bandwidth for temporal </w:t>
      </w:r>
      <w:r w:rsidR="005B4C88">
        <w:rPr>
          <w:sz w:val="16"/>
        </w:rPr>
        <w:t>allowance of not meeting OCB has</w:t>
      </w:r>
      <w:r w:rsidRPr="006C3BD9">
        <w:rPr>
          <w:sz w:val="16"/>
        </w:rPr>
        <w:t xml:space="preserve"> been reduced from 4 MHz to 2 MHz in the latest revision</w:t>
      </w:r>
      <w:r>
        <w:rPr>
          <w:sz w:val="16"/>
        </w:rPr>
        <w:t xml:space="preserve"> to accommodate IEEE 802.11ax OFDMA scheduling mode</w:t>
      </w:r>
      <w:r w:rsidRPr="006C3BD9">
        <w:rPr>
          <w:sz w:val="16"/>
        </w:rPr>
        <w:t>.</w:t>
      </w:r>
      <w:r>
        <w:rPr>
          <w:sz w:val="16"/>
        </w:rPr>
        <w:t xml:space="preserve"> The minimum resource allocation size of IEEE 802.11ax is 2.031 </w:t>
      </w:r>
      <w:proofErr w:type="spellStart"/>
      <w:r w:rsidR="005B4C88">
        <w:rPr>
          <w:sz w:val="16"/>
        </w:rPr>
        <w:t>MHz.</w:t>
      </w:r>
      <w:proofErr w:type="spell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56C2956"/>
    <w:multiLevelType w:val="hybridMultilevel"/>
    <w:tmpl w:val="277668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D33492"/>
    <w:multiLevelType w:val="hybridMultilevel"/>
    <w:tmpl w:val="8BAE08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64D733C"/>
    <w:multiLevelType w:val="hybridMultilevel"/>
    <w:tmpl w:val="4704BB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15:restartNumberingAfterBreak="0">
    <w:nsid w:val="4C0F1D88"/>
    <w:multiLevelType w:val="hybridMultilevel"/>
    <w:tmpl w:val="1D049C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0981A04"/>
    <w:multiLevelType w:val="hybridMultilevel"/>
    <w:tmpl w:val="71240030"/>
    <w:lvl w:ilvl="0" w:tplc="D910D97A">
      <w:start w:val="1"/>
      <w:numFmt w:val="bullet"/>
      <w:lvlText w:val="‒"/>
      <w:lvlJc w:val="left"/>
      <w:pPr>
        <w:ind w:left="1440" w:hanging="360"/>
      </w:pPr>
      <w:rPr>
        <w:rFonts w:ascii="Verdana" w:hAnsi="Verdana"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9115F5C"/>
    <w:multiLevelType w:val="hybridMultilevel"/>
    <w:tmpl w:val="B82AA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D17D41"/>
    <w:multiLevelType w:val="hybridMultilevel"/>
    <w:tmpl w:val="D5F014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7E6C4BA4"/>
    <w:multiLevelType w:val="hybridMultilevel"/>
    <w:tmpl w:val="16BA4F3E"/>
    <w:lvl w:ilvl="0" w:tplc="AA4EF412">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6"/>
  </w:num>
  <w:num w:numId="2">
    <w:abstractNumId w:val="11"/>
  </w:num>
  <w:num w:numId="3">
    <w:abstractNumId w:val="2"/>
  </w:num>
  <w:num w:numId="4">
    <w:abstractNumId w:val="0"/>
  </w:num>
  <w:num w:numId="5">
    <w:abstractNumId w:val="9"/>
  </w:num>
  <w:num w:numId="6">
    <w:abstractNumId w:val="3"/>
  </w:num>
  <w:num w:numId="7">
    <w:abstractNumId w:val="14"/>
  </w:num>
  <w:num w:numId="8">
    <w:abstractNumId w:val="4"/>
  </w:num>
  <w:num w:numId="9">
    <w:abstractNumId w:val="10"/>
  </w:num>
  <w:num w:numId="10">
    <w:abstractNumId w:val="8"/>
  </w:num>
  <w:num w:numId="11">
    <w:abstractNumId w:val="12"/>
  </w:num>
  <w:num w:numId="12">
    <w:abstractNumId w:val="1"/>
  </w:num>
  <w:num w:numId="13">
    <w:abstractNumId w:val="13"/>
  </w:num>
  <w:num w:numId="14">
    <w:abstractNumId w:val="5"/>
  </w:num>
  <w:num w:numId="15">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3C"/>
    <w:rsid w:val="00000477"/>
    <w:rsid w:val="00000491"/>
    <w:rsid w:val="00000AA4"/>
    <w:rsid w:val="0000144C"/>
    <w:rsid w:val="00001BB5"/>
    <w:rsid w:val="000031F3"/>
    <w:rsid w:val="000041DF"/>
    <w:rsid w:val="000044A1"/>
    <w:rsid w:val="000047B3"/>
    <w:rsid w:val="00004E6C"/>
    <w:rsid w:val="0000505D"/>
    <w:rsid w:val="00006B72"/>
    <w:rsid w:val="00007449"/>
    <w:rsid w:val="000078D4"/>
    <w:rsid w:val="000079E9"/>
    <w:rsid w:val="00007F5E"/>
    <w:rsid w:val="00010410"/>
    <w:rsid w:val="00010F11"/>
    <w:rsid w:val="000114F7"/>
    <w:rsid w:val="000118A5"/>
    <w:rsid w:val="00011E5B"/>
    <w:rsid w:val="000120A3"/>
    <w:rsid w:val="000121E6"/>
    <w:rsid w:val="000122EB"/>
    <w:rsid w:val="00012ABB"/>
    <w:rsid w:val="000131B0"/>
    <w:rsid w:val="00013964"/>
    <w:rsid w:val="00013F5A"/>
    <w:rsid w:val="00013F67"/>
    <w:rsid w:val="0001433F"/>
    <w:rsid w:val="00014B26"/>
    <w:rsid w:val="00014DD0"/>
    <w:rsid w:val="000158C0"/>
    <w:rsid w:val="00015B24"/>
    <w:rsid w:val="000176A4"/>
    <w:rsid w:val="00020190"/>
    <w:rsid w:val="0002049D"/>
    <w:rsid w:val="00020B26"/>
    <w:rsid w:val="000217EF"/>
    <w:rsid w:val="000218E4"/>
    <w:rsid w:val="0002224E"/>
    <w:rsid w:val="00022FE4"/>
    <w:rsid w:val="0002412C"/>
    <w:rsid w:val="000245E2"/>
    <w:rsid w:val="000246F2"/>
    <w:rsid w:val="0002503C"/>
    <w:rsid w:val="00025B9D"/>
    <w:rsid w:val="00026C21"/>
    <w:rsid w:val="000270F8"/>
    <w:rsid w:val="000271E0"/>
    <w:rsid w:val="000279BC"/>
    <w:rsid w:val="0003027C"/>
    <w:rsid w:val="000302E5"/>
    <w:rsid w:val="00030AFD"/>
    <w:rsid w:val="0003129F"/>
    <w:rsid w:val="00031429"/>
    <w:rsid w:val="000315E9"/>
    <w:rsid w:val="00031A99"/>
    <w:rsid w:val="00032B0D"/>
    <w:rsid w:val="0003358F"/>
    <w:rsid w:val="00034B93"/>
    <w:rsid w:val="00034E30"/>
    <w:rsid w:val="00035B4C"/>
    <w:rsid w:val="00036002"/>
    <w:rsid w:val="000360C8"/>
    <w:rsid w:val="000362CE"/>
    <w:rsid w:val="00037B47"/>
    <w:rsid w:val="000411DE"/>
    <w:rsid w:val="00041507"/>
    <w:rsid w:val="00041A80"/>
    <w:rsid w:val="00041D87"/>
    <w:rsid w:val="000421F9"/>
    <w:rsid w:val="00042390"/>
    <w:rsid w:val="000429E5"/>
    <w:rsid w:val="00043787"/>
    <w:rsid w:val="000440E1"/>
    <w:rsid w:val="0004453A"/>
    <w:rsid w:val="00044636"/>
    <w:rsid w:val="00044671"/>
    <w:rsid w:val="000456A5"/>
    <w:rsid w:val="00046862"/>
    <w:rsid w:val="00047971"/>
    <w:rsid w:val="00047E19"/>
    <w:rsid w:val="00050682"/>
    <w:rsid w:val="000511F0"/>
    <w:rsid w:val="00051FF1"/>
    <w:rsid w:val="0005204A"/>
    <w:rsid w:val="00052307"/>
    <w:rsid w:val="00052BBF"/>
    <w:rsid w:val="00052E9E"/>
    <w:rsid w:val="00053BED"/>
    <w:rsid w:val="00053D96"/>
    <w:rsid w:val="000540E0"/>
    <w:rsid w:val="0005435E"/>
    <w:rsid w:val="000547D0"/>
    <w:rsid w:val="00054F40"/>
    <w:rsid w:val="00055090"/>
    <w:rsid w:val="00055385"/>
    <w:rsid w:val="00055E3B"/>
    <w:rsid w:val="0005650A"/>
    <w:rsid w:val="00056678"/>
    <w:rsid w:val="000566FF"/>
    <w:rsid w:val="00056713"/>
    <w:rsid w:val="00056773"/>
    <w:rsid w:val="00056C55"/>
    <w:rsid w:val="00057569"/>
    <w:rsid w:val="0005774B"/>
    <w:rsid w:val="00057764"/>
    <w:rsid w:val="00057DFA"/>
    <w:rsid w:val="00060C0E"/>
    <w:rsid w:val="00060EF7"/>
    <w:rsid w:val="0006221C"/>
    <w:rsid w:val="00062B5E"/>
    <w:rsid w:val="00063417"/>
    <w:rsid w:val="0006388A"/>
    <w:rsid w:val="00063B75"/>
    <w:rsid w:val="00063C8F"/>
    <w:rsid w:val="00063FA2"/>
    <w:rsid w:val="000640D6"/>
    <w:rsid w:val="000642B1"/>
    <w:rsid w:val="0006465B"/>
    <w:rsid w:val="00064CD0"/>
    <w:rsid w:val="000655FD"/>
    <w:rsid w:val="00065944"/>
    <w:rsid w:val="0006655D"/>
    <w:rsid w:val="0006679B"/>
    <w:rsid w:val="00066B4B"/>
    <w:rsid w:val="00067746"/>
    <w:rsid w:val="000678A2"/>
    <w:rsid w:val="00067992"/>
    <w:rsid w:val="00067B19"/>
    <w:rsid w:val="00067FC0"/>
    <w:rsid w:val="000706EC"/>
    <w:rsid w:val="00070BDF"/>
    <w:rsid w:val="000711C7"/>
    <w:rsid w:val="0007135F"/>
    <w:rsid w:val="00071566"/>
    <w:rsid w:val="00072895"/>
    <w:rsid w:val="00072ED7"/>
    <w:rsid w:val="000733DD"/>
    <w:rsid w:val="000734DA"/>
    <w:rsid w:val="00073A8C"/>
    <w:rsid w:val="00073D66"/>
    <w:rsid w:val="00073E4A"/>
    <w:rsid w:val="00073EFE"/>
    <w:rsid w:val="00074A5A"/>
    <w:rsid w:val="00074C45"/>
    <w:rsid w:val="0007507E"/>
    <w:rsid w:val="000751D3"/>
    <w:rsid w:val="00075227"/>
    <w:rsid w:val="0007579A"/>
    <w:rsid w:val="00076FA3"/>
    <w:rsid w:val="00077176"/>
    <w:rsid w:val="0007717C"/>
    <w:rsid w:val="000772C9"/>
    <w:rsid w:val="00077E17"/>
    <w:rsid w:val="00077EEC"/>
    <w:rsid w:val="00077F07"/>
    <w:rsid w:val="000800B7"/>
    <w:rsid w:val="000800C2"/>
    <w:rsid w:val="000805FC"/>
    <w:rsid w:val="0008092E"/>
    <w:rsid w:val="000809C1"/>
    <w:rsid w:val="00081BC0"/>
    <w:rsid w:val="00081D2A"/>
    <w:rsid w:val="000826DA"/>
    <w:rsid w:val="00082C04"/>
    <w:rsid w:val="0008301F"/>
    <w:rsid w:val="00083C43"/>
    <w:rsid w:val="000844F6"/>
    <w:rsid w:val="0008472D"/>
    <w:rsid w:val="000849A3"/>
    <w:rsid w:val="00085ECD"/>
    <w:rsid w:val="00085F49"/>
    <w:rsid w:val="00086C7B"/>
    <w:rsid w:val="00087DE1"/>
    <w:rsid w:val="000900DA"/>
    <w:rsid w:val="000907D5"/>
    <w:rsid w:val="00090A71"/>
    <w:rsid w:val="00091200"/>
    <w:rsid w:val="00091514"/>
    <w:rsid w:val="00091722"/>
    <w:rsid w:val="0009194B"/>
    <w:rsid w:val="00091C02"/>
    <w:rsid w:val="00091EC9"/>
    <w:rsid w:val="00092260"/>
    <w:rsid w:val="00092C5D"/>
    <w:rsid w:val="00093404"/>
    <w:rsid w:val="00093E16"/>
    <w:rsid w:val="00094011"/>
    <w:rsid w:val="000941AA"/>
    <w:rsid w:val="00094210"/>
    <w:rsid w:val="00095665"/>
    <w:rsid w:val="000961DD"/>
    <w:rsid w:val="00096277"/>
    <w:rsid w:val="000968E5"/>
    <w:rsid w:val="00097926"/>
    <w:rsid w:val="00097D28"/>
    <w:rsid w:val="000A0CB7"/>
    <w:rsid w:val="000A1935"/>
    <w:rsid w:val="000A1F96"/>
    <w:rsid w:val="000A3443"/>
    <w:rsid w:val="000A3E10"/>
    <w:rsid w:val="000A5D78"/>
    <w:rsid w:val="000A69EC"/>
    <w:rsid w:val="000A6C22"/>
    <w:rsid w:val="000A6E36"/>
    <w:rsid w:val="000A7B2F"/>
    <w:rsid w:val="000A7EE3"/>
    <w:rsid w:val="000B0F12"/>
    <w:rsid w:val="000B14C3"/>
    <w:rsid w:val="000B17D3"/>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62C0"/>
    <w:rsid w:val="000B6519"/>
    <w:rsid w:val="000B6966"/>
    <w:rsid w:val="000B713F"/>
    <w:rsid w:val="000B7BB4"/>
    <w:rsid w:val="000C048A"/>
    <w:rsid w:val="000C050B"/>
    <w:rsid w:val="000C0B89"/>
    <w:rsid w:val="000C1076"/>
    <w:rsid w:val="000C17E7"/>
    <w:rsid w:val="000C1CC1"/>
    <w:rsid w:val="000C24CB"/>
    <w:rsid w:val="000C345A"/>
    <w:rsid w:val="000C3AF6"/>
    <w:rsid w:val="000C3D60"/>
    <w:rsid w:val="000C432A"/>
    <w:rsid w:val="000C4512"/>
    <w:rsid w:val="000C4F2F"/>
    <w:rsid w:val="000C539F"/>
    <w:rsid w:val="000C53E1"/>
    <w:rsid w:val="000C5B4A"/>
    <w:rsid w:val="000C5CB8"/>
    <w:rsid w:val="000C607F"/>
    <w:rsid w:val="000C63FA"/>
    <w:rsid w:val="000C64B9"/>
    <w:rsid w:val="000C75BA"/>
    <w:rsid w:val="000D0421"/>
    <w:rsid w:val="000D06CB"/>
    <w:rsid w:val="000D156F"/>
    <w:rsid w:val="000D396F"/>
    <w:rsid w:val="000D3A5D"/>
    <w:rsid w:val="000D3B86"/>
    <w:rsid w:val="000D3BDE"/>
    <w:rsid w:val="000D41AB"/>
    <w:rsid w:val="000D4748"/>
    <w:rsid w:val="000D482F"/>
    <w:rsid w:val="000D4E5E"/>
    <w:rsid w:val="000D4F52"/>
    <w:rsid w:val="000D516D"/>
    <w:rsid w:val="000D7163"/>
    <w:rsid w:val="000D72A8"/>
    <w:rsid w:val="000D76DB"/>
    <w:rsid w:val="000E0796"/>
    <w:rsid w:val="000E15ED"/>
    <w:rsid w:val="000E16C4"/>
    <w:rsid w:val="000E1A95"/>
    <w:rsid w:val="000E2433"/>
    <w:rsid w:val="000E284C"/>
    <w:rsid w:val="000E2CB4"/>
    <w:rsid w:val="000E328E"/>
    <w:rsid w:val="000E3332"/>
    <w:rsid w:val="000E36C6"/>
    <w:rsid w:val="000E3868"/>
    <w:rsid w:val="000E4414"/>
    <w:rsid w:val="000E49C5"/>
    <w:rsid w:val="000E4D41"/>
    <w:rsid w:val="000E5826"/>
    <w:rsid w:val="000E68B3"/>
    <w:rsid w:val="000E7504"/>
    <w:rsid w:val="000E79F2"/>
    <w:rsid w:val="000E7DF1"/>
    <w:rsid w:val="000F071B"/>
    <w:rsid w:val="000F0B3F"/>
    <w:rsid w:val="000F2CF0"/>
    <w:rsid w:val="000F32E2"/>
    <w:rsid w:val="000F32E5"/>
    <w:rsid w:val="000F3A8D"/>
    <w:rsid w:val="000F4612"/>
    <w:rsid w:val="000F4DC7"/>
    <w:rsid w:val="000F5AA1"/>
    <w:rsid w:val="000F6396"/>
    <w:rsid w:val="000F6F43"/>
    <w:rsid w:val="000F7143"/>
    <w:rsid w:val="000F74D7"/>
    <w:rsid w:val="000F78F0"/>
    <w:rsid w:val="0010047D"/>
    <w:rsid w:val="00100819"/>
    <w:rsid w:val="0010234C"/>
    <w:rsid w:val="00102DAE"/>
    <w:rsid w:val="00102E53"/>
    <w:rsid w:val="00103662"/>
    <w:rsid w:val="00103C6C"/>
    <w:rsid w:val="00103E3A"/>
    <w:rsid w:val="00104737"/>
    <w:rsid w:val="00104D3A"/>
    <w:rsid w:val="00105E78"/>
    <w:rsid w:val="00105EC0"/>
    <w:rsid w:val="00106464"/>
    <w:rsid w:val="001078FE"/>
    <w:rsid w:val="00107A4E"/>
    <w:rsid w:val="00107EB4"/>
    <w:rsid w:val="0011214F"/>
    <w:rsid w:val="0011438A"/>
    <w:rsid w:val="00114401"/>
    <w:rsid w:val="00114DE7"/>
    <w:rsid w:val="00114E20"/>
    <w:rsid w:val="0011532B"/>
    <w:rsid w:val="0011565E"/>
    <w:rsid w:val="00115AB7"/>
    <w:rsid w:val="00115B90"/>
    <w:rsid w:val="00116A04"/>
    <w:rsid w:val="00117C0A"/>
    <w:rsid w:val="0012020F"/>
    <w:rsid w:val="00120ECE"/>
    <w:rsid w:val="00120FA3"/>
    <w:rsid w:val="00121961"/>
    <w:rsid w:val="00121CDA"/>
    <w:rsid w:val="00122501"/>
    <w:rsid w:val="0012268A"/>
    <w:rsid w:val="0012309D"/>
    <w:rsid w:val="0012337D"/>
    <w:rsid w:val="00123AEE"/>
    <w:rsid w:val="00124AC0"/>
    <w:rsid w:val="00124F7A"/>
    <w:rsid w:val="00125C63"/>
    <w:rsid w:val="0012720A"/>
    <w:rsid w:val="001273F6"/>
    <w:rsid w:val="00127AFA"/>
    <w:rsid w:val="00127D11"/>
    <w:rsid w:val="00127E2C"/>
    <w:rsid w:val="00130013"/>
    <w:rsid w:val="00130496"/>
    <w:rsid w:val="00130897"/>
    <w:rsid w:val="001308E1"/>
    <w:rsid w:val="00130D19"/>
    <w:rsid w:val="00132357"/>
    <w:rsid w:val="00132573"/>
    <w:rsid w:val="001325EE"/>
    <w:rsid w:val="00132B1E"/>
    <w:rsid w:val="00132D4F"/>
    <w:rsid w:val="00132FB0"/>
    <w:rsid w:val="00133490"/>
    <w:rsid w:val="00133E6A"/>
    <w:rsid w:val="00134295"/>
    <w:rsid w:val="00135054"/>
    <w:rsid w:val="0013539A"/>
    <w:rsid w:val="001357C6"/>
    <w:rsid w:val="00135B58"/>
    <w:rsid w:val="00135E14"/>
    <w:rsid w:val="00135F7A"/>
    <w:rsid w:val="0013697C"/>
    <w:rsid w:val="001378DA"/>
    <w:rsid w:val="00141841"/>
    <w:rsid w:val="0014250C"/>
    <w:rsid w:val="001426F6"/>
    <w:rsid w:val="001427CF"/>
    <w:rsid w:val="001428A6"/>
    <w:rsid w:val="001432C5"/>
    <w:rsid w:val="00143313"/>
    <w:rsid w:val="0014357E"/>
    <w:rsid w:val="00143B4C"/>
    <w:rsid w:val="00143C28"/>
    <w:rsid w:val="00144EC2"/>
    <w:rsid w:val="0014577A"/>
    <w:rsid w:val="00145C8E"/>
    <w:rsid w:val="00146355"/>
    <w:rsid w:val="00146BD0"/>
    <w:rsid w:val="00147D1F"/>
    <w:rsid w:val="001509AD"/>
    <w:rsid w:val="0015139E"/>
    <w:rsid w:val="001514F3"/>
    <w:rsid w:val="00151579"/>
    <w:rsid w:val="001517F3"/>
    <w:rsid w:val="00151831"/>
    <w:rsid w:val="00151BC7"/>
    <w:rsid w:val="00152031"/>
    <w:rsid w:val="001520C2"/>
    <w:rsid w:val="001528C9"/>
    <w:rsid w:val="001529DB"/>
    <w:rsid w:val="00152A29"/>
    <w:rsid w:val="0015385D"/>
    <w:rsid w:val="0015479F"/>
    <w:rsid w:val="001549BD"/>
    <w:rsid w:val="00155370"/>
    <w:rsid w:val="0015601D"/>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BE0"/>
    <w:rsid w:val="00161BE1"/>
    <w:rsid w:val="00162075"/>
    <w:rsid w:val="001656AF"/>
    <w:rsid w:val="00165A12"/>
    <w:rsid w:val="00165CEE"/>
    <w:rsid w:val="00166B73"/>
    <w:rsid w:val="001672C7"/>
    <w:rsid w:val="001679AF"/>
    <w:rsid w:val="00167ACC"/>
    <w:rsid w:val="00167B28"/>
    <w:rsid w:val="00167D00"/>
    <w:rsid w:val="0017046A"/>
    <w:rsid w:val="001719AA"/>
    <w:rsid w:val="0017275A"/>
    <w:rsid w:val="00172D44"/>
    <w:rsid w:val="00172FF5"/>
    <w:rsid w:val="0017324A"/>
    <w:rsid w:val="00173597"/>
    <w:rsid w:val="00173F96"/>
    <w:rsid w:val="0017422D"/>
    <w:rsid w:val="00174630"/>
    <w:rsid w:val="0017481C"/>
    <w:rsid w:val="00174BA3"/>
    <w:rsid w:val="001751E8"/>
    <w:rsid w:val="0017557F"/>
    <w:rsid w:val="001762F8"/>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BEA"/>
    <w:rsid w:val="00184340"/>
    <w:rsid w:val="00184364"/>
    <w:rsid w:val="0018478D"/>
    <w:rsid w:val="001852FC"/>
    <w:rsid w:val="0018706A"/>
    <w:rsid w:val="00187B30"/>
    <w:rsid w:val="00187CA3"/>
    <w:rsid w:val="00190A84"/>
    <w:rsid w:val="00190C98"/>
    <w:rsid w:val="00190DE3"/>
    <w:rsid w:val="00191484"/>
    <w:rsid w:val="00191BB7"/>
    <w:rsid w:val="00192037"/>
    <w:rsid w:val="001921F0"/>
    <w:rsid w:val="00193474"/>
    <w:rsid w:val="001938CD"/>
    <w:rsid w:val="001939CB"/>
    <w:rsid w:val="001941AE"/>
    <w:rsid w:val="00194256"/>
    <w:rsid w:val="001955C9"/>
    <w:rsid w:val="001958DB"/>
    <w:rsid w:val="00195E90"/>
    <w:rsid w:val="00196720"/>
    <w:rsid w:val="00196815"/>
    <w:rsid w:val="0019692A"/>
    <w:rsid w:val="00196C8E"/>
    <w:rsid w:val="0019720E"/>
    <w:rsid w:val="001978F8"/>
    <w:rsid w:val="00197B20"/>
    <w:rsid w:val="001A01A7"/>
    <w:rsid w:val="001A0711"/>
    <w:rsid w:val="001A090D"/>
    <w:rsid w:val="001A0927"/>
    <w:rsid w:val="001A0DB1"/>
    <w:rsid w:val="001A1386"/>
    <w:rsid w:val="001A1E4A"/>
    <w:rsid w:val="001A209A"/>
    <w:rsid w:val="001A21B5"/>
    <w:rsid w:val="001A2D32"/>
    <w:rsid w:val="001A3700"/>
    <w:rsid w:val="001A3F49"/>
    <w:rsid w:val="001A4D26"/>
    <w:rsid w:val="001A50F4"/>
    <w:rsid w:val="001A57C4"/>
    <w:rsid w:val="001A588E"/>
    <w:rsid w:val="001A6721"/>
    <w:rsid w:val="001A67E3"/>
    <w:rsid w:val="001A6EA2"/>
    <w:rsid w:val="001A7122"/>
    <w:rsid w:val="001A7999"/>
    <w:rsid w:val="001A7B04"/>
    <w:rsid w:val="001B01C9"/>
    <w:rsid w:val="001B0442"/>
    <w:rsid w:val="001B06A1"/>
    <w:rsid w:val="001B06B2"/>
    <w:rsid w:val="001B0E29"/>
    <w:rsid w:val="001B0E4B"/>
    <w:rsid w:val="001B10A4"/>
    <w:rsid w:val="001B1100"/>
    <w:rsid w:val="001B1398"/>
    <w:rsid w:val="001B1466"/>
    <w:rsid w:val="001B1A2C"/>
    <w:rsid w:val="001B290E"/>
    <w:rsid w:val="001B2A8C"/>
    <w:rsid w:val="001B2A9F"/>
    <w:rsid w:val="001B2AB7"/>
    <w:rsid w:val="001B2F34"/>
    <w:rsid w:val="001B35EC"/>
    <w:rsid w:val="001B39B6"/>
    <w:rsid w:val="001B3D53"/>
    <w:rsid w:val="001B41B4"/>
    <w:rsid w:val="001B53AD"/>
    <w:rsid w:val="001B5B45"/>
    <w:rsid w:val="001B686E"/>
    <w:rsid w:val="001B6A24"/>
    <w:rsid w:val="001B78A4"/>
    <w:rsid w:val="001B7D9E"/>
    <w:rsid w:val="001B7E52"/>
    <w:rsid w:val="001C0999"/>
    <w:rsid w:val="001C1A86"/>
    <w:rsid w:val="001C20E8"/>
    <w:rsid w:val="001C2CCA"/>
    <w:rsid w:val="001C32BA"/>
    <w:rsid w:val="001C3681"/>
    <w:rsid w:val="001C47D1"/>
    <w:rsid w:val="001C495C"/>
    <w:rsid w:val="001C4A65"/>
    <w:rsid w:val="001C4C48"/>
    <w:rsid w:val="001C54E3"/>
    <w:rsid w:val="001C5618"/>
    <w:rsid w:val="001C5A4B"/>
    <w:rsid w:val="001C5E84"/>
    <w:rsid w:val="001C62FC"/>
    <w:rsid w:val="001C6507"/>
    <w:rsid w:val="001C7307"/>
    <w:rsid w:val="001D030C"/>
    <w:rsid w:val="001D05F9"/>
    <w:rsid w:val="001D0D45"/>
    <w:rsid w:val="001D1510"/>
    <w:rsid w:val="001D166F"/>
    <w:rsid w:val="001D1DD8"/>
    <w:rsid w:val="001D2C8E"/>
    <w:rsid w:val="001D30B9"/>
    <w:rsid w:val="001D36CE"/>
    <w:rsid w:val="001D47EE"/>
    <w:rsid w:val="001D4F48"/>
    <w:rsid w:val="001D4FD3"/>
    <w:rsid w:val="001D51E2"/>
    <w:rsid w:val="001D5436"/>
    <w:rsid w:val="001D56B2"/>
    <w:rsid w:val="001D5A57"/>
    <w:rsid w:val="001D5B8F"/>
    <w:rsid w:val="001D6EA3"/>
    <w:rsid w:val="001D74C9"/>
    <w:rsid w:val="001E11AC"/>
    <w:rsid w:val="001E1538"/>
    <w:rsid w:val="001E173F"/>
    <w:rsid w:val="001E1B54"/>
    <w:rsid w:val="001E1FCE"/>
    <w:rsid w:val="001E219E"/>
    <w:rsid w:val="001E254E"/>
    <w:rsid w:val="001E3B7B"/>
    <w:rsid w:val="001E51DC"/>
    <w:rsid w:val="001E587B"/>
    <w:rsid w:val="001E6134"/>
    <w:rsid w:val="001E6270"/>
    <w:rsid w:val="001E6569"/>
    <w:rsid w:val="001E6853"/>
    <w:rsid w:val="001E6AB7"/>
    <w:rsid w:val="001F07A7"/>
    <w:rsid w:val="001F090C"/>
    <w:rsid w:val="001F0D58"/>
    <w:rsid w:val="001F1ACE"/>
    <w:rsid w:val="001F28B2"/>
    <w:rsid w:val="001F2A82"/>
    <w:rsid w:val="001F32AF"/>
    <w:rsid w:val="001F3380"/>
    <w:rsid w:val="001F349C"/>
    <w:rsid w:val="001F3698"/>
    <w:rsid w:val="001F3820"/>
    <w:rsid w:val="001F3AEC"/>
    <w:rsid w:val="001F3F9C"/>
    <w:rsid w:val="001F5CA3"/>
    <w:rsid w:val="001F60CB"/>
    <w:rsid w:val="001F6785"/>
    <w:rsid w:val="001F67AA"/>
    <w:rsid w:val="001F6CA1"/>
    <w:rsid w:val="001F7E7E"/>
    <w:rsid w:val="00200078"/>
    <w:rsid w:val="00200301"/>
    <w:rsid w:val="00200B9D"/>
    <w:rsid w:val="00200D86"/>
    <w:rsid w:val="002011C7"/>
    <w:rsid w:val="00201385"/>
    <w:rsid w:val="00201E47"/>
    <w:rsid w:val="00202013"/>
    <w:rsid w:val="00202889"/>
    <w:rsid w:val="00202EE2"/>
    <w:rsid w:val="00203022"/>
    <w:rsid w:val="002030ED"/>
    <w:rsid w:val="00203C8A"/>
    <w:rsid w:val="00204247"/>
    <w:rsid w:val="00204579"/>
    <w:rsid w:val="00204632"/>
    <w:rsid w:val="00204846"/>
    <w:rsid w:val="00204BDF"/>
    <w:rsid w:val="002057E5"/>
    <w:rsid w:val="002059E4"/>
    <w:rsid w:val="00206B7F"/>
    <w:rsid w:val="00207127"/>
    <w:rsid w:val="00207997"/>
    <w:rsid w:val="00210246"/>
    <w:rsid w:val="00210668"/>
    <w:rsid w:val="00211A1A"/>
    <w:rsid w:val="0021216B"/>
    <w:rsid w:val="0021273A"/>
    <w:rsid w:val="00212799"/>
    <w:rsid w:val="00212843"/>
    <w:rsid w:val="002129A4"/>
    <w:rsid w:val="002129BD"/>
    <w:rsid w:val="00213784"/>
    <w:rsid w:val="002139B5"/>
    <w:rsid w:val="00213F50"/>
    <w:rsid w:val="002147BA"/>
    <w:rsid w:val="00214CCB"/>
    <w:rsid w:val="0021529E"/>
    <w:rsid w:val="002159CC"/>
    <w:rsid w:val="00216B1C"/>
    <w:rsid w:val="00216BED"/>
    <w:rsid w:val="00217794"/>
    <w:rsid w:val="002177B5"/>
    <w:rsid w:val="002178E9"/>
    <w:rsid w:val="00220B35"/>
    <w:rsid w:val="00221337"/>
    <w:rsid w:val="00221A70"/>
    <w:rsid w:val="002237E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30B7F"/>
    <w:rsid w:val="002312DE"/>
    <w:rsid w:val="002314DF"/>
    <w:rsid w:val="00231C3F"/>
    <w:rsid w:val="002320D8"/>
    <w:rsid w:val="00232639"/>
    <w:rsid w:val="002329A0"/>
    <w:rsid w:val="00232BAC"/>
    <w:rsid w:val="00232C48"/>
    <w:rsid w:val="00233115"/>
    <w:rsid w:val="00233455"/>
    <w:rsid w:val="00233F70"/>
    <w:rsid w:val="00234036"/>
    <w:rsid w:val="00234394"/>
    <w:rsid w:val="002349CD"/>
    <w:rsid w:val="00234E2F"/>
    <w:rsid w:val="00235487"/>
    <w:rsid w:val="00235A1D"/>
    <w:rsid w:val="00235EFC"/>
    <w:rsid w:val="00236293"/>
    <w:rsid w:val="00236D71"/>
    <w:rsid w:val="002374A5"/>
    <w:rsid w:val="00242530"/>
    <w:rsid w:val="00242C05"/>
    <w:rsid w:val="002436C1"/>
    <w:rsid w:val="00243954"/>
    <w:rsid w:val="00243F08"/>
    <w:rsid w:val="0024413A"/>
    <w:rsid w:val="00244D7E"/>
    <w:rsid w:val="00245189"/>
    <w:rsid w:val="00245406"/>
    <w:rsid w:val="002457C9"/>
    <w:rsid w:val="00245F8F"/>
    <w:rsid w:val="0024745A"/>
    <w:rsid w:val="00250508"/>
    <w:rsid w:val="002514E7"/>
    <w:rsid w:val="00251A5E"/>
    <w:rsid w:val="002525D6"/>
    <w:rsid w:val="00252930"/>
    <w:rsid w:val="0025371F"/>
    <w:rsid w:val="00254370"/>
    <w:rsid w:val="002548EA"/>
    <w:rsid w:val="00254ABD"/>
    <w:rsid w:val="00255224"/>
    <w:rsid w:val="00255661"/>
    <w:rsid w:val="00255730"/>
    <w:rsid w:val="002568A9"/>
    <w:rsid w:val="0025704F"/>
    <w:rsid w:val="0025709F"/>
    <w:rsid w:val="002573A0"/>
    <w:rsid w:val="00257F65"/>
    <w:rsid w:val="0026035B"/>
    <w:rsid w:val="00262328"/>
    <w:rsid w:val="00263934"/>
    <w:rsid w:val="00263B9F"/>
    <w:rsid w:val="00263ED6"/>
    <w:rsid w:val="0026423D"/>
    <w:rsid w:val="00264413"/>
    <w:rsid w:val="002646FA"/>
    <w:rsid w:val="002647C6"/>
    <w:rsid w:val="002656C8"/>
    <w:rsid w:val="00265B94"/>
    <w:rsid w:val="002663FB"/>
    <w:rsid w:val="002668F8"/>
    <w:rsid w:val="00266EE0"/>
    <w:rsid w:val="00270583"/>
    <w:rsid w:val="00271880"/>
    <w:rsid w:val="002718CF"/>
    <w:rsid w:val="00271E6F"/>
    <w:rsid w:val="002722A8"/>
    <w:rsid w:val="00272451"/>
    <w:rsid w:val="002746AA"/>
    <w:rsid w:val="002748F5"/>
    <w:rsid w:val="00274A37"/>
    <w:rsid w:val="002751F8"/>
    <w:rsid w:val="00275E70"/>
    <w:rsid w:val="002761A4"/>
    <w:rsid w:val="002764AE"/>
    <w:rsid w:val="002776DA"/>
    <w:rsid w:val="00277797"/>
    <w:rsid w:val="00277AAF"/>
    <w:rsid w:val="00277CB8"/>
    <w:rsid w:val="00280156"/>
    <w:rsid w:val="002805D8"/>
    <w:rsid w:val="00280718"/>
    <w:rsid w:val="002819C7"/>
    <w:rsid w:val="00281AD8"/>
    <w:rsid w:val="00281F49"/>
    <w:rsid w:val="00281F5E"/>
    <w:rsid w:val="002823CF"/>
    <w:rsid w:val="00282A65"/>
    <w:rsid w:val="00283B09"/>
    <w:rsid w:val="00283CB2"/>
    <w:rsid w:val="00285B05"/>
    <w:rsid w:val="00285B7B"/>
    <w:rsid w:val="002866D5"/>
    <w:rsid w:val="00286D59"/>
    <w:rsid w:val="00290CDD"/>
    <w:rsid w:val="00290EB3"/>
    <w:rsid w:val="002912FB"/>
    <w:rsid w:val="00291403"/>
    <w:rsid w:val="002914C6"/>
    <w:rsid w:val="0029161E"/>
    <w:rsid w:val="002925A9"/>
    <w:rsid w:val="0029308D"/>
    <w:rsid w:val="002930C9"/>
    <w:rsid w:val="0029318B"/>
    <w:rsid w:val="00293427"/>
    <w:rsid w:val="002935B5"/>
    <w:rsid w:val="00294DCB"/>
    <w:rsid w:val="00295100"/>
    <w:rsid w:val="00295EA7"/>
    <w:rsid w:val="0029650E"/>
    <w:rsid w:val="00296ACB"/>
    <w:rsid w:val="00296B46"/>
    <w:rsid w:val="002A0587"/>
    <w:rsid w:val="002A0902"/>
    <w:rsid w:val="002A0D78"/>
    <w:rsid w:val="002A0F48"/>
    <w:rsid w:val="002A14D9"/>
    <w:rsid w:val="002A15A0"/>
    <w:rsid w:val="002A20F7"/>
    <w:rsid w:val="002A2FC5"/>
    <w:rsid w:val="002A38C2"/>
    <w:rsid w:val="002A3992"/>
    <w:rsid w:val="002A4B76"/>
    <w:rsid w:val="002A4D57"/>
    <w:rsid w:val="002A50A1"/>
    <w:rsid w:val="002A539D"/>
    <w:rsid w:val="002A62C0"/>
    <w:rsid w:val="002A651F"/>
    <w:rsid w:val="002A696C"/>
    <w:rsid w:val="002A6C16"/>
    <w:rsid w:val="002A6D62"/>
    <w:rsid w:val="002A76FF"/>
    <w:rsid w:val="002B1EE8"/>
    <w:rsid w:val="002B24DF"/>
    <w:rsid w:val="002B24FB"/>
    <w:rsid w:val="002B2BFD"/>
    <w:rsid w:val="002B2D64"/>
    <w:rsid w:val="002B2F71"/>
    <w:rsid w:val="002B31CC"/>
    <w:rsid w:val="002B3D10"/>
    <w:rsid w:val="002B3E7D"/>
    <w:rsid w:val="002B4AFC"/>
    <w:rsid w:val="002B532A"/>
    <w:rsid w:val="002B599D"/>
    <w:rsid w:val="002B605B"/>
    <w:rsid w:val="002B6393"/>
    <w:rsid w:val="002B73A6"/>
    <w:rsid w:val="002B7715"/>
    <w:rsid w:val="002C0FFF"/>
    <w:rsid w:val="002C1047"/>
    <w:rsid w:val="002C116F"/>
    <w:rsid w:val="002C130C"/>
    <w:rsid w:val="002C1D16"/>
    <w:rsid w:val="002C26BF"/>
    <w:rsid w:val="002C31B8"/>
    <w:rsid w:val="002C40AC"/>
    <w:rsid w:val="002C48EF"/>
    <w:rsid w:val="002C4E8C"/>
    <w:rsid w:val="002C5282"/>
    <w:rsid w:val="002C5956"/>
    <w:rsid w:val="002C5C07"/>
    <w:rsid w:val="002C658F"/>
    <w:rsid w:val="002C6808"/>
    <w:rsid w:val="002D005C"/>
    <w:rsid w:val="002D0367"/>
    <w:rsid w:val="002D038B"/>
    <w:rsid w:val="002D055E"/>
    <w:rsid w:val="002D0AF7"/>
    <w:rsid w:val="002D0B4C"/>
    <w:rsid w:val="002D1650"/>
    <w:rsid w:val="002D2344"/>
    <w:rsid w:val="002D28E1"/>
    <w:rsid w:val="002D3085"/>
    <w:rsid w:val="002D3237"/>
    <w:rsid w:val="002D3343"/>
    <w:rsid w:val="002D35FE"/>
    <w:rsid w:val="002D39BE"/>
    <w:rsid w:val="002D3B4C"/>
    <w:rsid w:val="002D4188"/>
    <w:rsid w:val="002D453F"/>
    <w:rsid w:val="002D47E9"/>
    <w:rsid w:val="002D534B"/>
    <w:rsid w:val="002D5589"/>
    <w:rsid w:val="002D5842"/>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573"/>
    <w:rsid w:val="002E2B3C"/>
    <w:rsid w:val="002E2FC8"/>
    <w:rsid w:val="002E3343"/>
    <w:rsid w:val="002E3C2A"/>
    <w:rsid w:val="002E3E12"/>
    <w:rsid w:val="002E3E2D"/>
    <w:rsid w:val="002E465B"/>
    <w:rsid w:val="002E47F2"/>
    <w:rsid w:val="002E4BE8"/>
    <w:rsid w:val="002E65C3"/>
    <w:rsid w:val="002E68C7"/>
    <w:rsid w:val="002E6C9E"/>
    <w:rsid w:val="002F0C99"/>
    <w:rsid w:val="002F1116"/>
    <w:rsid w:val="002F1B28"/>
    <w:rsid w:val="002F2766"/>
    <w:rsid w:val="002F3531"/>
    <w:rsid w:val="002F3B30"/>
    <w:rsid w:val="002F3C6E"/>
    <w:rsid w:val="002F45BB"/>
    <w:rsid w:val="002F4C62"/>
    <w:rsid w:val="002F53C0"/>
    <w:rsid w:val="002F583C"/>
    <w:rsid w:val="002F586B"/>
    <w:rsid w:val="002F5BA4"/>
    <w:rsid w:val="002F67FD"/>
    <w:rsid w:val="002F6959"/>
    <w:rsid w:val="003000D4"/>
    <w:rsid w:val="0030068F"/>
    <w:rsid w:val="00301033"/>
    <w:rsid w:val="00301149"/>
    <w:rsid w:val="0030206B"/>
    <w:rsid w:val="003021DD"/>
    <w:rsid w:val="003022E4"/>
    <w:rsid w:val="00302697"/>
    <w:rsid w:val="003028C3"/>
    <w:rsid w:val="00302E4D"/>
    <w:rsid w:val="0030376D"/>
    <w:rsid w:val="00303AF2"/>
    <w:rsid w:val="003049FC"/>
    <w:rsid w:val="00304A33"/>
    <w:rsid w:val="00305046"/>
    <w:rsid w:val="003060D5"/>
    <w:rsid w:val="0030655B"/>
    <w:rsid w:val="00306BF6"/>
    <w:rsid w:val="00307CD4"/>
    <w:rsid w:val="00307D0C"/>
    <w:rsid w:val="00310498"/>
    <w:rsid w:val="00311776"/>
    <w:rsid w:val="00311E9F"/>
    <w:rsid w:val="00312049"/>
    <w:rsid w:val="00312761"/>
    <w:rsid w:val="00312D3D"/>
    <w:rsid w:val="00313466"/>
    <w:rsid w:val="00313F08"/>
    <w:rsid w:val="00314E03"/>
    <w:rsid w:val="003151E3"/>
    <w:rsid w:val="00315C52"/>
    <w:rsid w:val="00315CBF"/>
    <w:rsid w:val="00316374"/>
    <w:rsid w:val="00316AE7"/>
    <w:rsid w:val="00316FFE"/>
    <w:rsid w:val="00317E78"/>
    <w:rsid w:val="00317F3B"/>
    <w:rsid w:val="00320220"/>
    <w:rsid w:val="00320D1F"/>
    <w:rsid w:val="00320ED0"/>
    <w:rsid w:val="00320FFE"/>
    <w:rsid w:val="003211DB"/>
    <w:rsid w:val="0032386C"/>
    <w:rsid w:val="00323B88"/>
    <w:rsid w:val="00323DA8"/>
    <w:rsid w:val="003245D1"/>
    <w:rsid w:val="003249C0"/>
    <w:rsid w:val="00324CBA"/>
    <w:rsid w:val="003255C1"/>
    <w:rsid w:val="00327510"/>
    <w:rsid w:val="0032782A"/>
    <w:rsid w:val="00330352"/>
    <w:rsid w:val="0033065F"/>
    <w:rsid w:val="00330C6B"/>
    <w:rsid w:val="003319FE"/>
    <w:rsid w:val="00331F77"/>
    <w:rsid w:val="00332D29"/>
    <w:rsid w:val="0033350E"/>
    <w:rsid w:val="003337F4"/>
    <w:rsid w:val="003338B1"/>
    <w:rsid w:val="0033422F"/>
    <w:rsid w:val="00334DC0"/>
    <w:rsid w:val="003351B9"/>
    <w:rsid w:val="003359F0"/>
    <w:rsid w:val="00337362"/>
    <w:rsid w:val="00337EA9"/>
    <w:rsid w:val="00337ED2"/>
    <w:rsid w:val="0034000B"/>
    <w:rsid w:val="00340394"/>
    <w:rsid w:val="003405CF"/>
    <w:rsid w:val="003407E6"/>
    <w:rsid w:val="0034087F"/>
    <w:rsid w:val="00340CA8"/>
    <w:rsid w:val="00340D29"/>
    <w:rsid w:val="00340D3B"/>
    <w:rsid w:val="00340D6C"/>
    <w:rsid w:val="003422CD"/>
    <w:rsid w:val="00342607"/>
    <w:rsid w:val="00342F39"/>
    <w:rsid w:val="00345712"/>
    <w:rsid w:val="00346434"/>
    <w:rsid w:val="0034703B"/>
    <w:rsid w:val="00347536"/>
    <w:rsid w:val="00347F19"/>
    <w:rsid w:val="003503E7"/>
    <w:rsid w:val="003505FF"/>
    <w:rsid w:val="00351261"/>
    <w:rsid w:val="003512F4"/>
    <w:rsid w:val="00351D39"/>
    <w:rsid w:val="003528A3"/>
    <w:rsid w:val="00353048"/>
    <w:rsid w:val="00353386"/>
    <w:rsid w:val="003533D4"/>
    <w:rsid w:val="003539CB"/>
    <w:rsid w:val="0035448B"/>
    <w:rsid w:val="003544D0"/>
    <w:rsid w:val="00354BBA"/>
    <w:rsid w:val="00354C1F"/>
    <w:rsid w:val="00354E1A"/>
    <w:rsid w:val="00356C98"/>
    <w:rsid w:val="00356EB7"/>
    <w:rsid w:val="00357262"/>
    <w:rsid w:val="0035779E"/>
    <w:rsid w:val="00357F98"/>
    <w:rsid w:val="0036069B"/>
    <w:rsid w:val="00361053"/>
    <w:rsid w:val="003614F4"/>
    <w:rsid w:val="00361B37"/>
    <w:rsid w:val="00362083"/>
    <w:rsid w:val="00362A44"/>
    <w:rsid w:val="00362F00"/>
    <w:rsid w:val="00362F48"/>
    <w:rsid w:val="0036353E"/>
    <w:rsid w:val="003640E5"/>
    <w:rsid w:val="003642E1"/>
    <w:rsid w:val="003645DB"/>
    <w:rsid w:val="00364BDD"/>
    <w:rsid w:val="00364F5A"/>
    <w:rsid w:val="00365377"/>
    <w:rsid w:val="00365A24"/>
    <w:rsid w:val="00365F15"/>
    <w:rsid w:val="00366BCE"/>
    <w:rsid w:val="0037088D"/>
    <w:rsid w:val="003711F7"/>
    <w:rsid w:val="003721CD"/>
    <w:rsid w:val="00372550"/>
    <w:rsid w:val="00372B34"/>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AC0"/>
    <w:rsid w:val="00380DA4"/>
    <w:rsid w:val="00380F2C"/>
    <w:rsid w:val="00381FAE"/>
    <w:rsid w:val="003824D8"/>
    <w:rsid w:val="00382BB9"/>
    <w:rsid w:val="00383583"/>
    <w:rsid w:val="00383647"/>
    <w:rsid w:val="0038367F"/>
    <w:rsid w:val="0038379E"/>
    <w:rsid w:val="00383B43"/>
    <w:rsid w:val="00384AAF"/>
    <w:rsid w:val="003860BD"/>
    <w:rsid w:val="00387CB0"/>
    <w:rsid w:val="00390456"/>
    <w:rsid w:val="0039057B"/>
    <w:rsid w:val="00391B15"/>
    <w:rsid w:val="00391EA8"/>
    <w:rsid w:val="00393C8A"/>
    <w:rsid w:val="00393E1D"/>
    <w:rsid w:val="003947D4"/>
    <w:rsid w:val="00395FA6"/>
    <w:rsid w:val="003967A6"/>
    <w:rsid w:val="00396B04"/>
    <w:rsid w:val="00396FB2"/>
    <w:rsid w:val="003974E9"/>
    <w:rsid w:val="003A17B9"/>
    <w:rsid w:val="003A1ACF"/>
    <w:rsid w:val="003A22C7"/>
    <w:rsid w:val="003A42FD"/>
    <w:rsid w:val="003B00DD"/>
    <w:rsid w:val="003B014E"/>
    <w:rsid w:val="003B0A0E"/>
    <w:rsid w:val="003B0B8D"/>
    <w:rsid w:val="003B13C4"/>
    <w:rsid w:val="003B1EC7"/>
    <w:rsid w:val="003B26F6"/>
    <w:rsid w:val="003B2A41"/>
    <w:rsid w:val="003B3910"/>
    <w:rsid w:val="003B4A5C"/>
    <w:rsid w:val="003B5073"/>
    <w:rsid w:val="003B5CDD"/>
    <w:rsid w:val="003B764C"/>
    <w:rsid w:val="003B7A2E"/>
    <w:rsid w:val="003C0C00"/>
    <w:rsid w:val="003C0CE9"/>
    <w:rsid w:val="003C18B1"/>
    <w:rsid w:val="003C3B2C"/>
    <w:rsid w:val="003C52DF"/>
    <w:rsid w:val="003C5EEE"/>
    <w:rsid w:val="003C6D39"/>
    <w:rsid w:val="003C77EA"/>
    <w:rsid w:val="003C7AF5"/>
    <w:rsid w:val="003D0945"/>
    <w:rsid w:val="003D09A2"/>
    <w:rsid w:val="003D1706"/>
    <w:rsid w:val="003D1B49"/>
    <w:rsid w:val="003D35C3"/>
    <w:rsid w:val="003D3BBB"/>
    <w:rsid w:val="003D4E20"/>
    <w:rsid w:val="003D5316"/>
    <w:rsid w:val="003D612D"/>
    <w:rsid w:val="003D625A"/>
    <w:rsid w:val="003D632C"/>
    <w:rsid w:val="003D64A9"/>
    <w:rsid w:val="003D67B5"/>
    <w:rsid w:val="003D7171"/>
    <w:rsid w:val="003D786A"/>
    <w:rsid w:val="003D78FF"/>
    <w:rsid w:val="003E0E4E"/>
    <w:rsid w:val="003E11F8"/>
    <w:rsid w:val="003E19DA"/>
    <w:rsid w:val="003E2714"/>
    <w:rsid w:val="003E28BA"/>
    <w:rsid w:val="003E30B9"/>
    <w:rsid w:val="003E3358"/>
    <w:rsid w:val="003E519B"/>
    <w:rsid w:val="003E53E1"/>
    <w:rsid w:val="003E5951"/>
    <w:rsid w:val="003E615D"/>
    <w:rsid w:val="003E7698"/>
    <w:rsid w:val="003E7B95"/>
    <w:rsid w:val="003F10A4"/>
    <w:rsid w:val="003F32DA"/>
    <w:rsid w:val="003F3986"/>
    <w:rsid w:val="003F434D"/>
    <w:rsid w:val="003F4E97"/>
    <w:rsid w:val="003F55AF"/>
    <w:rsid w:val="003F5DED"/>
    <w:rsid w:val="003F622F"/>
    <w:rsid w:val="003F73AE"/>
    <w:rsid w:val="003F74FA"/>
    <w:rsid w:val="003F76BC"/>
    <w:rsid w:val="003F7B43"/>
    <w:rsid w:val="003F7C08"/>
    <w:rsid w:val="003F7C0C"/>
    <w:rsid w:val="003F7CEC"/>
    <w:rsid w:val="003F7F7C"/>
    <w:rsid w:val="00400012"/>
    <w:rsid w:val="00401712"/>
    <w:rsid w:val="004022C0"/>
    <w:rsid w:val="00402C5C"/>
    <w:rsid w:val="00404A43"/>
    <w:rsid w:val="00404B48"/>
    <w:rsid w:val="00404E80"/>
    <w:rsid w:val="00405542"/>
    <w:rsid w:val="004057B5"/>
    <w:rsid w:val="00406299"/>
    <w:rsid w:val="00406D37"/>
    <w:rsid w:val="00407161"/>
    <w:rsid w:val="00407516"/>
    <w:rsid w:val="00407B54"/>
    <w:rsid w:val="00410248"/>
    <w:rsid w:val="00410EDA"/>
    <w:rsid w:val="004112D0"/>
    <w:rsid w:val="00411C0C"/>
    <w:rsid w:val="0041218E"/>
    <w:rsid w:val="004122EC"/>
    <w:rsid w:val="00413D3D"/>
    <w:rsid w:val="00415AC3"/>
    <w:rsid w:val="00416080"/>
    <w:rsid w:val="00416576"/>
    <w:rsid w:val="00416B4B"/>
    <w:rsid w:val="004175E0"/>
    <w:rsid w:val="00420B7B"/>
    <w:rsid w:val="004219AB"/>
    <w:rsid w:val="00422F4A"/>
    <w:rsid w:val="004237BF"/>
    <w:rsid w:val="004244DD"/>
    <w:rsid w:val="0042508D"/>
    <w:rsid w:val="004259C7"/>
    <w:rsid w:val="004264D6"/>
    <w:rsid w:val="00426BFD"/>
    <w:rsid w:val="0042757E"/>
    <w:rsid w:val="00427643"/>
    <w:rsid w:val="00427875"/>
    <w:rsid w:val="00427DA5"/>
    <w:rsid w:val="00427E08"/>
    <w:rsid w:val="00427E5C"/>
    <w:rsid w:val="00431F38"/>
    <w:rsid w:val="00432C90"/>
    <w:rsid w:val="00432D5E"/>
    <w:rsid w:val="004331A8"/>
    <w:rsid w:val="00433496"/>
    <w:rsid w:val="00434236"/>
    <w:rsid w:val="004345C4"/>
    <w:rsid w:val="00434D0E"/>
    <w:rsid w:val="004354C4"/>
    <w:rsid w:val="004370EF"/>
    <w:rsid w:val="00440AA3"/>
    <w:rsid w:val="00441887"/>
    <w:rsid w:val="004418A2"/>
    <w:rsid w:val="00441BD1"/>
    <w:rsid w:val="004425D9"/>
    <w:rsid w:val="00443053"/>
    <w:rsid w:val="004432BE"/>
    <w:rsid w:val="00443515"/>
    <w:rsid w:val="00443EE9"/>
    <w:rsid w:val="004451F2"/>
    <w:rsid w:val="004459F4"/>
    <w:rsid w:val="00445BD1"/>
    <w:rsid w:val="00446663"/>
    <w:rsid w:val="00446A09"/>
    <w:rsid w:val="004477F2"/>
    <w:rsid w:val="00450AB7"/>
    <w:rsid w:val="00453D78"/>
    <w:rsid w:val="00455335"/>
    <w:rsid w:val="0045551F"/>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778A"/>
    <w:rsid w:val="00467DA1"/>
    <w:rsid w:val="004700E3"/>
    <w:rsid w:val="004708CA"/>
    <w:rsid w:val="004719AA"/>
    <w:rsid w:val="0047253D"/>
    <w:rsid w:val="004726F9"/>
    <w:rsid w:val="00472E8F"/>
    <w:rsid w:val="00472F8F"/>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750"/>
    <w:rsid w:val="004771CF"/>
    <w:rsid w:val="004774BC"/>
    <w:rsid w:val="0048182E"/>
    <w:rsid w:val="00481D38"/>
    <w:rsid w:val="0048340E"/>
    <w:rsid w:val="0048342F"/>
    <w:rsid w:val="00484089"/>
    <w:rsid w:val="00484D37"/>
    <w:rsid w:val="00485B78"/>
    <w:rsid w:val="00485C21"/>
    <w:rsid w:val="00485D64"/>
    <w:rsid w:val="00485E3E"/>
    <w:rsid w:val="00487219"/>
    <w:rsid w:val="00487480"/>
    <w:rsid w:val="00487BB0"/>
    <w:rsid w:val="00487D05"/>
    <w:rsid w:val="00490125"/>
    <w:rsid w:val="004904AA"/>
    <w:rsid w:val="004904D7"/>
    <w:rsid w:val="004905B7"/>
    <w:rsid w:val="00491583"/>
    <w:rsid w:val="00491D1F"/>
    <w:rsid w:val="00492D58"/>
    <w:rsid w:val="00493321"/>
    <w:rsid w:val="00493827"/>
    <w:rsid w:val="00493D85"/>
    <w:rsid w:val="00495530"/>
    <w:rsid w:val="00495CFD"/>
    <w:rsid w:val="00495F65"/>
    <w:rsid w:val="00496F95"/>
    <w:rsid w:val="00497D1D"/>
    <w:rsid w:val="004A027E"/>
    <w:rsid w:val="004A03A1"/>
    <w:rsid w:val="004A079B"/>
    <w:rsid w:val="004A0BD8"/>
    <w:rsid w:val="004A123A"/>
    <w:rsid w:val="004A12A5"/>
    <w:rsid w:val="004A2B7A"/>
    <w:rsid w:val="004A31BC"/>
    <w:rsid w:val="004A34B6"/>
    <w:rsid w:val="004A36EC"/>
    <w:rsid w:val="004A38A1"/>
    <w:rsid w:val="004A3E77"/>
    <w:rsid w:val="004A40C0"/>
    <w:rsid w:val="004A42DC"/>
    <w:rsid w:val="004A441C"/>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63BD"/>
    <w:rsid w:val="004B6FBC"/>
    <w:rsid w:val="004C06E5"/>
    <w:rsid w:val="004C0D34"/>
    <w:rsid w:val="004C0EDC"/>
    <w:rsid w:val="004C1217"/>
    <w:rsid w:val="004C132D"/>
    <w:rsid w:val="004C1CED"/>
    <w:rsid w:val="004C203B"/>
    <w:rsid w:val="004C2767"/>
    <w:rsid w:val="004C2DF1"/>
    <w:rsid w:val="004C56BA"/>
    <w:rsid w:val="004C5B5A"/>
    <w:rsid w:val="004C5CBD"/>
    <w:rsid w:val="004C691F"/>
    <w:rsid w:val="004C6F57"/>
    <w:rsid w:val="004C7102"/>
    <w:rsid w:val="004C73E7"/>
    <w:rsid w:val="004D0263"/>
    <w:rsid w:val="004D090D"/>
    <w:rsid w:val="004D107B"/>
    <w:rsid w:val="004D1A85"/>
    <w:rsid w:val="004D1F2F"/>
    <w:rsid w:val="004D25D1"/>
    <w:rsid w:val="004D2A95"/>
    <w:rsid w:val="004D3454"/>
    <w:rsid w:val="004D345F"/>
    <w:rsid w:val="004D3471"/>
    <w:rsid w:val="004D4331"/>
    <w:rsid w:val="004D4357"/>
    <w:rsid w:val="004D497A"/>
    <w:rsid w:val="004D54E6"/>
    <w:rsid w:val="004D588A"/>
    <w:rsid w:val="004D5944"/>
    <w:rsid w:val="004D691C"/>
    <w:rsid w:val="004E0CA1"/>
    <w:rsid w:val="004E0F6C"/>
    <w:rsid w:val="004E2A59"/>
    <w:rsid w:val="004E2AE9"/>
    <w:rsid w:val="004E315B"/>
    <w:rsid w:val="004E44DE"/>
    <w:rsid w:val="004E6514"/>
    <w:rsid w:val="004E71F8"/>
    <w:rsid w:val="004E7974"/>
    <w:rsid w:val="004E7AE2"/>
    <w:rsid w:val="004E7CEC"/>
    <w:rsid w:val="004F09DE"/>
    <w:rsid w:val="004F1401"/>
    <w:rsid w:val="004F158E"/>
    <w:rsid w:val="004F186E"/>
    <w:rsid w:val="004F3585"/>
    <w:rsid w:val="004F4875"/>
    <w:rsid w:val="004F4921"/>
    <w:rsid w:val="004F4FA8"/>
    <w:rsid w:val="004F5F84"/>
    <w:rsid w:val="004F64F8"/>
    <w:rsid w:val="004F6B6A"/>
    <w:rsid w:val="004F742A"/>
    <w:rsid w:val="004F75AE"/>
    <w:rsid w:val="005005ED"/>
    <w:rsid w:val="00500FE4"/>
    <w:rsid w:val="00501866"/>
    <w:rsid w:val="00501938"/>
    <w:rsid w:val="00501A38"/>
    <w:rsid w:val="00501C3C"/>
    <w:rsid w:val="00501EFC"/>
    <w:rsid w:val="00502B77"/>
    <w:rsid w:val="00503B00"/>
    <w:rsid w:val="00504340"/>
    <w:rsid w:val="00504463"/>
    <w:rsid w:val="00504486"/>
    <w:rsid w:val="0050465E"/>
    <w:rsid w:val="00505B57"/>
    <w:rsid w:val="00505F71"/>
    <w:rsid w:val="0050613C"/>
    <w:rsid w:val="00506756"/>
    <w:rsid w:val="00506FEE"/>
    <w:rsid w:val="0050700A"/>
    <w:rsid w:val="00507023"/>
    <w:rsid w:val="005075EC"/>
    <w:rsid w:val="00507B7C"/>
    <w:rsid w:val="005108C9"/>
    <w:rsid w:val="00510DA9"/>
    <w:rsid w:val="00510EB0"/>
    <w:rsid w:val="0051178F"/>
    <w:rsid w:val="005118A2"/>
    <w:rsid w:val="00511B46"/>
    <w:rsid w:val="005120CA"/>
    <w:rsid w:val="00512148"/>
    <w:rsid w:val="00512732"/>
    <w:rsid w:val="00512AC1"/>
    <w:rsid w:val="00512D44"/>
    <w:rsid w:val="00513225"/>
    <w:rsid w:val="00516AA0"/>
    <w:rsid w:val="00516CA3"/>
    <w:rsid w:val="00520A19"/>
    <w:rsid w:val="00520D70"/>
    <w:rsid w:val="0052120D"/>
    <w:rsid w:val="00522312"/>
    <w:rsid w:val="0052481B"/>
    <w:rsid w:val="00524923"/>
    <w:rsid w:val="00524E8F"/>
    <w:rsid w:val="00525484"/>
    <w:rsid w:val="005263CB"/>
    <w:rsid w:val="00526CE7"/>
    <w:rsid w:val="00527F4B"/>
    <w:rsid w:val="00530836"/>
    <w:rsid w:val="00530D0D"/>
    <w:rsid w:val="0053124F"/>
    <w:rsid w:val="005321AB"/>
    <w:rsid w:val="00534142"/>
    <w:rsid w:val="00534B73"/>
    <w:rsid w:val="00534F56"/>
    <w:rsid w:val="00535F7A"/>
    <w:rsid w:val="00536BD8"/>
    <w:rsid w:val="00536F1F"/>
    <w:rsid w:val="00537565"/>
    <w:rsid w:val="005378B3"/>
    <w:rsid w:val="00540BC3"/>
    <w:rsid w:val="00541A14"/>
    <w:rsid w:val="00541BA8"/>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1FE5"/>
    <w:rsid w:val="005532CA"/>
    <w:rsid w:val="0055372B"/>
    <w:rsid w:val="00553C8E"/>
    <w:rsid w:val="005542DC"/>
    <w:rsid w:val="00554BAC"/>
    <w:rsid w:val="00554BD4"/>
    <w:rsid w:val="00554D2C"/>
    <w:rsid w:val="0055584F"/>
    <w:rsid w:val="00555D2C"/>
    <w:rsid w:val="0055675D"/>
    <w:rsid w:val="005574D0"/>
    <w:rsid w:val="0055762C"/>
    <w:rsid w:val="00557644"/>
    <w:rsid w:val="00557DFE"/>
    <w:rsid w:val="00560645"/>
    <w:rsid w:val="00560FB6"/>
    <w:rsid w:val="0056156E"/>
    <w:rsid w:val="00561589"/>
    <w:rsid w:val="00562292"/>
    <w:rsid w:val="00562471"/>
    <w:rsid w:val="0056281C"/>
    <w:rsid w:val="00562867"/>
    <w:rsid w:val="00563A9C"/>
    <w:rsid w:val="00564316"/>
    <w:rsid w:val="00565DA4"/>
    <w:rsid w:val="00566B4E"/>
    <w:rsid w:val="00567F48"/>
    <w:rsid w:val="005700C0"/>
    <w:rsid w:val="00570117"/>
    <w:rsid w:val="00570D9F"/>
    <w:rsid w:val="0057127D"/>
    <w:rsid w:val="00571A0F"/>
    <w:rsid w:val="00571B4A"/>
    <w:rsid w:val="00572BB1"/>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7365"/>
    <w:rsid w:val="00580C62"/>
    <w:rsid w:val="005822A7"/>
    <w:rsid w:val="0058241D"/>
    <w:rsid w:val="00582540"/>
    <w:rsid w:val="00584267"/>
    <w:rsid w:val="0058464B"/>
    <w:rsid w:val="0058465C"/>
    <w:rsid w:val="00584C9B"/>
    <w:rsid w:val="00585901"/>
    <w:rsid w:val="00585C00"/>
    <w:rsid w:val="00585EDB"/>
    <w:rsid w:val="00586740"/>
    <w:rsid w:val="00586CE4"/>
    <w:rsid w:val="005904E5"/>
    <w:rsid w:val="00590D93"/>
    <w:rsid w:val="0059108B"/>
    <w:rsid w:val="0059112B"/>
    <w:rsid w:val="005911C0"/>
    <w:rsid w:val="005917AE"/>
    <w:rsid w:val="005917D7"/>
    <w:rsid w:val="005922D0"/>
    <w:rsid w:val="00592530"/>
    <w:rsid w:val="00592810"/>
    <w:rsid w:val="00592E6C"/>
    <w:rsid w:val="00592EF6"/>
    <w:rsid w:val="00593ADC"/>
    <w:rsid w:val="00595121"/>
    <w:rsid w:val="005957B7"/>
    <w:rsid w:val="005957E9"/>
    <w:rsid w:val="005963F0"/>
    <w:rsid w:val="00596959"/>
    <w:rsid w:val="00596960"/>
    <w:rsid w:val="00597A9B"/>
    <w:rsid w:val="00597F2A"/>
    <w:rsid w:val="00597F68"/>
    <w:rsid w:val="005A078A"/>
    <w:rsid w:val="005A0851"/>
    <w:rsid w:val="005A0DDD"/>
    <w:rsid w:val="005A10B9"/>
    <w:rsid w:val="005A19B0"/>
    <w:rsid w:val="005A1B86"/>
    <w:rsid w:val="005A1BF6"/>
    <w:rsid w:val="005A1DEF"/>
    <w:rsid w:val="005A22CA"/>
    <w:rsid w:val="005A2AE0"/>
    <w:rsid w:val="005A2CCA"/>
    <w:rsid w:val="005A33C8"/>
    <w:rsid w:val="005A3536"/>
    <w:rsid w:val="005A3D95"/>
    <w:rsid w:val="005A467D"/>
    <w:rsid w:val="005A4CFF"/>
    <w:rsid w:val="005A501C"/>
    <w:rsid w:val="005A61F1"/>
    <w:rsid w:val="005A6247"/>
    <w:rsid w:val="005A6352"/>
    <w:rsid w:val="005A71AF"/>
    <w:rsid w:val="005A75D3"/>
    <w:rsid w:val="005A7CD7"/>
    <w:rsid w:val="005B021C"/>
    <w:rsid w:val="005B03B6"/>
    <w:rsid w:val="005B05B9"/>
    <w:rsid w:val="005B0632"/>
    <w:rsid w:val="005B0BCF"/>
    <w:rsid w:val="005B0F5D"/>
    <w:rsid w:val="005B1FB3"/>
    <w:rsid w:val="005B23F2"/>
    <w:rsid w:val="005B27AB"/>
    <w:rsid w:val="005B2988"/>
    <w:rsid w:val="005B361B"/>
    <w:rsid w:val="005B3EBE"/>
    <w:rsid w:val="005B4AFD"/>
    <w:rsid w:val="005B4C88"/>
    <w:rsid w:val="005B4DB6"/>
    <w:rsid w:val="005B57F7"/>
    <w:rsid w:val="005B5911"/>
    <w:rsid w:val="005B678E"/>
    <w:rsid w:val="005B7069"/>
    <w:rsid w:val="005B7362"/>
    <w:rsid w:val="005B7A26"/>
    <w:rsid w:val="005C0049"/>
    <w:rsid w:val="005C02E3"/>
    <w:rsid w:val="005C0F28"/>
    <w:rsid w:val="005C0FD1"/>
    <w:rsid w:val="005C135E"/>
    <w:rsid w:val="005C17A7"/>
    <w:rsid w:val="005C1802"/>
    <w:rsid w:val="005C2CA5"/>
    <w:rsid w:val="005C3ACA"/>
    <w:rsid w:val="005C3D2B"/>
    <w:rsid w:val="005C589C"/>
    <w:rsid w:val="005C5920"/>
    <w:rsid w:val="005C5D98"/>
    <w:rsid w:val="005C5DF7"/>
    <w:rsid w:val="005C66FE"/>
    <w:rsid w:val="005C6DFD"/>
    <w:rsid w:val="005C773C"/>
    <w:rsid w:val="005D09C1"/>
    <w:rsid w:val="005D10A8"/>
    <w:rsid w:val="005D1428"/>
    <w:rsid w:val="005D1CD5"/>
    <w:rsid w:val="005D379D"/>
    <w:rsid w:val="005D3F1B"/>
    <w:rsid w:val="005D4CB3"/>
    <w:rsid w:val="005D4CBD"/>
    <w:rsid w:val="005D5381"/>
    <w:rsid w:val="005D5646"/>
    <w:rsid w:val="005D5BE7"/>
    <w:rsid w:val="005D621B"/>
    <w:rsid w:val="005D7083"/>
    <w:rsid w:val="005D7F9C"/>
    <w:rsid w:val="005E00B5"/>
    <w:rsid w:val="005E01EE"/>
    <w:rsid w:val="005E148A"/>
    <w:rsid w:val="005E244B"/>
    <w:rsid w:val="005E2B56"/>
    <w:rsid w:val="005E2B89"/>
    <w:rsid w:val="005E2FC9"/>
    <w:rsid w:val="005E3001"/>
    <w:rsid w:val="005E345F"/>
    <w:rsid w:val="005E4B37"/>
    <w:rsid w:val="005E4CC1"/>
    <w:rsid w:val="005E5470"/>
    <w:rsid w:val="005E5AE5"/>
    <w:rsid w:val="005E6B3F"/>
    <w:rsid w:val="005E6C77"/>
    <w:rsid w:val="005E76BF"/>
    <w:rsid w:val="005F0F7B"/>
    <w:rsid w:val="005F16CB"/>
    <w:rsid w:val="005F1827"/>
    <w:rsid w:val="005F19E8"/>
    <w:rsid w:val="005F23F0"/>
    <w:rsid w:val="005F2636"/>
    <w:rsid w:val="005F27CC"/>
    <w:rsid w:val="005F3D2B"/>
    <w:rsid w:val="005F4A0F"/>
    <w:rsid w:val="005F52A8"/>
    <w:rsid w:val="005F61E1"/>
    <w:rsid w:val="005F6799"/>
    <w:rsid w:val="005F6E19"/>
    <w:rsid w:val="005F76C5"/>
    <w:rsid w:val="005F7C9D"/>
    <w:rsid w:val="00600017"/>
    <w:rsid w:val="00600475"/>
    <w:rsid w:val="00600CBD"/>
    <w:rsid w:val="00600CC9"/>
    <w:rsid w:val="00600FBE"/>
    <w:rsid w:val="00602E2F"/>
    <w:rsid w:val="006032F0"/>
    <w:rsid w:val="00604F0B"/>
    <w:rsid w:val="00605FD1"/>
    <w:rsid w:val="00606304"/>
    <w:rsid w:val="006069B7"/>
    <w:rsid w:val="00606FF0"/>
    <w:rsid w:val="00607772"/>
    <w:rsid w:val="006078C3"/>
    <w:rsid w:val="0060796F"/>
    <w:rsid w:val="00610A3A"/>
    <w:rsid w:val="00610C63"/>
    <w:rsid w:val="0061230C"/>
    <w:rsid w:val="00612A9F"/>
    <w:rsid w:val="00612B20"/>
    <w:rsid w:val="00612D15"/>
    <w:rsid w:val="00612F4C"/>
    <w:rsid w:val="00613F2F"/>
    <w:rsid w:val="006140F3"/>
    <w:rsid w:val="006141AC"/>
    <w:rsid w:val="00614D3F"/>
    <w:rsid w:val="00614E4F"/>
    <w:rsid w:val="00614EF7"/>
    <w:rsid w:val="006159E7"/>
    <w:rsid w:val="00615B58"/>
    <w:rsid w:val="00615E49"/>
    <w:rsid w:val="00616541"/>
    <w:rsid w:val="0061682B"/>
    <w:rsid w:val="0061714F"/>
    <w:rsid w:val="006179AA"/>
    <w:rsid w:val="00617EDD"/>
    <w:rsid w:val="00620832"/>
    <w:rsid w:val="0062096C"/>
    <w:rsid w:val="00620A95"/>
    <w:rsid w:val="00620CE1"/>
    <w:rsid w:val="0062123B"/>
    <w:rsid w:val="006212E3"/>
    <w:rsid w:val="00622731"/>
    <w:rsid w:val="00622EF4"/>
    <w:rsid w:val="00623807"/>
    <w:rsid w:val="00623AFF"/>
    <w:rsid w:val="006244F8"/>
    <w:rsid w:val="006245F6"/>
    <w:rsid w:val="006247A3"/>
    <w:rsid w:val="00624A6F"/>
    <w:rsid w:val="00624F1B"/>
    <w:rsid w:val="00625D1F"/>
    <w:rsid w:val="00626036"/>
    <w:rsid w:val="006274E3"/>
    <w:rsid w:val="006275CC"/>
    <w:rsid w:val="00627D4F"/>
    <w:rsid w:val="00627F47"/>
    <w:rsid w:val="00631023"/>
    <w:rsid w:val="00631EBD"/>
    <w:rsid w:val="00632297"/>
    <w:rsid w:val="0063379E"/>
    <w:rsid w:val="00633B59"/>
    <w:rsid w:val="00633CE6"/>
    <w:rsid w:val="00633EE0"/>
    <w:rsid w:val="00635225"/>
    <w:rsid w:val="006354E0"/>
    <w:rsid w:val="00635A1C"/>
    <w:rsid w:val="00635F44"/>
    <w:rsid w:val="00636335"/>
    <w:rsid w:val="006365F2"/>
    <w:rsid w:val="0063677A"/>
    <w:rsid w:val="0063707D"/>
    <w:rsid w:val="00637105"/>
    <w:rsid w:val="006374E0"/>
    <w:rsid w:val="006375DC"/>
    <w:rsid w:val="00637858"/>
    <w:rsid w:val="00637A00"/>
    <w:rsid w:val="00640083"/>
    <w:rsid w:val="0064011F"/>
    <w:rsid w:val="006401A9"/>
    <w:rsid w:val="0064085D"/>
    <w:rsid w:val="00640D4F"/>
    <w:rsid w:val="00641D77"/>
    <w:rsid w:val="00642408"/>
    <w:rsid w:val="006426FD"/>
    <w:rsid w:val="00642D81"/>
    <w:rsid w:val="006435B8"/>
    <w:rsid w:val="006435F4"/>
    <w:rsid w:val="00643C57"/>
    <w:rsid w:val="00644078"/>
    <w:rsid w:val="00644E8E"/>
    <w:rsid w:val="0064562B"/>
    <w:rsid w:val="00645A85"/>
    <w:rsid w:val="00645CFA"/>
    <w:rsid w:val="00645D7A"/>
    <w:rsid w:val="006464A8"/>
    <w:rsid w:val="00646B4B"/>
    <w:rsid w:val="0064707D"/>
    <w:rsid w:val="00647454"/>
    <w:rsid w:val="00647459"/>
    <w:rsid w:val="006479A6"/>
    <w:rsid w:val="00647B36"/>
    <w:rsid w:val="00651723"/>
    <w:rsid w:val="00651F09"/>
    <w:rsid w:val="00651F59"/>
    <w:rsid w:val="00652F94"/>
    <w:rsid w:val="006532D5"/>
    <w:rsid w:val="0065352E"/>
    <w:rsid w:val="00654212"/>
    <w:rsid w:val="0065436D"/>
    <w:rsid w:val="006568B2"/>
    <w:rsid w:val="0065694D"/>
    <w:rsid w:val="00657666"/>
    <w:rsid w:val="006577EF"/>
    <w:rsid w:val="006611EA"/>
    <w:rsid w:val="00661727"/>
    <w:rsid w:val="0066220A"/>
    <w:rsid w:val="00662B32"/>
    <w:rsid w:val="00662E8D"/>
    <w:rsid w:val="00663BC6"/>
    <w:rsid w:val="00663F9E"/>
    <w:rsid w:val="006640D6"/>
    <w:rsid w:val="00664391"/>
    <w:rsid w:val="006644EE"/>
    <w:rsid w:val="00664602"/>
    <w:rsid w:val="00665DB6"/>
    <w:rsid w:val="00665E04"/>
    <w:rsid w:val="006669A0"/>
    <w:rsid w:val="00666E1C"/>
    <w:rsid w:val="00666EC7"/>
    <w:rsid w:val="00666ED7"/>
    <w:rsid w:val="006674A1"/>
    <w:rsid w:val="006674D7"/>
    <w:rsid w:val="00667AC2"/>
    <w:rsid w:val="00667BDB"/>
    <w:rsid w:val="00670572"/>
    <w:rsid w:val="0067096F"/>
    <w:rsid w:val="006712C6"/>
    <w:rsid w:val="006719B0"/>
    <w:rsid w:val="00671B61"/>
    <w:rsid w:val="00671B91"/>
    <w:rsid w:val="00672300"/>
    <w:rsid w:val="00672568"/>
    <w:rsid w:val="00672FF7"/>
    <w:rsid w:val="00673768"/>
    <w:rsid w:val="00674F0F"/>
    <w:rsid w:val="00675163"/>
    <w:rsid w:val="006768AB"/>
    <w:rsid w:val="0067792E"/>
    <w:rsid w:val="00677BF1"/>
    <w:rsid w:val="00677F22"/>
    <w:rsid w:val="00680316"/>
    <w:rsid w:val="006809E2"/>
    <w:rsid w:val="00680A1E"/>
    <w:rsid w:val="00680E74"/>
    <w:rsid w:val="00681088"/>
    <w:rsid w:val="006813D5"/>
    <w:rsid w:val="00681A44"/>
    <w:rsid w:val="00681AC8"/>
    <w:rsid w:val="00681BE5"/>
    <w:rsid w:val="00683F64"/>
    <w:rsid w:val="00683FC5"/>
    <w:rsid w:val="0068404D"/>
    <w:rsid w:val="00684190"/>
    <w:rsid w:val="00684676"/>
    <w:rsid w:val="00684A6A"/>
    <w:rsid w:val="006856FA"/>
    <w:rsid w:val="006864B9"/>
    <w:rsid w:val="00686B08"/>
    <w:rsid w:val="00687AF6"/>
    <w:rsid w:val="00690212"/>
    <w:rsid w:val="006909F9"/>
    <w:rsid w:val="00691240"/>
    <w:rsid w:val="006913B0"/>
    <w:rsid w:val="0069148C"/>
    <w:rsid w:val="00691653"/>
    <w:rsid w:val="00691A08"/>
    <w:rsid w:val="00692754"/>
    <w:rsid w:val="00692D8B"/>
    <w:rsid w:val="00693044"/>
    <w:rsid w:val="00693221"/>
    <w:rsid w:val="00693A87"/>
    <w:rsid w:val="00694896"/>
    <w:rsid w:val="00694D53"/>
    <w:rsid w:val="0069518D"/>
    <w:rsid w:val="00695347"/>
    <w:rsid w:val="00695452"/>
    <w:rsid w:val="00695537"/>
    <w:rsid w:val="00695FB3"/>
    <w:rsid w:val="00696013"/>
    <w:rsid w:val="006961EE"/>
    <w:rsid w:val="0069696B"/>
    <w:rsid w:val="00696A54"/>
    <w:rsid w:val="0069758A"/>
    <w:rsid w:val="006A050E"/>
    <w:rsid w:val="006A05C5"/>
    <w:rsid w:val="006A1554"/>
    <w:rsid w:val="006A1697"/>
    <w:rsid w:val="006A17B9"/>
    <w:rsid w:val="006A234D"/>
    <w:rsid w:val="006A35D7"/>
    <w:rsid w:val="006A4BB6"/>
    <w:rsid w:val="006A5E95"/>
    <w:rsid w:val="006A651F"/>
    <w:rsid w:val="006A67C7"/>
    <w:rsid w:val="006A76C8"/>
    <w:rsid w:val="006B006E"/>
    <w:rsid w:val="006B0127"/>
    <w:rsid w:val="006B0B87"/>
    <w:rsid w:val="006B100B"/>
    <w:rsid w:val="006B25F1"/>
    <w:rsid w:val="006B2946"/>
    <w:rsid w:val="006B39E1"/>
    <w:rsid w:val="006B4082"/>
    <w:rsid w:val="006B4114"/>
    <w:rsid w:val="006B5330"/>
    <w:rsid w:val="006B53DA"/>
    <w:rsid w:val="006B6B82"/>
    <w:rsid w:val="006B70AF"/>
    <w:rsid w:val="006C01B5"/>
    <w:rsid w:val="006C0897"/>
    <w:rsid w:val="006C251F"/>
    <w:rsid w:val="006C2795"/>
    <w:rsid w:val="006C3289"/>
    <w:rsid w:val="006C38BA"/>
    <w:rsid w:val="006C3A83"/>
    <w:rsid w:val="006C3ACD"/>
    <w:rsid w:val="006C3BD9"/>
    <w:rsid w:val="006C3F22"/>
    <w:rsid w:val="006C55A9"/>
    <w:rsid w:val="006C5BCB"/>
    <w:rsid w:val="006C5C55"/>
    <w:rsid w:val="006C5E92"/>
    <w:rsid w:val="006C6506"/>
    <w:rsid w:val="006C6D0B"/>
    <w:rsid w:val="006C7F04"/>
    <w:rsid w:val="006D0588"/>
    <w:rsid w:val="006D0A45"/>
    <w:rsid w:val="006D0C49"/>
    <w:rsid w:val="006D0EE0"/>
    <w:rsid w:val="006D0F2E"/>
    <w:rsid w:val="006D17B2"/>
    <w:rsid w:val="006D1C1D"/>
    <w:rsid w:val="006D2BF6"/>
    <w:rsid w:val="006D37AB"/>
    <w:rsid w:val="006D3CF1"/>
    <w:rsid w:val="006D4081"/>
    <w:rsid w:val="006D4858"/>
    <w:rsid w:val="006D496B"/>
    <w:rsid w:val="006D4B5E"/>
    <w:rsid w:val="006D58CB"/>
    <w:rsid w:val="006D73DC"/>
    <w:rsid w:val="006D768F"/>
    <w:rsid w:val="006D7881"/>
    <w:rsid w:val="006D7F21"/>
    <w:rsid w:val="006E00BD"/>
    <w:rsid w:val="006E04C0"/>
    <w:rsid w:val="006E09F4"/>
    <w:rsid w:val="006E200C"/>
    <w:rsid w:val="006E275E"/>
    <w:rsid w:val="006E33BD"/>
    <w:rsid w:val="006E3A22"/>
    <w:rsid w:val="006E3ECB"/>
    <w:rsid w:val="006E3FE0"/>
    <w:rsid w:val="006E45F1"/>
    <w:rsid w:val="006E4984"/>
    <w:rsid w:val="006E4AA4"/>
    <w:rsid w:val="006E4E10"/>
    <w:rsid w:val="006E5A04"/>
    <w:rsid w:val="006E60F3"/>
    <w:rsid w:val="006E6845"/>
    <w:rsid w:val="006E68BD"/>
    <w:rsid w:val="006E75C1"/>
    <w:rsid w:val="006E7DDA"/>
    <w:rsid w:val="006F07E0"/>
    <w:rsid w:val="006F0923"/>
    <w:rsid w:val="006F0EA5"/>
    <w:rsid w:val="006F0F65"/>
    <w:rsid w:val="006F15C2"/>
    <w:rsid w:val="006F1C75"/>
    <w:rsid w:val="006F2091"/>
    <w:rsid w:val="006F3DEE"/>
    <w:rsid w:val="006F43C5"/>
    <w:rsid w:val="006F462C"/>
    <w:rsid w:val="006F482D"/>
    <w:rsid w:val="0070020C"/>
    <w:rsid w:val="007004CD"/>
    <w:rsid w:val="00700AC5"/>
    <w:rsid w:val="00700D86"/>
    <w:rsid w:val="00701118"/>
    <w:rsid w:val="007016AD"/>
    <w:rsid w:val="00701EDA"/>
    <w:rsid w:val="00701FA6"/>
    <w:rsid w:val="0070252D"/>
    <w:rsid w:val="00702C60"/>
    <w:rsid w:val="00704085"/>
    <w:rsid w:val="007059C1"/>
    <w:rsid w:val="00705E60"/>
    <w:rsid w:val="00706286"/>
    <w:rsid w:val="00706604"/>
    <w:rsid w:val="007069B0"/>
    <w:rsid w:val="00706AC7"/>
    <w:rsid w:val="007079BE"/>
    <w:rsid w:val="00707EE3"/>
    <w:rsid w:val="00710AE7"/>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6FA5"/>
    <w:rsid w:val="00717710"/>
    <w:rsid w:val="00717D37"/>
    <w:rsid w:val="00720152"/>
    <w:rsid w:val="00720850"/>
    <w:rsid w:val="00720DBB"/>
    <w:rsid w:val="00721225"/>
    <w:rsid w:val="00721607"/>
    <w:rsid w:val="00721665"/>
    <w:rsid w:val="007219F1"/>
    <w:rsid w:val="00721ACA"/>
    <w:rsid w:val="00721F9A"/>
    <w:rsid w:val="00722ECC"/>
    <w:rsid w:val="00722F5C"/>
    <w:rsid w:val="00723022"/>
    <w:rsid w:val="0072325C"/>
    <w:rsid w:val="00723B08"/>
    <w:rsid w:val="00723D0A"/>
    <w:rsid w:val="00723E3E"/>
    <w:rsid w:val="00724881"/>
    <w:rsid w:val="00725246"/>
    <w:rsid w:val="00725BA7"/>
    <w:rsid w:val="0072664C"/>
    <w:rsid w:val="007270C7"/>
    <w:rsid w:val="0072722E"/>
    <w:rsid w:val="00727E18"/>
    <w:rsid w:val="0073034E"/>
    <w:rsid w:val="0073050A"/>
    <w:rsid w:val="007307E7"/>
    <w:rsid w:val="00730C13"/>
    <w:rsid w:val="00731E5C"/>
    <w:rsid w:val="00732A0F"/>
    <w:rsid w:val="00733434"/>
    <w:rsid w:val="007337EC"/>
    <w:rsid w:val="00733DE8"/>
    <w:rsid w:val="00734259"/>
    <w:rsid w:val="0073446D"/>
    <w:rsid w:val="00734B4A"/>
    <w:rsid w:val="00734DCD"/>
    <w:rsid w:val="00735584"/>
    <w:rsid w:val="00735746"/>
    <w:rsid w:val="00735C29"/>
    <w:rsid w:val="00735C75"/>
    <w:rsid w:val="00735E6F"/>
    <w:rsid w:val="00735FD0"/>
    <w:rsid w:val="00736298"/>
    <w:rsid w:val="0073698F"/>
    <w:rsid w:val="00736CAD"/>
    <w:rsid w:val="007402BB"/>
    <w:rsid w:val="007402E0"/>
    <w:rsid w:val="00741D65"/>
    <w:rsid w:val="00742FD6"/>
    <w:rsid w:val="00744263"/>
    <w:rsid w:val="00744A94"/>
    <w:rsid w:val="00744AB6"/>
    <w:rsid w:val="00744B8D"/>
    <w:rsid w:val="00745B59"/>
    <w:rsid w:val="007468B7"/>
    <w:rsid w:val="007469CA"/>
    <w:rsid w:val="00746DB5"/>
    <w:rsid w:val="00747940"/>
    <w:rsid w:val="00747C5F"/>
    <w:rsid w:val="00747F85"/>
    <w:rsid w:val="0075018F"/>
    <w:rsid w:val="00750D61"/>
    <w:rsid w:val="00750EE9"/>
    <w:rsid w:val="007510D8"/>
    <w:rsid w:val="007519A5"/>
    <w:rsid w:val="00751CF5"/>
    <w:rsid w:val="00752031"/>
    <w:rsid w:val="007521F9"/>
    <w:rsid w:val="007538B7"/>
    <w:rsid w:val="007540AB"/>
    <w:rsid w:val="00754B57"/>
    <w:rsid w:val="0075521A"/>
    <w:rsid w:val="007552F7"/>
    <w:rsid w:val="007554B9"/>
    <w:rsid w:val="00755DA0"/>
    <w:rsid w:val="00756AA4"/>
    <w:rsid w:val="00756BE5"/>
    <w:rsid w:val="007571F7"/>
    <w:rsid w:val="007600C0"/>
    <w:rsid w:val="007600D1"/>
    <w:rsid w:val="0076018A"/>
    <w:rsid w:val="00760234"/>
    <w:rsid w:val="007604FA"/>
    <w:rsid w:val="00760A3C"/>
    <w:rsid w:val="0076161B"/>
    <w:rsid w:val="00761C1D"/>
    <w:rsid w:val="00762110"/>
    <w:rsid w:val="007630AB"/>
    <w:rsid w:val="00763A36"/>
    <w:rsid w:val="00764C00"/>
    <w:rsid w:val="00764CDF"/>
    <w:rsid w:val="00765479"/>
    <w:rsid w:val="00765544"/>
    <w:rsid w:val="00766869"/>
    <w:rsid w:val="00766B62"/>
    <w:rsid w:val="00766F65"/>
    <w:rsid w:val="007673C2"/>
    <w:rsid w:val="00767A99"/>
    <w:rsid w:val="00770536"/>
    <w:rsid w:val="00770608"/>
    <w:rsid w:val="00771483"/>
    <w:rsid w:val="00772415"/>
    <w:rsid w:val="00773381"/>
    <w:rsid w:val="00773969"/>
    <w:rsid w:val="00773A77"/>
    <w:rsid w:val="00773CA1"/>
    <w:rsid w:val="0077473F"/>
    <w:rsid w:val="00775A22"/>
    <w:rsid w:val="00775E6D"/>
    <w:rsid w:val="007775A4"/>
    <w:rsid w:val="0077796E"/>
    <w:rsid w:val="00777CF5"/>
    <w:rsid w:val="00777E9C"/>
    <w:rsid w:val="00777EBC"/>
    <w:rsid w:val="00780933"/>
    <w:rsid w:val="00781C38"/>
    <w:rsid w:val="00781D0A"/>
    <w:rsid w:val="00781D8A"/>
    <w:rsid w:val="007837ED"/>
    <w:rsid w:val="00784253"/>
    <w:rsid w:val="007846FB"/>
    <w:rsid w:val="0078482B"/>
    <w:rsid w:val="0078589F"/>
    <w:rsid w:val="00785945"/>
    <w:rsid w:val="00787342"/>
    <w:rsid w:val="00787723"/>
    <w:rsid w:val="00790736"/>
    <w:rsid w:val="00791287"/>
    <w:rsid w:val="007918FE"/>
    <w:rsid w:val="00791EA3"/>
    <w:rsid w:val="007926D1"/>
    <w:rsid w:val="0079271D"/>
    <w:rsid w:val="00792721"/>
    <w:rsid w:val="00793222"/>
    <w:rsid w:val="0079376A"/>
    <w:rsid w:val="00793EE7"/>
    <w:rsid w:val="00794B4F"/>
    <w:rsid w:val="00795D07"/>
    <w:rsid w:val="00795FA0"/>
    <w:rsid w:val="007961FE"/>
    <w:rsid w:val="00796A00"/>
    <w:rsid w:val="00796F57"/>
    <w:rsid w:val="00796F71"/>
    <w:rsid w:val="00797A9C"/>
    <w:rsid w:val="007A00E3"/>
    <w:rsid w:val="007A3605"/>
    <w:rsid w:val="007A3DF3"/>
    <w:rsid w:val="007A4D7A"/>
    <w:rsid w:val="007A5089"/>
    <w:rsid w:val="007A5A0D"/>
    <w:rsid w:val="007A5B66"/>
    <w:rsid w:val="007A61A3"/>
    <w:rsid w:val="007A6208"/>
    <w:rsid w:val="007A6311"/>
    <w:rsid w:val="007A7B7C"/>
    <w:rsid w:val="007B10EA"/>
    <w:rsid w:val="007B135F"/>
    <w:rsid w:val="007B1A5A"/>
    <w:rsid w:val="007B2EC2"/>
    <w:rsid w:val="007B3041"/>
    <w:rsid w:val="007B3D91"/>
    <w:rsid w:val="007B6278"/>
    <w:rsid w:val="007B746F"/>
    <w:rsid w:val="007B74E7"/>
    <w:rsid w:val="007B765F"/>
    <w:rsid w:val="007B7809"/>
    <w:rsid w:val="007C061C"/>
    <w:rsid w:val="007C1424"/>
    <w:rsid w:val="007C1426"/>
    <w:rsid w:val="007C20BC"/>
    <w:rsid w:val="007C27CC"/>
    <w:rsid w:val="007C35DB"/>
    <w:rsid w:val="007C4D38"/>
    <w:rsid w:val="007C6532"/>
    <w:rsid w:val="007C6575"/>
    <w:rsid w:val="007C6739"/>
    <w:rsid w:val="007C6D11"/>
    <w:rsid w:val="007C79B6"/>
    <w:rsid w:val="007D0B4E"/>
    <w:rsid w:val="007D106C"/>
    <w:rsid w:val="007D2538"/>
    <w:rsid w:val="007D2F75"/>
    <w:rsid w:val="007D2F93"/>
    <w:rsid w:val="007D45BB"/>
    <w:rsid w:val="007D4C02"/>
    <w:rsid w:val="007D4F6B"/>
    <w:rsid w:val="007D67A9"/>
    <w:rsid w:val="007D6A96"/>
    <w:rsid w:val="007D6C96"/>
    <w:rsid w:val="007D76BC"/>
    <w:rsid w:val="007D7E23"/>
    <w:rsid w:val="007E029C"/>
    <w:rsid w:val="007E0325"/>
    <w:rsid w:val="007E038C"/>
    <w:rsid w:val="007E0EE2"/>
    <w:rsid w:val="007E1247"/>
    <w:rsid w:val="007E2F23"/>
    <w:rsid w:val="007E327F"/>
    <w:rsid w:val="007E3A3C"/>
    <w:rsid w:val="007E3BFB"/>
    <w:rsid w:val="007E3DF2"/>
    <w:rsid w:val="007E4375"/>
    <w:rsid w:val="007E48E0"/>
    <w:rsid w:val="007E5192"/>
    <w:rsid w:val="007E5B3B"/>
    <w:rsid w:val="007E5CE0"/>
    <w:rsid w:val="007E5DFA"/>
    <w:rsid w:val="007E66AF"/>
    <w:rsid w:val="007E699D"/>
    <w:rsid w:val="007E6D25"/>
    <w:rsid w:val="007E7707"/>
    <w:rsid w:val="007E788D"/>
    <w:rsid w:val="007E7C8D"/>
    <w:rsid w:val="007F0F57"/>
    <w:rsid w:val="007F1530"/>
    <w:rsid w:val="007F18B9"/>
    <w:rsid w:val="007F1913"/>
    <w:rsid w:val="007F24A3"/>
    <w:rsid w:val="007F2C1D"/>
    <w:rsid w:val="007F2C83"/>
    <w:rsid w:val="007F3149"/>
    <w:rsid w:val="007F3548"/>
    <w:rsid w:val="007F4045"/>
    <w:rsid w:val="007F490A"/>
    <w:rsid w:val="007F4C59"/>
    <w:rsid w:val="007F4C99"/>
    <w:rsid w:val="007F5BEE"/>
    <w:rsid w:val="007F5C2F"/>
    <w:rsid w:val="007F65F5"/>
    <w:rsid w:val="007F782D"/>
    <w:rsid w:val="00800517"/>
    <w:rsid w:val="0080132D"/>
    <w:rsid w:val="00801517"/>
    <w:rsid w:val="008019D1"/>
    <w:rsid w:val="00801ABF"/>
    <w:rsid w:val="00801C68"/>
    <w:rsid w:val="00802AAF"/>
    <w:rsid w:val="00802F60"/>
    <w:rsid w:val="008034C9"/>
    <w:rsid w:val="008038EE"/>
    <w:rsid w:val="00806ACB"/>
    <w:rsid w:val="008073D4"/>
    <w:rsid w:val="00807EB8"/>
    <w:rsid w:val="00811103"/>
    <w:rsid w:val="0081171D"/>
    <w:rsid w:val="00812260"/>
    <w:rsid w:val="00812D35"/>
    <w:rsid w:val="00813A0E"/>
    <w:rsid w:val="00813A9F"/>
    <w:rsid w:val="00814D14"/>
    <w:rsid w:val="00815169"/>
    <w:rsid w:val="0081644A"/>
    <w:rsid w:val="008165E6"/>
    <w:rsid w:val="00816B66"/>
    <w:rsid w:val="008173C5"/>
    <w:rsid w:val="00817917"/>
    <w:rsid w:val="00817FB5"/>
    <w:rsid w:val="00820222"/>
    <w:rsid w:val="00821193"/>
    <w:rsid w:val="0082255A"/>
    <w:rsid w:val="0082300C"/>
    <w:rsid w:val="00823148"/>
    <w:rsid w:val="008234AB"/>
    <w:rsid w:val="008236E9"/>
    <w:rsid w:val="00823FE3"/>
    <w:rsid w:val="0082529B"/>
    <w:rsid w:val="008258C7"/>
    <w:rsid w:val="008268E4"/>
    <w:rsid w:val="008309D8"/>
    <w:rsid w:val="00831738"/>
    <w:rsid w:val="008318C4"/>
    <w:rsid w:val="00831D91"/>
    <w:rsid w:val="00832FA7"/>
    <w:rsid w:val="0083389B"/>
    <w:rsid w:val="00834EC8"/>
    <w:rsid w:val="008350EE"/>
    <w:rsid w:val="008357A9"/>
    <w:rsid w:val="00837654"/>
    <w:rsid w:val="00837D23"/>
    <w:rsid w:val="00837DC5"/>
    <w:rsid w:val="00837EBF"/>
    <w:rsid w:val="008406EE"/>
    <w:rsid w:val="008413CF"/>
    <w:rsid w:val="0084176D"/>
    <w:rsid w:val="00842B9C"/>
    <w:rsid w:val="00843603"/>
    <w:rsid w:val="00844899"/>
    <w:rsid w:val="00844B12"/>
    <w:rsid w:val="00845610"/>
    <w:rsid w:val="00845FC5"/>
    <w:rsid w:val="00847260"/>
    <w:rsid w:val="0084740B"/>
    <w:rsid w:val="00847E0F"/>
    <w:rsid w:val="00847F80"/>
    <w:rsid w:val="00850ABB"/>
    <w:rsid w:val="00851C1E"/>
    <w:rsid w:val="00851DDA"/>
    <w:rsid w:val="00852C1A"/>
    <w:rsid w:val="0085449A"/>
    <w:rsid w:val="00855618"/>
    <w:rsid w:val="008558DE"/>
    <w:rsid w:val="00855C07"/>
    <w:rsid w:val="00856F84"/>
    <w:rsid w:val="008570AD"/>
    <w:rsid w:val="008575DD"/>
    <w:rsid w:val="00861A18"/>
    <w:rsid w:val="00862A49"/>
    <w:rsid w:val="00864AA0"/>
    <w:rsid w:val="00864CF4"/>
    <w:rsid w:val="00864FDB"/>
    <w:rsid w:val="00865458"/>
    <w:rsid w:val="00865C96"/>
    <w:rsid w:val="00866484"/>
    <w:rsid w:val="008666C4"/>
    <w:rsid w:val="00866708"/>
    <w:rsid w:val="00867237"/>
    <w:rsid w:val="0086746F"/>
    <w:rsid w:val="00870409"/>
    <w:rsid w:val="00870552"/>
    <w:rsid w:val="0087157A"/>
    <w:rsid w:val="00871874"/>
    <w:rsid w:val="00871F28"/>
    <w:rsid w:val="0087218F"/>
    <w:rsid w:val="00873AD3"/>
    <w:rsid w:val="00873B74"/>
    <w:rsid w:val="00873BD1"/>
    <w:rsid w:val="00875092"/>
    <w:rsid w:val="00875578"/>
    <w:rsid w:val="008769F9"/>
    <w:rsid w:val="00876D60"/>
    <w:rsid w:val="008770BD"/>
    <w:rsid w:val="0087711A"/>
    <w:rsid w:val="0087713A"/>
    <w:rsid w:val="0087748D"/>
    <w:rsid w:val="008779DA"/>
    <w:rsid w:val="00877CE8"/>
    <w:rsid w:val="00880590"/>
    <w:rsid w:val="008813D1"/>
    <w:rsid w:val="00882AB8"/>
    <w:rsid w:val="00883526"/>
    <w:rsid w:val="00883F5C"/>
    <w:rsid w:val="00884507"/>
    <w:rsid w:val="00884A7B"/>
    <w:rsid w:val="00884D9C"/>
    <w:rsid w:val="0088554F"/>
    <w:rsid w:val="00885C1E"/>
    <w:rsid w:val="00886229"/>
    <w:rsid w:val="008869F3"/>
    <w:rsid w:val="0088704C"/>
    <w:rsid w:val="008870FE"/>
    <w:rsid w:val="0088723A"/>
    <w:rsid w:val="00890602"/>
    <w:rsid w:val="00891264"/>
    <w:rsid w:val="0089163F"/>
    <w:rsid w:val="00891658"/>
    <w:rsid w:val="00891823"/>
    <w:rsid w:val="00891B39"/>
    <w:rsid w:val="0089225B"/>
    <w:rsid w:val="008924E1"/>
    <w:rsid w:val="008925CD"/>
    <w:rsid w:val="00892719"/>
    <w:rsid w:val="0089278F"/>
    <w:rsid w:val="00892A7A"/>
    <w:rsid w:val="008933AC"/>
    <w:rsid w:val="008937D2"/>
    <w:rsid w:val="00893CA5"/>
    <w:rsid w:val="00893E42"/>
    <w:rsid w:val="00893EC2"/>
    <w:rsid w:val="0089473B"/>
    <w:rsid w:val="0089481B"/>
    <w:rsid w:val="00894F0C"/>
    <w:rsid w:val="008956AF"/>
    <w:rsid w:val="0089670A"/>
    <w:rsid w:val="00896BFD"/>
    <w:rsid w:val="00896E46"/>
    <w:rsid w:val="008973AB"/>
    <w:rsid w:val="00897520"/>
    <w:rsid w:val="008A0086"/>
    <w:rsid w:val="008A00CD"/>
    <w:rsid w:val="008A03E9"/>
    <w:rsid w:val="008A059F"/>
    <w:rsid w:val="008A087A"/>
    <w:rsid w:val="008A088F"/>
    <w:rsid w:val="008A0A66"/>
    <w:rsid w:val="008A1134"/>
    <w:rsid w:val="008A1780"/>
    <w:rsid w:val="008A1A1E"/>
    <w:rsid w:val="008A1AD1"/>
    <w:rsid w:val="008A2D6E"/>
    <w:rsid w:val="008A3526"/>
    <w:rsid w:val="008A42F6"/>
    <w:rsid w:val="008A48E5"/>
    <w:rsid w:val="008A5554"/>
    <w:rsid w:val="008A55D6"/>
    <w:rsid w:val="008A5A2D"/>
    <w:rsid w:val="008A5BE6"/>
    <w:rsid w:val="008A648E"/>
    <w:rsid w:val="008A686E"/>
    <w:rsid w:val="008A6D32"/>
    <w:rsid w:val="008A7323"/>
    <w:rsid w:val="008A782C"/>
    <w:rsid w:val="008B08C8"/>
    <w:rsid w:val="008B1915"/>
    <w:rsid w:val="008B27FB"/>
    <w:rsid w:val="008B28FD"/>
    <w:rsid w:val="008B300D"/>
    <w:rsid w:val="008B307D"/>
    <w:rsid w:val="008B3D0A"/>
    <w:rsid w:val="008B4658"/>
    <w:rsid w:val="008B4DAC"/>
    <w:rsid w:val="008B5475"/>
    <w:rsid w:val="008B58FD"/>
    <w:rsid w:val="008B60CC"/>
    <w:rsid w:val="008B61D2"/>
    <w:rsid w:val="008B6CB4"/>
    <w:rsid w:val="008B74AF"/>
    <w:rsid w:val="008B7889"/>
    <w:rsid w:val="008B7B31"/>
    <w:rsid w:val="008B7F5E"/>
    <w:rsid w:val="008C0BCD"/>
    <w:rsid w:val="008C12E8"/>
    <w:rsid w:val="008C1401"/>
    <w:rsid w:val="008C15A6"/>
    <w:rsid w:val="008C20A9"/>
    <w:rsid w:val="008C28F2"/>
    <w:rsid w:val="008C3517"/>
    <w:rsid w:val="008C3633"/>
    <w:rsid w:val="008C37D0"/>
    <w:rsid w:val="008C403D"/>
    <w:rsid w:val="008C4C96"/>
    <w:rsid w:val="008C567E"/>
    <w:rsid w:val="008C572D"/>
    <w:rsid w:val="008C5B13"/>
    <w:rsid w:val="008C5CD0"/>
    <w:rsid w:val="008C5EAC"/>
    <w:rsid w:val="008C643C"/>
    <w:rsid w:val="008C65C0"/>
    <w:rsid w:val="008C72CD"/>
    <w:rsid w:val="008C779D"/>
    <w:rsid w:val="008D062F"/>
    <w:rsid w:val="008D09B1"/>
    <w:rsid w:val="008D28D5"/>
    <w:rsid w:val="008D3558"/>
    <w:rsid w:val="008D368D"/>
    <w:rsid w:val="008D3D03"/>
    <w:rsid w:val="008D59D4"/>
    <w:rsid w:val="008D7321"/>
    <w:rsid w:val="008E0204"/>
    <w:rsid w:val="008E1104"/>
    <w:rsid w:val="008E19EC"/>
    <w:rsid w:val="008E205A"/>
    <w:rsid w:val="008E20DD"/>
    <w:rsid w:val="008E24A9"/>
    <w:rsid w:val="008E2C63"/>
    <w:rsid w:val="008E2D5E"/>
    <w:rsid w:val="008E2FB9"/>
    <w:rsid w:val="008E3047"/>
    <w:rsid w:val="008E36C9"/>
    <w:rsid w:val="008E3FA0"/>
    <w:rsid w:val="008E44A9"/>
    <w:rsid w:val="008E46AB"/>
    <w:rsid w:val="008E4993"/>
    <w:rsid w:val="008E4F70"/>
    <w:rsid w:val="008E624A"/>
    <w:rsid w:val="008E6689"/>
    <w:rsid w:val="008E775E"/>
    <w:rsid w:val="008E7BAA"/>
    <w:rsid w:val="008F0188"/>
    <w:rsid w:val="008F02FF"/>
    <w:rsid w:val="008F0C24"/>
    <w:rsid w:val="008F10BB"/>
    <w:rsid w:val="008F10DC"/>
    <w:rsid w:val="008F189A"/>
    <w:rsid w:val="008F4538"/>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73"/>
    <w:rsid w:val="00901CED"/>
    <w:rsid w:val="0090207E"/>
    <w:rsid w:val="00902F55"/>
    <w:rsid w:val="009032A0"/>
    <w:rsid w:val="009037EE"/>
    <w:rsid w:val="00903CFD"/>
    <w:rsid w:val="0090408A"/>
    <w:rsid w:val="00904120"/>
    <w:rsid w:val="009058D9"/>
    <w:rsid w:val="00905978"/>
    <w:rsid w:val="009060A4"/>
    <w:rsid w:val="00906160"/>
    <w:rsid w:val="00907222"/>
    <w:rsid w:val="0090740A"/>
    <w:rsid w:val="00907BDD"/>
    <w:rsid w:val="009103ED"/>
    <w:rsid w:val="00911298"/>
    <w:rsid w:val="00911BCB"/>
    <w:rsid w:val="00912691"/>
    <w:rsid w:val="00912F71"/>
    <w:rsid w:val="00913254"/>
    <w:rsid w:val="00913441"/>
    <w:rsid w:val="00914395"/>
    <w:rsid w:val="00914820"/>
    <w:rsid w:val="0091548C"/>
    <w:rsid w:val="00915749"/>
    <w:rsid w:val="00915AD4"/>
    <w:rsid w:val="00916AA2"/>
    <w:rsid w:val="00916BB1"/>
    <w:rsid w:val="00916F7D"/>
    <w:rsid w:val="00920248"/>
    <w:rsid w:val="00920CE3"/>
    <w:rsid w:val="00921383"/>
    <w:rsid w:val="009218C4"/>
    <w:rsid w:val="00921E9A"/>
    <w:rsid w:val="00922198"/>
    <w:rsid w:val="00922973"/>
    <w:rsid w:val="00923138"/>
    <w:rsid w:val="009237C3"/>
    <w:rsid w:val="00924FB5"/>
    <w:rsid w:val="00925812"/>
    <w:rsid w:val="0092588B"/>
    <w:rsid w:val="00926640"/>
    <w:rsid w:val="00927869"/>
    <w:rsid w:val="00927D1D"/>
    <w:rsid w:val="00930589"/>
    <w:rsid w:val="0093075B"/>
    <w:rsid w:val="00930BA6"/>
    <w:rsid w:val="00930F8C"/>
    <w:rsid w:val="009311BD"/>
    <w:rsid w:val="00931581"/>
    <w:rsid w:val="00931D0F"/>
    <w:rsid w:val="00931E26"/>
    <w:rsid w:val="00932526"/>
    <w:rsid w:val="0093290A"/>
    <w:rsid w:val="009329E2"/>
    <w:rsid w:val="00932DF5"/>
    <w:rsid w:val="00933832"/>
    <w:rsid w:val="00933C8E"/>
    <w:rsid w:val="0093417D"/>
    <w:rsid w:val="00934191"/>
    <w:rsid w:val="00934730"/>
    <w:rsid w:val="00935536"/>
    <w:rsid w:val="00935852"/>
    <w:rsid w:val="00936552"/>
    <w:rsid w:val="00936919"/>
    <w:rsid w:val="00936DEA"/>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13DA"/>
    <w:rsid w:val="00951BD9"/>
    <w:rsid w:val="00952315"/>
    <w:rsid w:val="00952949"/>
    <w:rsid w:val="00952BA2"/>
    <w:rsid w:val="00952BCC"/>
    <w:rsid w:val="00952CD3"/>
    <w:rsid w:val="00953FE5"/>
    <w:rsid w:val="009542C8"/>
    <w:rsid w:val="00954395"/>
    <w:rsid w:val="0095459E"/>
    <w:rsid w:val="00954F0E"/>
    <w:rsid w:val="009553E4"/>
    <w:rsid w:val="00955BBA"/>
    <w:rsid w:val="0095619F"/>
    <w:rsid w:val="0095694C"/>
    <w:rsid w:val="0095698F"/>
    <w:rsid w:val="00957370"/>
    <w:rsid w:val="00957574"/>
    <w:rsid w:val="00960869"/>
    <w:rsid w:val="0096094E"/>
    <w:rsid w:val="00960F10"/>
    <w:rsid w:val="009614D8"/>
    <w:rsid w:val="00961548"/>
    <w:rsid w:val="00961BAD"/>
    <w:rsid w:val="009623F1"/>
    <w:rsid w:val="0096256A"/>
    <w:rsid w:val="00962597"/>
    <w:rsid w:val="00962622"/>
    <w:rsid w:val="00962AFC"/>
    <w:rsid w:val="0096398D"/>
    <w:rsid w:val="00963FD0"/>
    <w:rsid w:val="009646C5"/>
    <w:rsid w:val="00965095"/>
    <w:rsid w:val="00965D66"/>
    <w:rsid w:val="009662BD"/>
    <w:rsid w:val="009662C5"/>
    <w:rsid w:val="00967602"/>
    <w:rsid w:val="0096794A"/>
    <w:rsid w:val="00967A8E"/>
    <w:rsid w:val="009700A3"/>
    <w:rsid w:val="00971A00"/>
    <w:rsid w:val="00971A1C"/>
    <w:rsid w:val="00971D00"/>
    <w:rsid w:val="00973550"/>
    <w:rsid w:val="00973D5F"/>
    <w:rsid w:val="00974108"/>
    <w:rsid w:val="00974130"/>
    <w:rsid w:val="00974871"/>
    <w:rsid w:val="00974A56"/>
    <w:rsid w:val="00974A92"/>
    <w:rsid w:val="00974DF1"/>
    <w:rsid w:val="009750BB"/>
    <w:rsid w:val="009750F6"/>
    <w:rsid w:val="00975526"/>
    <w:rsid w:val="009809EC"/>
    <w:rsid w:val="00980A63"/>
    <w:rsid w:val="00980D0B"/>
    <w:rsid w:val="00981077"/>
    <w:rsid w:val="00982BE8"/>
    <w:rsid w:val="00982DEB"/>
    <w:rsid w:val="00983246"/>
    <w:rsid w:val="00983B02"/>
    <w:rsid w:val="00983C1C"/>
    <w:rsid w:val="00983F69"/>
    <w:rsid w:val="009850F7"/>
    <w:rsid w:val="00987127"/>
    <w:rsid w:val="00987142"/>
    <w:rsid w:val="00987804"/>
    <w:rsid w:val="00987A06"/>
    <w:rsid w:val="00987C11"/>
    <w:rsid w:val="00990AEF"/>
    <w:rsid w:val="009915A4"/>
    <w:rsid w:val="00992D6D"/>
    <w:rsid w:val="00993F52"/>
    <w:rsid w:val="0099475E"/>
    <w:rsid w:val="009950A5"/>
    <w:rsid w:val="00995DB2"/>
    <w:rsid w:val="0099619E"/>
    <w:rsid w:val="00996B98"/>
    <w:rsid w:val="00996D2F"/>
    <w:rsid w:val="0099754F"/>
    <w:rsid w:val="009A0431"/>
    <w:rsid w:val="009A0AEE"/>
    <w:rsid w:val="009A13E5"/>
    <w:rsid w:val="009A17C9"/>
    <w:rsid w:val="009A211D"/>
    <w:rsid w:val="009A21BF"/>
    <w:rsid w:val="009A33F7"/>
    <w:rsid w:val="009A3547"/>
    <w:rsid w:val="009A35EC"/>
    <w:rsid w:val="009A3648"/>
    <w:rsid w:val="009A36AE"/>
    <w:rsid w:val="009A3A58"/>
    <w:rsid w:val="009A3D59"/>
    <w:rsid w:val="009A3DF4"/>
    <w:rsid w:val="009A43B9"/>
    <w:rsid w:val="009A5B6A"/>
    <w:rsid w:val="009A5CE7"/>
    <w:rsid w:val="009A6008"/>
    <w:rsid w:val="009A65D2"/>
    <w:rsid w:val="009A66FC"/>
    <w:rsid w:val="009A683E"/>
    <w:rsid w:val="009A796F"/>
    <w:rsid w:val="009A7A31"/>
    <w:rsid w:val="009A7AA9"/>
    <w:rsid w:val="009B232A"/>
    <w:rsid w:val="009B38BE"/>
    <w:rsid w:val="009B41C8"/>
    <w:rsid w:val="009B4D9D"/>
    <w:rsid w:val="009B6216"/>
    <w:rsid w:val="009B68C5"/>
    <w:rsid w:val="009B6E08"/>
    <w:rsid w:val="009B6EE4"/>
    <w:rsid w:val="009B70A4"/>
    <w:rsid w:val="009B7201"/>
    <w:rsid w:val="009B75A6"/>
    <w:rsid w:val="009B792C"/>
    <w:rsid w:val="009B7ECE"/>
    <w:rsid w:val="009B7EFB"/>
    <w:rsid w:val="009C0824"/>
    <w:rsid w:val="009C0C7F"/>
    <w:rsid w:val="009C1663"/>
    <w:rsid w:val="009C230C"/>
    <w:rsid w:val="009C30FC"/>
    <w:rsid w:val="009C431A"/>
    <w:rsid w:val="009C4342"/>
    <w:rsid w:val="009C4756"/>
    <w:rsid w:val="009C47EE"/>
    <w:rsid w:val="009C580C"/>
    <w:rsid w:val="009C58AD"/>
    <w:rsid w:val="009C6173"/>
    <w:rsid w:val="009C690C"/>
    <w:rsid w:val="009C6CE5"/>
    <w:rsid w:val="009D136F"/>
    <w:rsid w:val="009D1D4A"/>
    <w:rsid w:val="009D2295"/>
    <w:rsid w:val="009D2531"/>
    <w:rsid w:val="009D2BA6"/>
    <w:rsid w:val="009D3034"/>
    <w:rsid w:val="009D3BC6"/>
    <w:rsid w:val="009D4717"/>
    <w:rsid w:val="009D4C97"/>
    <w:rsid w:val="009D545E"/>
    <w:rsid w:val="009D548C"/>
    <w:rsid w:val="009D5570"/>
    <w:rsid w:val="009D5766"/>
    <w:rsid w:val="009D5795"/>
    <w:rsid w:val="009D605F"/>
    <w:rsid w:val="009D6E7C"/>
    <w:rsid w:val="009D718F"/>
    <w:rsid w:val="009D7718"/>
    <w:rsid w:val="009E069B"/>
    <w:rsid w:val="009E20BA"/>
    <w:rsid w:val="009E21BA"/>
    <w:rsid w:val="009E2A6C"/>
    <w:rsid w:val="009E2DF8"/>
    <w:rsid w:val="009E34CC"/>
    <w:rsid w:val="009E3912"/>
    <w:rsid w:val="009E41E6"/>
    <w:rsid w:val="009E48F7"/>
    <w:rsid w:val="009E4B68"/>
    <w:rsid w:val="009E50A7"/>
    <w:rsid w:val="009E50FD"/>
    <w:rsid w:val="009E5309"/>
    <w:rsid w:val="009E64F5"/>
    <w:rsid w:val="009E6A0F"/>
    <w:rsid w:val="009E6EA1"/>
    <w:rsid w:val="009E7416"/>
    <w:rsid w:val="009E7B75"/>
    <w:rsid w:val="009E7EAD"/>
    <w:rsid w:val="009F03EB"/>
    <w:rsid w:val="009F087C"/>
    <w:rsid w:val="009F08F6"/>
    <w:rsid w:val="009F0A23"/>
    <w:rsid w:val="009F1065"/>
    <w:rsid w:val="009F11E2"/>
    <w:rsid w:val="009F1E46"/>
    <w:rsid w:val="009F277F"/>
    <w:rsid w:val="009F2D5C"/>
    <w:rsid w:val="009F304B"/>
    <w:rsid w:val="009F471A"/>
    <w:rsid w:val="009F47E1"/>
    <w:rsid w:val="009F4B68"/>
    <w:rsid w:val="009F502C"/>
    <w:rsid w:val="009F630B"/>
    <w:rsid w:val="009F6475"/>
    <w:rsid w:val="009F64C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973"/>
    <w:rsid w:val="00A06B7F"/>
    <w:rsid w:val="00A10A78"/>
    <w:rsid w:val="00A11BF7"/>
    <w:rsid w:val="00A11DA6"/>
    <w:rsid w:val="00A12FE9"/>
    <w:rsid w:val="00A13604"/>
    <w:rsid w:val="00A138D4"/>
    <w:rsid w:val="00A141FF"/>
    <w:rsid w:val="00A1470A"/>
    <w:rsid w:val="00A15EF0"/>
    <w:rsid w:val="00A16335"/>
    <w:rsid w:val="00A166AF"/>
    <w:rsid w:val="00A16B34"/>
    <w:rsid w:val="00A17BCA"/>
    <w:rsid w:val="00A17CFC"/>
    <w:rsid w:val="00A210EB"/>
    <w:rsid w:val="00A214A8"/>
    <w:rsid w:val="00A21944"/>
    <w:rsid w:val="00A21C00"/>
    <w:rsid w:val="00A21CC2"/>
    <w:rsid w:val="00A22AED"/>
    <w:rsid w:val="00A22D11"/>
    <w:rsid w:val="00A22EBC"/>
    <w:rsid w:val="00A2495F"/>
    <w:rsid w:val="00A24D6F"/>
    <w:rsid w:val="00A24E35"/>
    <w:rsid w:val="00A24EC5"/>
    <w:rsid w:val="00A258D8"/>
    <w:rsid w:val="00A25A3A"/>
    <w:rsid w:val="00A25A47"/>
    <w:rsid w:val="00A25D3E"/>
    <w:rsid w:val="00A25E3F"/>
    <w:rsid w:val="00A26400"/>
    <w:rsid w:val="00A27DB1"/>
    <w:rsid w:val="00A27FA4"/>
    <w:rsid w:val="00A3001A"/>
    <w:rsid w:val="00A30C59"/>
    <w:rsid w:val="00A310DE"/>
    <w:rsid w:val="00A3178D"/>
    <w:rsid w:val="00A31997"/>
    <w:rsid w:val="00A328FB"/>
    <w:rsid w:val="00A338E9"/>
    <w:rsid w:val="00A342AF"/>
    <w:rsid w:val="00A34A47"/>
    <w:rsid w:val="00A34DFF"/>
    <w:rsid w:val="00A361C6"/>
    <w:rsid w:val="00A375B9"/>
    <w:rsid w:val="00A37EC2"/>
    <w:rsid w:val="00A40591"/>
    <w:rsid w:val="00A41076"/>
    <w:rsid w:val="00A4127C"/>
    <w:rsid w:val="00A423BD"/>
    <w:rsid w:val="00A425C6"/>
    <w:rsid w:val="00A42686"/>
    <w:rsid w:val="00A43212"/>
    <w:rsid w:val="00A43D0F"/>
    <w:rsid w:val="00A45130"/>
    <w:rsid w:val="00A45174"/>
    <w:rsid w:val="00A45215"/>
    <w:rsid w:val="00A45D56"/>
    <w:rsid w:val="00A4679A"/>
    <w:rsid w:val="00A46F4A"/>
    <w:rsid w:val="00A470C1"/>
    <w:rsid w:val="00A47D66"/>
    <w:rsid w:val="00A5008C"/>
    <w:rsid w:val="00A50175"/>
    <w:rsid w:val="00A50AA9"/>
    <w:rsid w:val="00A5127E"/>
    <w:rsid w:val="00A517E8"/>
    <w:rsid w:val="00A525BC"/>
    <w:rsid w:val="00A525C0"/>
    <w:rsid w:val="00A52E03"/>
    <w:rsid w:val="00A53885"/>
    <w:rsid w:val="00A54588"/>
    <w:rsid w:val="00A54ABE"/>
    <w:rsid w:val="00A556ED"/>
    <w:rsid w:val="00A55EF5"/>
    <w:rsid w:val="00A55F10"/>
    <w:rsid w:val="00A56311"/>
    <w:rsid w:val="00A56A21"/>
    <w:rsid w:val="00A56CF1"/>
    <w:rsid w:val="00A5701B"/>
    <w:rsid w:val="00A57478"/>
    <w:rsid w:val="00A57B7A"/>
    <w:rsid w:val="00A57DF2"/>
    <w:rsid w:val="00A61246"/>
    <w:rsid w:val="00A612C4"/>
    <w:rsid w:val="00A61428"/>
    <w:rsid w:val="00A61629"/>
    <w:rsid w:val="00A61CC0"/>
    <w:rsid w:val="00A62D94"/>
    <w:rsid w:val="00A63C1C"/>
    <w:rsid w:val="00A63ECD"/>
    <w:rsid w:val="00A64A3D"/>
    <w:rsid w:val="00A64E17"/>
    <w:rsid w:val="00A659E6"/>
    <w:rsid w:val="00A65DFE"/>
    <w:rsid w:val="00A661E9"/>
    <w:rsid w:val="00A66397"/>
    <w:rsid w:val="00A663A7"/>
    <w:rsid w:val="00A66A34"/>
    <w:rsid w:val="00A66DBE"/>
    <w:rsid w:val="00A670D8"/>
    <w:rsid w:val="00A70248"/>
    <w:rsid w:val="00A70852"/>
    <w:rsid w:val="00A71760"/>
    <w:rsid w:val="00A7231A"/>
    <w:rsid w:val="00A72570"/>
    <w:rsid w:val="00A72803"/>
    <w:rsid w:val="00A738A0"/>
    <w:rsid w:val="00A73C83"/>
    <w:rsid w:val="00A745D5"/>
    <w:rsid w:val="00A74688"/>
    <w:rsid w:val="00A763B9"/>
    <w:rsid w:val="00A7786D"/>
    <w:rsid w:val="00A80834"/>
    <w:rsid w:val="00A80C82"/>
    <w:rsid w:val="00A80C93"/>
    <w:rsid w:val="00A80D6D"/>
    <w:rsid w:val="00A81002"/>
    <w:rsid w:val="00A82BD7"/>
    <w:rsid w:val="00A8323C"/>
    <w:rsid w:val="00A83537"/>
    <w:rsid w:val="00A83585"/>
    <w:rsid w:val="00A8365F"/>
    <w:rsid w:val="00A83E09"/>
    <w:rsid w:val="00A84E8A"/>
    <w:rsid w:val="00A852B8"/>
    <w:rsid w:val="00A85462"/>
    <w:rsid w:val="00A85991"/>
    <w:rsid w:val="00A87660"/>
    <w:rsid w:val="00A87BA4"/>
    <w:rsid w:val="00A90160"/>
    <w:rsid w:val="00A90A55"/>
    <w:rsid w:val="00A9108A"/>
    <w:rsid w:val="00A91BD5"/>
    <w:rsid w:val="00A926FC"/>
    <w:rsid w:val="00A93021"/>
    <w:rsid w:val="00A935FC"/>
    <w:rsid w:val="00A944E6"/>
    <w:rsid w:val="00A94E3D"/>
    <w:rsid w:val="00A95900"/>
    <w:rsid w:val="00A96103"/>
    <w:rsid w:val="00A96271"/>
    <w:rsid w:val="00A972FB"/>
    <w:rsid w:val="00AA0436"/>
    <w:rsid w:val="00AA0D91"/>
    <w:rsid w:val="00AA1021"/>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7B6"/>
    <w:rsid w:val="00AA6945"/>
    <w:rsid w:val="00AA711C"/>
    <w:rsid w:val="00AA75AF"/>
    <w:rsid w:val="00AA7A7A"/>
    <w:rsid w:val="00AA7FBD"/>
    <w:rsid w:val="00AB003A"/>
    <w:rsid w:val="00AB0D6C"/>
    <w:rsid w:val="00AB0E56"/>
    <w:rsid w:val="00AB1174"/>
    <w:rsid w:val="00AB1258"/>
    <w:rsid w:val="00AB1371"/>
    <w:rsid w:val="00AB3083"/>
    <w:rsid w:val="00AB30B3"/>
    <w:rsid w:val="00AB3648"/>
    <w:rsid w:val="00AB4C2C"/>
    <w:rsid w:val="00AB4F61"/>
    <w:rsid w:val="00AB5649"/>
    <w:rsid w:val="00AB6447"/>
    <w:rsid w:val="00AB6B4C"/>
    <w:rsid w:val="00AB6FA3"/>
    <w:rsid w:val="00AC0012"/>
    <w:rsid w:val="00AC049E"/>
    <w:rsid w:val="00AC0F1D"/>
    <w:rsid w:val="00AC14A3"/>
    <w:rsid w:val="00AC14C2"/>
    <w:rsid w:val="00AC19C8"/>
    <w:rsid w:val="00AC259B"/>
    <w:rsid w:val="00AC28AE"/>
    <w:rsid w:val="00AC2B7A"/>
    <w:rsid w:val="00AC2F65"/>
    <w:rsid w:val="00AC3879"/>
    <w:rsid w:val="00AC436C"/>
    <w:rsid w:val="00AC5A64"/>
    <w:rsid w:val="00AC5BFD"/>
    <w:rsid w:val="00AC600F"/>
    <w:rsid w:val="00AC60B4"/>
    <w:rsid w:val="00AC65F9"/>
    <w:rsid w:val="00AC67BC"/>
    <w:rsid w:val="00AC7828"/>
    <w:rsid w:val="00AC7BDB"/>
    <w:rsid w:val="00AD02F7"/>
    <w:rsid w:val="00AD070C"/>
    <w:rsid w:val="00AD130E"/>
    <w:rsid w:val="00AD1335"/>
    <w:rsid w:val="00AD1467"/>
    <w:rsid w:val="00AD16AC"/>
    <w:rsid w:val="00AD183C"/>
    <w:rsid w:val="00AD1C91"/>
    <w:rsid w:val="00AD1E75"/>
    <w:rsid w:val="00AD1F5B"/>
    <w:rsid w:val="00AD2769"/>
    <w:rsid w:val="00AD35D7"/>
    <w:rsid w:val="00AD4A66"/>
    <w:rsid w:val="00AD4F72"/>
    <w:rsid w:val="00AD6D67"/>
    <w:rsid w:val="00AD742F"/>
    <w:rsid w:val="00AD74E4"/>
    <w:rsid w:val="00AD7D3F"/>
    <w:rsid w:val="00AE0212"/>
    <w:rsid w:val="00AE0710"/>
    <w:rsid w:val="00AE1B78"/>
    <w:rsid w:val="00AE1CC4"/>
    <w:rsid w:val="00AE1E0A"/>
    <w:rsid w:val="00AE2C0C"/>
    <w:rsid w:val="00AE36DD"/>
    <w:rsid w:val="00AE3704"/>
    <w:rsid w:val="00AE41B3"/>
    <w:rsid w:val="00AE4283"/>
    <w:rsid w:val="00AE4596"/>
    <w:rsid w:val="00AE45F2"/>
    <w:rsid w:val="00AE4BEC"/>
    <w:rsid w:val="00AE5944"/>
    <w:rsid w:val="00AE6CCE"/>
    <w:rsid w:val="00AE7800"/>
    <w:rsid w:val="00AE788F"/>
    <w:rsid w:val="00AE7A07"/>
    <w:rsid w:val="00AF003B"/>
    <w:rsid w:val="00AF0138"/>
    <w:rsid w:val="00AF0704"/>
    <w:rsid w:val="00AF0C2F"/>
    <w:rsid w:val="00AF0ED6"/>
    <w:rsid w:val="00AF1228"/>
    <w:rsid w:val="00AF135E"/>
    <w:rsid w:val="00AF1905"/>
    <w:rsid w:val="00AF292B"/>
    <w:rsid w:val="00AF2BB4"/>
    <w:rsid w:val="00AF4183"/>
    <w:rsid w:val="00AF4AA6"/>
    <w:rsid w:val="00AF4DCB"/>
    <w:rsid w:val="00AF4F7F"/>
    <w:rsid w:val="00AF7182"/>
    <w:rsid w:val="00AF780F"/>
    <w:rsid w:val="00AF7B46"/>
    <w:rsid w:val="00B01102"/>
    <w:rsid w:val="00B01599"/>
    <w:rsid w:val="00B0233B"/>
    <w:rsid w:val="00B025C8"/>
    <w:rsid w:val="00B025FC"/>
    <w:rsid w:val="00B0272A"/>
    <w:rsid w:val="00B05A41"/>
    <w:rsid w:val="00B05F53"/>
    <w:rsid w:val="00B07372"/>
    <w:rsid w:val="00B0792E"/>
    <w:rsid w:val="00B10496"/>
    <w:rsid w:val="00B107A2"/>
    <w:rsid w:val="00B10AFD"/>
    <w:rsid w:val="00B110E8"/>
    <w:rsid w:val="00B118A0"/>
    <w:rsid w:val="00B118A3"/>
    <w:rsid w:val="00B12707"/>
    <w:rsid w:val="00B12EAA"/>
    <w:rsid w:val="00B14093"/>
    <w:rsid w:val="00B1429A"/>
    <w:rsid w:val="00B144DD"/>
    <w:rsid w:val="00B151D8"/>
    <w:rsid w:val="00B15602"/>
    <w:rsid w:val="00B15EBC"/>
    <w:rsid w:val="00B16B6B"/>
    <w:rsid w:val="00B16B77"/>
    <w:rsid w:val="00B16DED"/>
    <w:rsid w:val="00B17130"/>
    <w:rsid w:val="00B172FF"/>
    <w:rsid w:val="00B1745F"/>
    <w:rsid w:val="00B1794D"/>
    <w:rsid w:val="00B17B08"/>
    <w:rsid w:val="00B21368"/>
    <w:rsid w:val="00B215A8"/>
    <w:rsid w:val="00B21E0E"/>
    <w:rsid w:val="00B22189"/>
    <w:rsid w:val="00B24D44"/>
    <w:rsid w:val="00B25572"/>
    <w:rsid w:val="00B26A0B"/>
    <w:rsid w:val="00B273E1"/>
    <w:rsid w:val="00B27DB8"/>
    <w:rsid w:val="00B30F7E"/>
    <w:rsid w:val="00B30FC0"/>
    <w:rsid w:val="00B322BC"/>
    <w:rsid w:val="00B322D1"/>
    <w:rsid w:val="00B32767"/>
    <w:rsid w:val="00B33932"/>
    <w:rsid w:val="00B33E1F"/>
    <w:rsid w:val="00B342AA"/>
    <w:rsid w:val="00B35106"/>
    <w:rsid w:val="00B35155"/>
    <w:rsid w:val="00B3524E"/>
    <w:rsid w:val="00B35682"/>
    <w:rsid w:val="00B36453"/>
    <w:rsid w:val="00B36528"/>
    <w:rsid w:val="00B3682B"/>
    <w:rsid w:val="00B36BC0"/>
    <w:rsid w:val="00B40D39"/>
    <w:rsid w:val="00B41DE5"/>
    <w:rsid w:val="00B41F8B"/>
    <w:rsid w:val="00B42B6B"/>
    <w:rsid w:val="00B43CFE"/>
    <w:rsid w:val="00B444E1"/>
    <w:rsid w:val="00B4565A"/>
    <w:rsid w:val="00B45896"/>
    <w:rsid w:val="00B46221"/>
    <w:rsid w:val="00B46512"/>
    <w:rsid w:val="00B46820"/>
    <w:rsid w:val="00B46AD8"/>
    <w:rsid w:val="00B46E60"/>
    <w:rsid w:val="00B46EB4"/>
    <w:rsid w:val="00B4747F"/>
    <w:rsid w:val="00B476B5"/>
    <w:rsid w:val="00B510E1"/>
    <w:rsid w:val="00B51C75"/>
    <w:rsid w:val="00B52171"/>
    <w:rsid w:val="00B52540"/>
    <w:rsid w:val="00B530F8"/>
    <w:rsid w:val="00B5316D"/>
    <w:rsid w:val="00B53353"/>
    <w:rsid w:val="00B53DE2"/>
    <w:rsid w:val="00B5463D"/>
    <w:rsid w:val="00B54DD8"/>
    <w:rsid w:val="00B559EC"/>
    <w:rsid w:val="00B56218"/>
    <w:rsid w:val="00B56569"/>
    <w:rsid w:val="00B5696E"/>
    <w:rsid w:val="00B56DEC"/>
    <w:rsid w:val="00B56F44"/>
    <w:rsid w:val="00B56F94"/>
    <w:rsid w:val="00B5766B"/>
    <w:rsid w:val="00B604AF"/>
    <w:rsid w:val="00B609B5"/>
    <w:rsid w:val="00B612D1"/>
    <w:rsid w:val="00B619D4"/>
    <w:rsid w:val="00B6247E"/>
    <w:rsid w:val="00B629DD"/>
    <w:rsid w:val="00B62E20"/>
    <w:rsid w:val="00B630F2"/>
    <w:rsid w:val="00B63FA8"/>
    <w:rsid w:val="00B6417B"/>
    <w:rsid w:val="00B64781"/>
    <w:rsid w:val="00B64F07"/>
    <w:rsid w:val="00B6523A"/>
    <w:rsid w:val="00B656B4"/>
    <w:rsid w:val="00B65D53"/>
    <w:rsid w:val="00B66C51"/>
    <w:rsid w:val="00B66E58"/>
    <w:rsid w:val="00B678F8"/>
    <w:rsid w:val="00B7023B"/>
    <w:rsid w:val="00B70AF3"/>
    <w:rsid w:val="00B7126F"/>
    <w:rsid w:val="00B7154D"/>
    <w:rsid w:val="00B71BA9"/>
    <w:rsid w:val="00B72222"/>
    <w:rsid w:val="00B72C1E"/>
    <w:rsid w:val="00B72F75"/>
    <w:rsid w:val="00B738E5"/>
    <w:rsid w:val="00B74D6F"/>
    <w:rsid w:val="00B755A7"/>
    <w:rsid w:val="00B76A54"/>
    <w:rsid w:val="00B77031"/>
    <w:rsid w:val="00B7715A"/>
    <w:rsid w:val="00B773E0"/>
    <w:rsid w:val="00B77FF1"/>
    <w:rsid w:val="00B80185"/>
    <w:rsid w:val="00B80831"/>
    <w:rsid w:val="00B81443"/>
    <w:rsid w:val="00B82B42"/>
    <w:rsid w:val="00B832C7"/>
    <w:rsid w:val="00B8422D"/>
    <w:rsid w:val="00B84CCB"/>
    <w:rsid w:val="00B84D18"/>
    <w:rsid w:val="00B84FFA"/>
    <w:rsid w:val="00B852D6"/>
    <w:rsid w:val="00B86220"/>
    <w:rsid w:val="00B87090"/>
    <w:rsid w:val="00B91163"/>
    <w:rsid w:val="00B917B4"/>
    <w:rsid w:val="00B91AB0"/>
    <w:rsid w:val="00B91C33"/>
    <w:rsid w:val="00B91D27"/>
    <w:rsid w:val="00B91D9E"/>
    <w:rsid w:val="00B920EF"/>
    <w:rsid w:val="00B92594"/>
    <w:rsid w:val="00B92839"/>
    <w:rsid w:val="00B928A7"/>
    <w:rsid w:val="00B943E7"/>
    <w:rsid w:val="00B94540"/>
    <w:rsid w:val="00B94759"/>
    <w:rsid w:val="00B94B48"/>
    <w:rsid w:val="00B95648"/>
    <w:rsid w:val="00B9572F"/>
    <w:rsid w:val="00B96390"/>
    <w:rsid w:val="00B96F54"/>
    <w:rsid w:val="00BA0177"/>
    <w:rsid w:val="00BA11FF"/>
    <w:rsid w:val="00BA19E9"/>
    <w:rsid w:val="00BA1EC0"/>
    <w:rsid w:val="00BA222B"/>
    <w:rsid w:val="00BA2FA9"/>
    <w:rsid w:val="00BA353D"/>
    <w:rsid w:val="00BA3BF6"/>
    <w:rsid w:val="00BA43C9"/>
    <w:rsid w:val="00BA5497"/>
    <w:rsid w:val="00BA56E5"/>
    <w:rsid w:val="00BA5DD4"/>
    <w:rsid w:val="00BA5DDA"/>
    <w:rsid w:val="00BA7109"/>
    <w:rsid w:val="00BA7296"/>
    <w:rsid w:val="00BA7B14"/>
    <w:rsid w:val="00BB0964"/>
    <w:rsid w:val="00BB1201"/>
    <w:rsid w:val="00BB1454"/>
    <w:rsid w:val="00BB174B"/>
    <w:rsid w:val="00BB1DCF"/>
    <w:rsid w:val="00BB1F99"/>
    <w:rsid w:val="00BB1FA1"/>
    <w:rsid w:val="00BB2058"/>
    <w:rsid w:val="00BB38C6"/>
    <w:rsid w:val="00BB3A86"/>
    <w:rsid w:val="00BB3B65"/>
    <w:rsid w:val="00BB3D0A"/>
    <w:rsid w:val="00BB4ED6"/>
    <w:rsid w:val="00BB4EDB"/>
    <w:rsid w:val="00BB5AC3"/>
    <w:rsid w:val="00BB674A"/>
    <w:rsid w:val="00BB72CE"/>
    <w:rsid w:val="00BB7FF2"/>
    <w:rsid w:val="00BC03EC"/>
    <w:rsid w:val="00BC0489"/>
    <w:rsid w:val="00BC07CA"/>
    <w:rsid w:val="00BC0FAB"/>
    <w:rsid w:val="00BC107D"/>
    <w:rsid w:val="00BC1347"/>
    <w:rsid w:val="00BC1629"/>
    <w:rsid w:val="00BC1A25"/>
    <w:rsid w:val="00BC26EF"/>
    <w:rsid w:val="00BC32E9"/>
    <w:rsid w:val="00BC350B"/>
    <w:rsid w:val="00BC408C"/>
    <w:rsid w:val="00BC43CB"/>
    <w:rsid w:val="00BC4400"/>
    <w:rsid w:val="00BC4433"/>
    <w:rsid w:val="00BC45A2"/>
    <w:rsid w:val="00BC5019"/>
    <w:rsid w:val="00BC5607"/>
    <w:rsid w:val="00BC5D48"/>
    <w:rsid w:val="00BC681C"/>
    <w:rsid w:val="00BC683E"/>
    <w:rsid w:val="00BC73C2"/>
    <w:rsid w:val="00BC77B0"/>
    <w:rsid w:val="00BD0157"/>
    <w:rsid w:val="00BD05E2"/>
    <w:rsid w:val="00BD0815"/>
    <w:rsid w:val="00BD1717"/>
    <w:rsid w:val="00BD19CF"/>
    <w:rsid w:val="00BD1CD2"/>
    <w:rsid w:val="00BD1F5F"/>
    <w:rsid w:val="00BD2423"/>
    <w:rsid w:val="00BD4001"/>
    <w:rsid w:val="00BD4A94"/>
    <w:rsid w:val="00BD4ABE"/>
    <w:rsid w:val="00BD55BF"/>
    <w:rsid w:val="00BD5A35"/>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EDA"/>
    <w:rsid w:val="00BE5242"/>
    <w:rsid w:val="00BE528D"/>
    <w:rsid w:val="00BE5677"/>
    <w:rsid w:val="00BE5752"/>
    <w:rsid w:val="00BE6DD6"/>
    <w:rsid w:val="00BE74ED"/>
    <w:rsid w:val="00BE7A7B"/>
    <w:rsid w:val="00BE7BED"/>
    <w:rsid w:val="00BE7DDC"/>
    <w:rsid w:val="00BF04A1"/>
    <w:rsid w:val="00BF0912"/>
    <w:rsid w:val="00BF12B1"/>
    <w:rsid w:val="00BF1A7E"/>
    <w:rsid w:val="00BF1BC8"/>
    <w:rsid w:val="00BF1E39"/>
    <w:rsid w:val="00BF22EB"/>
    <w:rsid w:val="00BF2805"/>
    <w:rsid w:val="00BF3091"/>
    <w:rsid w:val="00BF319E"/>
    <w:rsid w:val="00BF3375"/>
    <w:rsid w:val="00BF35D1"/>
    <w:rsid w:val="00BF3B9A"/>
    <w:rsid w:val="00BF3DD0"/>
    <w:rsid w:val="00BF4171"/>
    <w:rsid w:val="00BF4801"/>
    <w:rsid w:val="00BF48AB"/>
    <w:rsid w:val="00BF4C44"/>
    <w:rsid w:val="00BF5100"/>
    <w:rsid w:val="00BF574E"/>
    <w:rsid w:val="00BF57BD"/>
    <w:rsid w:val="00BF6FBD"/>
    <w:rsid w:val="00BF74FB"/>
    <w:rsid w:val="00BF76D0"/>
    <w:rsid w:val="00BF7793"/>
    <w:rsid w:val="00BF7EC0"/>
    <w:rsid w:val="00C00037"/>
    <w:rsid w:val="00C00795"/>
    <w:rsid w:val="00C00EAF"/>
    <w:rsid w:val="00C01477"/>
    <w:rsid w:val="00C017EE"/>
    <w:rsid w:val="00C0255C"/>
    <w:rsid w:val="00C02AB1"/>
    <w:rsid w:val="00C036E7"/>
    <w:rsid w:val="00C03879"/>
    <w:rsid w:val="00C03ED8"/>
    <w:rsid w:val="00C04741"/>
    <w:rsid w:val="00C04A8B"/>
    <w:rsid w:val="00C04BF3"/>
    <w:rsid w:val="00C053E6"/>
    <w:rsid w:val="00C05EF0"/>
    <w:rsid w:val="00C06D7A"/>
    <w:rsid w:val="00C07487"/>
    <w:rsid w:val="00C0753B"/>
    <w:rsid w:val="00C100B0"/>
    <w:rsid w:val="00C1050D"/>
    <w:rsid w:val="00C10D6C"/>
    <w:rsid w:val="00C115B1"/>
    <w:rsid w:val="00C115FA"/>
    <w:rsid w:val="00C1181E"/>
    <w:rsid w:val="00C1270A"/>
    <w:rsid w:val="00C13BC9"/>
    <w:rsid w:val="00C143A4"/>
    <w:rsid w:val="00C151B3"/>
    <w:rsid w:val="00C158FC"/>
    <w:rsid w:val="00C15D60"/>
    <w:rsid w:val="00C15DF1"/>
    <w:rsid w:val="00C15EA1"/>
    <w:rsid w:val="00C17231"/>
    <w:rsid w:val="00C17253"/>
    <w:rsid w:val="00C177F3"/>
    <w:rsid w:val="00C17B08"/>
    <w:rsid w:val="00C203AB"/>
    <w:rsid w:val="00C208F5"/>
    <w:rsid w:val="00C22090"/>
    <w:rsid w:val="00C22205"/>
    <w:rsid w:val="00C239F7"/>
    <w:rsid w:val="00C23A16"/>
    <w:rsid w:val="00C23D1A"/>
    <w:rsid w:val="00C242CE"/>
    <w:rsid w:val="00C24A7B"/>
    <w:rsid w:val="00C24F65"/>
    <w:rsid w:val="00C25BB9"/>
    <w:rsid w:val="00C25DFD"/>
    <w:rsid w:val="00C25F29"/>
    <w:rsid w:val="00C25F9B"/>
    <w:rsid w:val="00C25FE3"/>
    <w:rsid w:val="00C26B2C"/>
    <w:rsid w:val="00C26E45"/>
    <w:rsid w:val="00C27443"/>
    <w:rsid w:val="00C27DA1"/>
    <w:rsid w:val="00C30479"/>
    <w:rsid w:val="00C30FB6"/>
    <w:rsid w:val="00C30FF5"/>
    <w:rsid w:val="00C310DE"/>
    <w:rsid w:val="00C3116D"/>
    <w:rsid w:val="00C3126E"/>
    <w:rsid w:val="00C31653"/>
    <w:rsid w:val="00C31681"/>
    <w:rsid w:val="00C31EE4"/>
    <w:rsid w:val="00C31F08"/>
    <w:rsid w:val="00C325A4"/>
    <w:rsid w:val="00C33067"/>
    <w:rsid w:val="00C331C3"/>
    <w:rsid w:val="00C34F06"/>
    <w:rsid w:val="00C35402"/>
    <w:rsid w:val="00C35492"/>
    <w:rsid w:val="00C36239"/>
    <w:rsid w:val="00C37487"/>
    <w:rsid w:val="00C37C8D"/>
    <w:rsid w:val="00C40399"/>
    <w:rsid w:val="00C40A15"/>
    <w:rsid w:val="00C41CCB"/>
    <w:rsid w:val="00C41CF7"/>
    <w:rsid w:val="00C41D5F"/>
    <w:rsid w:val="00C42079"/>
    <w:rsid w:val="00C4287C"/>
    <w:rsid w:val="00C43F3E"/>
    <w:rsid w:val="00C44086"/>
    <w:rsid w:val="00C44A89"/>
    <w:rsid w:val="00C44C38"/>
    <w:rsid w:val="00C45388"/>
    <w:rsid w:val="00C464FA"/>
    <w:rsid w:val="00C46A24"/>
    <w:rsid w:val="00C46C6B"/>
    <w:rsid w:val="00C46E0A"/>
    <w:rsid w:val="00C471FC"/>
    <w:rsid w:val="00C4776A"/>
    <w:rsid w:val="00C503C8"/>
    <w:rsid w:val="00C5074C"/>
    <w:rsid w:val="00C50D0E"/>
    <w:rsid w:val="00C51975"/>
    <w:rsid w:val="00C52090"/>
    <w:rsid w:val="00C52912"/>
    <w:rsid w:val="00C52CE4"/>
    <w:rsid w:val="00C539AF"/>
    <w:rsid w:val="00C53C37"/>
    <w:rsid w:val="00C53C7B"/>
    <w:rsid w:val="00C5451D"/>
    <w:rsid w:val="00C546B1"/>
    <w:rsid w:val="00C54855"/>
    <w:rsid w:val="00C548AF"/>
    <w:rsid w:val="00C557D8"/>
    <w:rsid w:val="00C567D6"/>
    <w:rsid w:val="00C56C51"/>
    <w:rsid w:val="00C578E7"/>
    <w:rsid w:val="00C57EE9"/>
    <w:rsid w:val="00C57F08"/>
    <w:rsid w:val="00C60B5F"/>
    <w:rsid w:val="00C60C93"/>
    <w:rsid w:val="00C614AA"/>
    <w:rsid w:val="00C61C57"/>
    <w:rsid w:val="00C61E3C"/>
    <w:rsid w:val="00C61F5A"/>
    <w:rsid w:val="00C61F9B"/>
    <w:rsid w:val="00C6223A"/>
    <w:rsid w:val="00C62650"/>
    <w:rsid w:val="00C62818"/>
    <w:rsid w:val="00C62B95"/>
    <w:rsid w:val="00C643B8"/>
    <w:rsid w:val="00C648A4"/>
    <w:rsid w:val="00C649B7"/>
    <w:rsid w:val="00C668A7"/>
    <w:rsid w:val="00C66CFF"/>
    <w:rsid w:val="00C70668"/>
    <w:rsid w:val="00C70B2D"/>
    <w:rsid w:val="00C70E3A"/>
    <w:rsid w:val="00C721FF"/>
    <w:rsid w:val="00C72D48"/>
    <w:rsid w:val="00C74441"/>
    <w:rsid w:val="00C7483D"/>
    <w:rsid w:val="00C75ED1"/>
    <w:rsid w:val="00C76E86"/>
    <w:rsid w:val="00C77B24"/>
    <w:rsid w:val="00C81022"/>
    <w:rsid w:val="00C82096"/>
    <w:rsid w:val="00C83434"/>
    <w:rsid w:val="00C834E2"/>
    <w:rsid w:val="00C83AB6"/>
    <w:rsid w:val="00C83AD3"/>
    <w:rsid w:val="00C83E32"/>
    <w:rsid w:val="00C8418C"/>
    <w:rsid w:val="00C84389"/>
    <w:rsid w:val="00C84959"/>
    <w:rsid w:val="00C84975"/>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B9E"/>
    <w:rsid w:val="00C92BA2"/>
    <w:rsid w:val="00C92C1E"/>
    <w:rsid w:val="00C92E01"/>
    <w:rsid w:val="00C93031"/>
    <w:rsid w:val="00C9313B"/>
    <w:rsid w:val="00C936AA"/>
    <w:rsid w:val="00C93862"/>
    <w:rsid w:val="00C939AC"/>
    <w:rsid w:val="00C93B48"/>
    <w:rsid w:val="00C949B6"/>
    <w:rsid w:val="00C95926"/>
    <w:rsid w:val="00C95B21"/>
    <w:rsid w:val="00C96CDD"/>
    <w:rsid w:val="00C96F62"/>
    <w:rsid w:val="00C97340"/>
    <w:rsid w:val="00CA00E2"/>
    <w:rsid w:val="00CA03F4"/>
    <w:rsid w:val="00CA09CA"/>
    <w:rsid w:val="00CA1252"/>
    <w:rsid w:val="00CA1339"/>
    <w:rsid w:val="00CA141A"/>
    <w:rsid w:val="00CA2663"/>
    <w:rsid w:val="00CA2764"/>
    <w:rsid w:val="00CA27BC"/>
    <w:rsid w:val="00CA28C7"/>
    <w:rsid w:val="00CA3423"/>
    <w:rsid w:val="00CA3A6D"/>
    <w:rsid w:val="00CA3D21"/>
    <w:rsid w:val="00CA3D4E"/>
    <w:rsid w:val="00CA3DF1"/>
    <w:rsid w:val="00CA44F8"/>
    <w:rsid w:val="00CA48F5"/>
    <w:rsid w:val="00CA5157"/>
    <w:rsid w:val="00CA5F44"/>
    <w:rsid w:val="00CA6EA3"/>
    <w:rsid w:val="00CA6FBA"/>
    <w:rsid w:val="00CA7435"/>
    <w:rsid w:val="00CB02A6"/>
    <w:rsid w:val="00CB0316"/>
    <w:rsid w:val="00CB1ACF"/>
    <w:rsid w:val="00CB312E"/>
    <w:rsid w:val="00CB3212"/>
    <w:rsid w:val="00CB331B"/>
    <w:rsid w:val="00CB3834"/>
    <w:rsid w:val="00CB39AC"/>
    <w:rsid w:val="00CB648D"/>
    <w:rsid w:val="00CB6538"/>
    <w:rsid w:val="00CB694B"/>
    <w:rsid w:val="00CB7014"/>
    <w:rsid w:val="00CB7541"/>
    <w:rsid w:val="00CB75BD"/>
    <w:rsid w:val="00CB7770"/>
    <w:rsid w:val="00CB7CFA"/>
    <w:rsid w:val="00CC2220"/>
    <w:rsid w:val="00CC30E9"/>
    <w:rsid w:val="00CC32CD"/>
    <w:rsid w:val="00CC3354"/>
    <w:rsid w:val="00CC33F9"/>
    <w:rsid w:val="00CC4DFA"/>
    <w:rsid w:val="00CC5585"/>
    <w:rsid w:val="00CC55DB"/>
    <w:rsid w:val="00CC5681"/>
    <w:rsid w:val="00CC56A3"/>
    <w:rsid w:val="00CC5C54"/>
    <w:rsid w:val="00CC63AC"/>
    <w:rsid w:val="00CC6782"/>
    <w:rsid w:val="00CC68FA"/>
    <w:rsid w:val="00CC6A25"/>
    <w:rsid w:val="00CC7A52"/>
    <w:rsid w:val="00CD0675"/>
    <w:rsid w:val="00CD0791"/>
    <w:rsid w:val="00CD0FBB"/>
    <w:rsid w:val="00CD1C80"/>
    <w:rsid w:val="00CD23A7"/>
    <w:rsid w:val="00CD2C4C"/>
    <w:rsid w:val="00CD3112"/>
    <w:rsid w:val="00CD31F9"/>
    <w:rsid w:val="00CD3571"/>
    <w:rsid w:val="00CD3D73"/>
    <w:rsid w:val="00CD432E"/>
    <w:rsid w:val="00CD4930"/>
    <w:rsid w:val="00CD51C3"/>
    <w:rsid w:val="00CD5ECA"/>
    <w:rsid w:val="00CD6B34"/>
    <w:rsid w:val="00CD707C"/>
    <w:rsid w:val="00CD70BF"/>
    <w:rsid w:val="00CD7B6F"/>
    <w:rsid w:val="00CE0441"/>
    <w:rsid w:val="00CE0A41"/>
    <w:rsid w:val="00CE1C7B"/>
    <w:rsid w:val="00CE574D"/>
    <w:rsid w:val="00CE5948"/>
    <w:rsid w:val="00CE6211"/>
    <w:rsid w:val="00CE66A2"/>
    <w:rsid w:val="00CE682E"/>
    <w:rsid w:val="00CE69AC"/>
    <w:rsid w:val="00CE6F95"/>
    <w:rsid w:val="00CE79C8"/>
    <w:rsid w:val="00CF0070"/>
    <w:rsid w:val="00CF00FB"/>
    <w:rsid w:val="00CF0C10"/>
    <w:rsid w:val="00CF22D6"/>
    <w:rsid w:val="00CF23C7"/>
    <w:rsid w:val="00CF305E"/>
    <w:rsid w:val="00CF36E4"/>
    <w:rsid w:val="00CF40A8"/>
    <w:rsid w:val="00CF4B65"/>
    <w:rsid w:val="00CF52EE"/>
    <w:rsid w:val="00CF5834"/>
    <w:rsid w:val="00CF5AB3"/>
    <w:rsid w:val="00CF5C19"/>
    <w:rsid w:val="00CF606D"/>
    <w:rsid w:val="00CF6197"/>
    <w:rsid w:val="00CF67C8"/>
    <w:rsid w:val="00CF6A40"/>
    <w:rsid w:val="00CF6CBC"/>
    <w:rsid w:val="00CF6D27"/>
    <w:rsid w:val="00CF6D64"/>
    <w:rsid w:val="00CF70CC"/>
    <w:rsid w:val="00D007D4"/>
    <w:rsid w:val="00D00831"/>
    <w:rsid w:val="00D012A6"/>
    <w:rsid w:val="00D0140D"/>
    <w:rsid w:val="00D02F7F"/>
    <w:rsid w:val="00D035EE"/>
    <w:rsid w:val="00D03921"/>
    <w:rsid w:val="00D040A5"/>
    <w:rsid w:val="00D04239"/>
    <w:rsid w:val="00D043A0"/>
    <w:rsid w:val="00D05191"/>
    <w:rsid w:val="00D052AF"/>
    <w:rsid w:val="00D0580E"/>
    <w:rsid w:val="00D059CB"/>
    <w:rsid w:val="00D065E4"/>
    <w:rsid w:val="00D10254"/>
    <w:rsid w:val="00D11DD7"/>
    <w:rsid w:val="00D11E1F"/>
    <w:rsid w:val="00D123C5"/>
    <w:rsid w:val="00D12CDE"/>
    <w:rsid w:val="00D130A0"/>
    <w:rsid w:val="00D131E9"/>
    <w:rsid w:val="00D1381A"/>
    <w:rsid w:val="00D13FA3"/>
    <w:rsid w:val="00D14E95"/>
    <w:rsid w:val="00D14EAC"/>
    <w:rsid w:val="00D14F91"/>
    <w:rsid w:val="00D154AA"/>
    <w:rsid w:val="00D15B36"/>
    <w:rsid w:val="00D1668C"/>
    <w:rsid w:val="00D16B6C"/>
    <w:rsid w:val="00D17072"/>
    <w:rsid w:val="00D170A0"/>
    <w:rsid w:val="00D1737B"/>
    <w:rsid w:val="00D20C64"/>
    <w:rsid w:val="00D20E30"/>
    <w:rsid w:val="00D2146F"/>
    <w:rsid w:val="00D22860"/>
    <w:rsid w:val="00D23413"/>
    <w:rsid w:val="00D248D7"/>
    <w:rsid w:val="00D254C6"/>
    <w:rsid w:val="00D25507"/>
    <w:rsid w:val="00D258E7"/>
    <w:rsid w:val="00D261A6"/>
    <w:rsid w:val="00D26313"/>
    <w:rsid w:val="00D267D4"/>
    <w:rsid w:val="00D26A50"/>
    <w:rsid w:val="00D26A99"/>
    <w:rsid w:val="00D2770A"/>
    <w:rsid w:val="00D310DB"/>
    <w:rsid w:val="00D31788"/>
    <w:rsid w:val="00D31DEA"/>
    <w:rsid w:val="00D32746"/>
    <w:rsid w:val="00D33505"/>
    <w:rsid w:val="00D336AE"/>
    <w:rsid w:val="00D3372E"/>
    <w:rsid w:val="00D33DBF"/>
    <w:rsid w:val="00D3444A"/>
    <w:rsid w:val="00D34EBC"/>
    <w:rsid w:val="00D34FBF"/>
    <w:rsid w:val="00D369D6"/>
    <w:rsid w:val="00D373D2"/>
    <w:rsid w:val="00D375A8"/>
    <w:rsid w:val="00D37771"/>
    <w:rsid w:val="00D377B5"/>
    <w:rsid w:val="00D4076A"/>
    <w:rsid w:val="00D40899"/>
    <w:rsid w:val="00D408D8"/>
    <w:rsid w:val="00D40AEA"/>
    <w:rsid w:val="00D410FF"/>
    <w:rsid w:val="00D416A0"/>
    <w:rsid w:val="00D4271E"/>
    <w:rsid w:val="00D42912"/>
    <w:rsid w:val="00D43110"/>
    <w:rsid w:val="00D432E2"/>
    <w:rsid w:val="00D43461"/>
    <w:rsid w:val="00D4440E"/>
    <w:rsid w:val="00D44A44"/>
    <w:rsid w:val="00D44F76"/>
    <w:rsid w:val="00D456E3"/>
    <w:rsid w:val="00D45713"/>
    <w:rsid w:val="00D45C56"/>
    <w:rsid w:val="00D462E6"/>
    <w:rsid w:val="00D46C6B"/>
    <w:rsid w:val="00D479B2"/>
    <w:rsid w:val="00D50078"/>
    <w:rsid w:val="00D50729"/>
    <w:rsid w:val="00D50B04"/>
    <w:rsid w:val="00D5124C"/>
    <w:rsid w:val="00D5137E"/>
    <w:rsid w:val="00D5262C"/>
    <w:rsid w:val="00D53C99"/>
    <w:rsid w:val="00D548B7"/>
    <w:rsid w:val="00D55632"/>
    <w:rsid w:val="00D55671"/>
    <w:rsid w:val="00D55CE1"/>
    <w:rsid w:val="00D565C6"/>
    <w:rsid w:val="00D5696E"/>
    <w:rsid w:val="00D56C75"/>
    <w:rsid w:val="00D57576"/>
    <w:rsid w:val="00D575FF"/>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22C"/>
    <w:rsid w:val="00D656A9"/>
    <w:rsid w:val="00D668CA"/>
    <w:rsid w:val="00D66E99"/>
    <w:rsid w:val="00D67060"/>
    <w:rsid w:val="00D716B9"/>
    <w:rsid w:val="00D71FB7"/>
    <w:rsid w:val="00D73A45"/>
    <w:rsid w:val="00D73AD5"/>
    <w:rsid w:val="00D7401C"/>
    <w:rsid w:val="00D740D4"/>
    <w:rsid w:val="00D7432C"/>
    <w:rsid w:val="00D757B4"/>
    <w:rsid w:val="00D75896"/>
    <w:rsid w:val="00D759FF"/>
    <w:rsid w:val="00D75A92"/>
    <w:rsid w:val="00D76A86"/>
    <w:rsid w:val="00D77613"/>
    <w:rsid w:val="00D77D07"/>
    <w:rsid w:val="00D77D48"/>
    <w:rsid w:val="00D8006F"/>
    <w:rsid w:val="00D80681"/>
    <w:rsid w:val="00D8092D"/>
    <w:rsid w:val="00D80C1E"/>
    <w:rsid w:val="00D8296C"/>
    <w:rsid w:val="00D82ABD"/>
    <w:rsid w:val="00D82FB9"/>
    <w:rsid w:val="00D83E58"/>
    <w:rsid w:val="00D8410F"/>
    <w:rsid w:val="00D84EDE"/>
    <w:rsid w:val="00D859BE"/>
    <w:rsid w:val="00D85B56"/>
    <w:rsid w:val="00D862E5"/>
    <w:rsid w:val="00D86705"/>
    <w:rsid w:val="00D86D85"/>
    <w:rsid w:val="00D86FD2"/>
    <w:rsid w:val="00D908E6"/>
    <w:rsid w:val="00D909D3"/>
    <w:rsid w:val="00D90CF9"/>
    <w:rsid w:val="00D91788"/>
    <w:rsid w:val="00D91936"/>
    <w:rsid w:val="00D91CF1"/>
    <w:rsid w:val="00D92020"/>
    <w:rsid w:val="00D92990"/>
    <w:rsid w:val="00D92AE4"/>
    <w:rsid w:val="00D930A1"/>
    <w:rsid w:val="00D93464"/>
    <w:rsid w:val="00D93C2B"/>
    <w:rsid w:val="00D946DF"/>
    <w:rsid w:val="00D94C31"/>
    <w:rsid w:val="00D94EA3"/>
    <w:rsid w:val="00D96993"/>
    <w:rsid w:val="00D9736C"/>
    <w:rsid w:val="00D9754F"/>
    <w:rsid w:val="00D975DE"/>
    <w:rsid w:val="00DA1588"/>
    <w:rsid w:val="00DA1744"/>
    <w:rsid w:val="00DA1FB6"/>
    <w:rsid w:val="00DA3201"/>
    <w:rsid w:val="00DA331A"/>
    <w:rsid w:val="00DA3F33"/>
    <w:rsid w:val="00DA400D"/>
    <w:rsid w:val="00DA460B"/>
    <w:rsid w:val="00DA4676"/>
    <w:rsid w:val="00DA4D85"/>
    <w:rsid w:val="00DA57EB"/>
    <w:rsid w:val="00DA5DC2"/>
    <w:rsid w:val="00DA6220"/>
    <w:rsid w:val="00DA6476"/>
    <w:rsid w:val="00DA6664"/>
    <w:rsid w:val="00DA6B5E"/>
    <w:rsid w:val="00DA6CFD"/>
    <w:rsid w:val="00DA7100"/>
    <w:rsid w:val="00DB067E"/>
    <w:rsid w:val="00DB0733"/>
    <w:rsid w:val="00DB0BAB"/>
    <w:rsid w:val="00DB0C50"/>
    <w:rsid w:val="00DB1396"/>
    <w:rsid w:val="00DB1BA4"/>
    <w:rsid w:val="00DB2012"/>
    <w:rsid w:val="00DB26EE"/>
    <w:rsid w:val="00DB2C88"/>
    <w:rsid w:val="00DB360D"/>
    <w:rsid w:val="00DB388D"/>
    <w:rsid w:val="00DB3EED"/>
    <w:rsid w:val="00DB423F"/>
    <w:rsid w:val="00DB48F9"/>
    <w:rsid w:val="00DB4E89"/>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F8B"/>
    <w:rsid w:val="00DC6443"/>
    <w:rsid w:val="00DC7347"/>
    <w:rsid w:val="00DC7941"/>
    <w:rsid w:val="00DC7A89"/>
    <w:rsid w:val="00DC7D87"/>
    <w:rsid w:val="00DC7D8A"/>
    <w:rsid w:val="00DC7E25"/>
    <w:rsid w:val="00DD00EF"/>
    <w:rsid w:val="00DD04C7"/>
    <w:rsid w:val="00DD1828"/>
    <w:rsid w:val="00DD1C9C"/>
    <w:rsid w:val="00DD1F86"/>
    <w:rsid w:val="00DD33FC"/>
    <w:rsid w:val="00DD45EE"/>
    <w:rsid w:val="00DD5184"/>
    <w:rsid w:val="00DD5421"/>
    <w:rsid w:val="00DD571C"/>
    <w:rsid w:val="00DD5FEB"/>
    <w:rsid w:val="00DD6558"/>
    <w:rsid w:val="00DD741E"/>
    <w:rsid w:val="00DD7508"/>
    <w:rsid w:val="00DD76D3"/>
    <w:rsid w:val="00DD77C3"/>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50F7"/>
    <w:rsid w:val="00DE5D2E"/>
    <w:rsid w:val="00DE6CE1"/>
    <w:rsid w:val="00DE6EE8"/>
    <w:rsid w:val="00DE6FAF"/>
    <w:rsid w:val="00DE77EE"/>
    <w:rsid w:val="00DE7B8D"/>
    <w:rsid w:val="00DE7BF0"/>
    <w:rsid w:val="00DE7C6D"/>
    <w:rsid w:val="00DE7FA7"/>
    <w:rsid w:val="00DF046F"/>
    <w:rsid w:val="00DF0586"/>
    <w:rsid w:val="00DF05CA"/>
    <w:rsid w:val="00DF21E3"/>
    <w:rsid w:val="00DF2501"/>
    <w:rsid w:val="00DF27CD"/>
    <w:rsid w:val="00DF31E9"/>
    <w:rsid w:val="00DF3AA6"/>
    <w:rsid w:val="00DF3DE1"/>
    <w:rsid w:val="00DF3F7E"/>
    <w:rsid w:val="00DF4B22"/>
    <w:rsid w:val="00DF4EB3"/>
    <w:rsid w:val="00DF5E25"/>
    <w:rsid w:val="00DF648A"/>
    <w:rsid w:val="00DF6EBC"/>
    <w:rsid w:val="00DF72B1"/>
    <w:rsid w:val="00DF733A"/>
    <w:rsid w:val="00DF73C6"/>
    <w:rsid w:val="00E009B2"/>
    <w:rsid w:val="00E00F2E"/>
    <w:rsid w:val="00E02D3B"/>
    <w:rsid w:val="00E0405D"/>
    <w:rsid w:val="00E040F7"/>
    <w:rsid w:val="00E047A5"/>
    <w:rsid w:val="00E04D87"/>
    <w:rsid w:val="00E04E42"/>
    <w:rsid w:val="00E053FE"/>
    <w:rsid w:val="00E05512"/>
    <w:rsid w:val="00E05CF6"/>
    <w:rsid w:val="00E066D3"/>
    <w:rsid w:val="00E07333"/>
    <w:rsid w:val="00E102BC"/>
    <w:rsid w:val="00E10471"/>
    <w:rsid w:val="00E10770"/>
    <w:rsid w:val="00E113FB"/>
    <w:rsid w:val="00E11A53"/>
    <w:rsid w:val="00E11A6C"/>
    <w:rsid w:val="00E11CB4"/>
    <w:rsid w:val="00E1282E"/>
    <w:rsid w:val="00E12ADB"/>
    <w:rsid w:val="00E12D6D"/>
    <w:rsid w:val="00E13C5C"/>
    <w:rsid w:val="00E13C8B"/>
    <w:rsid w:val="00E1430E"/>
    <w:rsid w:val="00E14F90"/>
    <w:rsid w:val="00E15BC1"/>
    <w:rsid w:val="00E15F2C"/>
    <w:rsid w:val="00E15FA5"/>
    <w:rsid w:val="00E1661C"/>
    <w:rsid w:val="00E17140"/>
    <w:rsid w:val="00E20A77"/>
    <w:rsid w:val="00E215CE"/>
    <w:rsid w:val="00E21D3C"/>
    <w:rsid w:val="00E2204A"/>
    <w:rsid w:val="00E22B16"/>
    <w:rsid w:val="00E22F72"/>
    <w:rsid w:val="00E23BD2"/>
    <w:rsid w:val="00E23C99"/>
    <w:rsid w:val="00E23E26"/>
    <w:rsid w:val="00E24397"/>
    <w:rsid w:val="00E244DB"/>
    <w:rsid w:val="00E2636B"/>
    <w:rsid w:val="00E2664B"/>
    <w:rsid w:val="00E26E15"/>
    <w:rsid w:val="00E27226"/>
    <w:rsid w:val="00E2795F"/>
    <w:rsid w:val="00E3104F"/>
    <w:rsid w:val="00E31857"/>
    <w:rsid w:val="00E32376"/>
    <w:rsid w:val="00E3248A"/>
    <w:rsid w:val="00E32846"/>
    <w:rsid w:val="00E329D5"/>
    <w:rsid w:val="00E32C07"/>
    <w:rsid w:val="00E32F3C"/>
    <w:rsid w:val="00E32FBA"/>
    <w:rsid w:val="00E3305E"/>
    <w:rsid w:val="00E33446"/>
    <w:rsid w:val="00E34631"/>
    <w:rsid w:val="00E34A82"/>
    <w:rsid w:val="00E35885"/>
    <w:rsid w:val="00E35967"/>
    <w:rsid w:val="00E36144"/>
    <w:rsid w:val="00E366B2"/>
    <w:rsid w:val="00E3697F"/>
    <w:rsid w:val="00E3758A"/>
    <w:rsid w:val="00E4005D"/>
    <w:rsid w:val="00E40BD2"/>
    <w:rsid w:val="00E40C58"/>
    <w:rsid w:val="00E40D5C"/>
    <w:rsid w:val="00E41C57"/>
    <w:rsid w:val="00E41DE1"/>
    <w:rsid w:val="00E42282"/>
    <w:rsid w:val="00E42848"/>
    <w:rsid w:val="00E43418"/>
    <w:rsid w:val="00E43572"/>
    <w:rsid w:val="00E43700"/>
    <w:rsid w:val="00E43EAB"/>
    <w:rsid w:val="00E4418A"/>
    <w:rsid w:val="00E449A3"/>
    <w:rsid w:val="00E44A20"/>
    <w:rsid w:val="00E45512"/>
    <w:rsid w:val="00E46BB9"/>
    <w:rsid w:val="00E46FE8"/>
    <w:rsid w:val="00E47A2B"/>
    <w:rsid w:val="00E47B45"/>
    <w:rsid w:val="00E47D65"/>
    <w:rsid w:val="00E47EEE"/>
    <w:rsid w:val="00E5012B"/>
    <w:rsid w:val="00E503C3"/>
    <w:rsid w:val="00E50B73"/>
    <w:rsid w:val="00E5167E"/>
    <w:rsid w:val="00E524E1"/>
    <w:rsid w:val="00E527DE"/>
    <w:rsid w:val="00E52EAF"/>
    <w:rsid w:val="00E535A6"/>
    <w:rsid w:val="00E53ABC"/>
    <w:rsid w:val="00E5461E"/>
    <w:rsid w:val="00E55232"/>
    <w:rsid w:val="00E55813"/>
    <w:rsid w:val="00E56BEF"/>
    <w:rsid w:val="00E56CD8"/>
    <w:rsid w:val="00E56DEE"/>
    <w:rsid w:val="00E56F9C"/>
    <w:rsid w:val="00E5704C"/>
    <w:rsid w:val="00E572A7"/>
    <w:rsid w:val="00E57D8F"/>
    <w:rsid w:val="00E60D73"/>
    <w:rsid w:val="00E61F3F"/>
    <w:rsid w:val="00E62717"/>
    <w:rsid w:val="00E63024"/>
    <w:rsid w:val="00E6366D"/>
    <w:rsid w:val="00E636B7"/>
    <w:rsid w:val="00E637B5"/>
    <w:rsid w:val="00E64C8C"/>
    <w:rsid w:val="00E64F47"/>
    <w:rsid w:val="00E6526F"/>
    <w:rsid w:val="00E6595B"/>
    <w:rsid w:val="00E65D87"/>
    <w:rsid w:val="00E661DB"/>
    <w:rsid w:val="00E663A0"/>
    <w:rsid w:val="00E66D9D"/>
    <w:rsid w:val="00E675A7"/>
    <w:rsid w:val="00E678CD"/>
    <w:rsid w:val="00E70899"/>
    <w:rsid w:val="00E70948"/>
    <w:rsid w:val="00E70B0E"/>
    <w:rsid w:val="00E70B51"/>
    <w:rsid w:val="00E71371"/>
    <w:rsid w:val="00E7153A"/>
    <w:rsid w:val="00E7195F"/>
    <w:rsid w:val="00E71DF0"/>
    <w:rsid w:val="00E723EC"/>
    <w:rsid w:val="00E72440"/>
    <w:rsid w:val="00E726B2"/>
    <w:rsid w:val="00E7317A"/>
    <w:rsid w:val="00E742E6"/>
    <w:rsid w:val="00E74959"/>
    <w:rsid w:val="00E750D7"/>
    <w:rsid w:val="00E76732"/>
    <w:rsid w:val="00E768CC"/>
    <w:rsid w:val="00E77C87"/>
    <w:rsid w:val="00E77ECF"/>
    <w:rsid w:val="00E80150"/>
    <w:rsid w:val="00E803A7"/>
    <w:rsid w:val="00E80FDB"/>
    <w:rsid w:val="00E81F94"/>
    <w:rsid w:val="00E8269D"/>
    <w:rsid w:val="00E82C37"/>
    <w:rsid w:val="00E83802"/>
    <w:rsid w:val="00E838D4"/>
    <w:rsid w:val="00E8394E"/>
    <w:rsid w:val="00E83FB9"/>
    <w:rsid w:val="00E84202"/>
    <w:rsid w:val="00E84677"/>
    <w:rsid w:val="00E847EF"/>
    <w:rsid w:val="00E8483A"/>
    <w:rsid w:val="00E84A02"/>
    <w:rsid w:val="00E8563F"/>
    <w:rsid w:val="00E85E34"/>
    <w:rsid w:val="00E86164"/>
    <w:rsid w:val="00E861D4"/>
    <w:rsid w:val="00E86654"/>
    <w:rsid w:val="00E867D3"/>
    <w:rsid w:val="00E86A18"/>
    <w:rsid w:val="00E86CD5"/>
    <w:rsid w:val="00E86DAD"/>
    <w:rsid w:val="00E874D5"/>
    <w:rsid w:val="00E87603"/>
    <w:rsid w:val="00E87831"/>
    <w:rsid w:val="00E90706"/>
    <w:rsid w:val="00E90F43"/>
    <w:rsid w:val="00E9135F"/>
    <w:rsid w:val="00E9167B"/>
    <w:rsid w:val="00E91862"/>
    <w:rsid w:val="00E919BF"/>
    <w:rsid w:val="00E91F2F"/>
    <w:rsid w:val="00E9260F"/>
    <w:rsid w:val="00E926B0"/>
    <w:rsid w:val="00E938F2"/>
    <w:rsid w:val="00E93D46"/>
    <w:rsid w:val="00E945AF"/>
    <w:rsid w:val="00E948D6"/>
    <w:rsid w:val="00E95182"/>
    <w:rsid w:val="00E95392"/>
    <w:rsid w:val="00E960AC"/>
    <w:rsid w:val="00E96C7E"/>
    <w:rsid w:val="00EA005E"/>
    <w:rsid w:val="00EA1EBD"/>
    <w:rsid w:val="00EA20CE"/>
    <w:rsid w:val="00EA21CB"/>
    <w:rsid w:val="00EA2624"/>
    <w:rsid w:val="00EA27F0"/>
    <w:rsid w:val="00EA28DF"/>
    <w:rsid w:val="00EA2B5A"/>
    <w:rsid w:val="00EA365B"/>
    <w:rsid w:val="00EA3C1E"/>
    <w:rsid w:val="00EA62FC"/>
    <w:rsid w:val="00EA6B83"/>
    <w:rsid w:val="00EA73E8"/>
    <w:rsid w:val="00EA7CA5"/>
    <w:rsid w:val="00EA7DDA"/>
    <w:rsid w:val="00EB0395"/>
    <w:rsid w:val="00EB0CE7"/>
    <w:rsid w:val="00EB1096"/>
    <w:rsid w:val="00EB10D8"/>
    <w:rsid w:val="00EB1E0D"/>
    <w:rsid w:val="00EB216B"/>
    <w:rsid w:val="00EB22CB"/>
    <w:rsid w:val="00EB2ECC"/>
    <w:rsid w:val="00EB375F"/>
    <w:rsid w:val="00EB3858"/>
    <w:rsid w:val="00EB4F20"/>
    <w:rsid w:val="00EB5C26"/>
    <w:rsid w:val="00EB5CCB"/>
    <w:rsid w:val="00EB667E"/>
    <w:rsid w:val="00EB7550"/>
    <w:rsid w:val="00EB7915"/>
    <w:rsid w:val="00EB7EE6"/>
    <w:rsid w:val="00EC0F4C"/>
    <w:rsid w:val="00EC1A61"/>
    <w:rsid w:val="00EC1F78"/>
    <w:rsid w:val="00EC20E9"/>
    <w:rsid w:val="00EC23E1"/>
    <w:rsid w:val="00EC2A3E"/>
    <w:rsid w:val="00EC31AE"/>
    <w:rsid w:val="00EC3281"/>
    <w:rsid w:val="00EC34A7"/>
    <w:rsid w:val="00EC3599"/>
    <w:rsid w:val="00EC3DAA"/>
    <w:rsid w:val="00EC3DCE"/>
    <w:rsid w:val="00EC4984"/>
    <w:rsid w:val="00EC4B06"/>
    <w:rsid w:val="00EC5174"/>
    <w:rsid w:val="00EC5458"/>
    <w:rsid w:val="00EC54A6"/>
    <w:rsid w:val="00EC5906"/>
    <w:rsid w:val="00EC5B4F"/>
    <w:rsid w:val="00EC64F2"/>
    <w:rsid w:val="00EC6552"/>
    <w:rsid w:val="00ED0DFE"/>
    <w:rsid w:val="00ED16A3"/>
    <w:rsid w:val="00ED19F1"/>
    <w:rsid w:val="00ED1BE7"/>
    <w:rsid w:val="00ED2473"/>
    <w:rsid w:val="00ED2DEA"/>
    <w:rsid w:val="00ED49B4"/>
    <w:rsid w:val="00ED4B23"/>
    <w:rsid w:val="00ED4BD2"/>
    <w:rsid w:val="00ED54E8"/>
    <w:rsid w:val="00ED55AC"/>
    <w:rsid w:val="00ED5779"/>
    <w:rsid w:val="00ED5C2A"/>
    <w:rsid w:val="00ED60C4"/>
    <w:rsid w:val="00ED63B0"/>
    <w:rsid w:val="00ED674A"/>
    <w:rsid w:val="00ED6AD8"/>
    <w:rsid w:val="00ED6E58"/>
    <w:rsid w:val="00ED7399"/>
    <w:rsid w:val="00ED73DD"/>
    <w:rsid w:val="00ED783F"/>
    <w:rsid w:val="00EE0616"/>
    <w:rsid w:val="00EE0695"/>
    <w:rsid w:val="00EE0732"/>
    <w:rsid w:val="00EE1820"/>
    <w:rsid w:val="00EE1E09"/>
    <w:rsid w:val="00EE25B3"/>
    <w:rsid w:val="00EE3A79"/>
    <w:rsid w:val="00EE439E"/>
    <w:rsid w:val="00EE475B"/>
    <w:rsid w:val="00EE4941"/>
    <w:rsid w:val="00EE522C"/>
    <w:rsid w:val="00EE6080"/>
    <w:rsid w:val="00EF08A5"/>
    <w:rsid w:val="00EF2A08"/>
    <w:rsid w:val="00EF38D6"/>
    <w:rsid w:val="00EF3D5B"/>
    <w:rsid w:val="00EF51A6"/>
    <w:rsid w:val="00EF5915"/>
    <w:rsid w:val="00EF5D11"/>
    <w:rsid w:val="00EF7A63"/>
    <w:rsid w:val="00F0054D"/>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E19"/>
    <w:rsid w:val="00F0631F"/>
    <w:rsid w:val="00F06432"/>
    <w:rsid w:val="00F065F6"/>
    <w:rsid w:val="00F1085E"/>
    <w:rsid w:val="00F10DC5"/>
    <w:rsid w:val="00F11008"/>
    <w:rsid w:val="00F11B05"/>
    <w:rsid w:val="00F11CED"/>
    <w:rsid w:val="00F121ED"/>
    <w:rsid w:val="00F12253"/>
    <w:rsid w:val="00F12864"/>
    <w:rsid w:val="00F1415C"/>
    <w:rsid w:val="00F14E12"/>
    <w:rsid w:val="00F156B9"/>
    <w:rsid w:val="00F16201"/>
    <w:rsid w:val="00F166BC"/>
    <w:rsid w:val="00F16A99"/>
    <w:rsid w:val="00F16C4D"/>
    <w:rsid w:val="00F16F97"/>
    <w:rsid w:val="00F1793E"/>
    <w:rsid w:val="00F20200"/>
    <w:rsid w:val="00F206C5"/>
    <w:rsid w:val="00F20B15"/>
    <w:rsid w:val="00F21412"/>
    <w:rsid w:val="00F21EC1"/>
    <w:rsid w:val="00F21FB3"/>
    <w:rsid w:val="00F2225C"/>
    <w:rsid w:val="00F22A1A"/>
    <w:rsid w:val="00F22BAE"/>
    <w:rsid w:val="00F2323F"/>
    <w:rsid w:val="00F234E3"/>
    <w:rsid w:val="00F238EB"/>
    <w:rsid w:val="00F24C94"/>
    <w:rsid w:val="00F2556E"/>
    <w:rsid w:val="00F2565D"/>
    <w:rsid w:val="00F25B88"/>
    <w:rsid w:val="00F2625F"/>
    <w:rsid w:val="00F2641A"/>
    <w:rsid w:val="00F26EB5"/>
    <w:rsid w:val="00F272E9"/>
    <w:rsid w:val="00F273D3"/>
    <w:rsid w:val="00F303F9"/>
    <w:rsid w:val="00F31258"/>
    <w:rsid w:val="00F3168D"/>
    <w:rsid w:val="00F317A4"/>
    <w:rsid w:val="00F31B65"/>
    <w:rsid w:val="00F3205B"/>
    <w:rsid w:val="00F325BF"/>
    <w:rsid w:val="00F32B0C"/>
    <w:rsid w:val="00F33134"/>
    <w:rsid w:val="00F33847"/>
    <w:rsid w:val="00F343E4"/>
    <w:rsid w:val="00F34BE9"/>
    <w:rsid w:val="00F34C59"/>
    <w:rsid w:val="00F34CAC"/>
    <w:rsid w:val="00F34EA2"/>
    <w:rsid w:val="00F354FA"/>
    <w:rsid w:val="00F3644E"/>
    <w:rsid w:val="00F3647B"/>
    <w:rsid w:val="00F365FC"/>
    <w:rsid w:val="00F3697B"/>
    <w:rsid w:val="00F36F77"/>
    <w:rsid w:val="00F3776E"/>
    <w:rsid w:val="00F379A3"/>
    <w:rsid w:val="00F400E8"/>
    <w:rsid w:val="00F4037B"/>
    <w:rsid w:val="00F40518"/>
    <w:rsid w:val="00F4253B"/>
    <w:rsid w:val="00F436CE"/>
    <w:rsid w:val="00F437EC"/>
    <w:rsid w:val="00F43C3F"/>
    <w:rsid w:val="00F44156"/>
    <w:rsid w:val="00F44D0E"/>
    <w:rsid w:val="00F44DD6"/>
    <w:rsid w:val="00F44EEB"/>
    <w:rsid w:val="00F45790"/>
    <w:rsid w:val="00F45A93"/>
    <w:rsid w:val="00F474B1"/>
    <w:rsid w:val="00F477F8"/>
    <w:rsid w:val="00F479D9"/>
    <w:rsid w:val="00F47F20"/>
    <w:rsid w:val="00F50AC7"/>
    <w:rsid w:val="00F510BA"/>
    <w:rsid w:val="00F525CA"/>
    <w:rsid w:val="00F52AB3"/>
    <w:rsid w:val="00F530BE"/>
    <w:rsid w:val="00F539F6"/>
    <w:rsid w:val="00F53A44"/>
    <w:rsid w:val="00F53C15"/>
    <w:rsid w:val="00F540EC"/>
    <w:rsid w:val="00F54583"/>
    <w:rsid w:val="00F54871"/>
    <w:rsid w:val="00F55060"/>
    <w:rsid w:val="00F553C4"/>
    <w:rsid w:val="00F5598A"/>
    <w:rsid w:val="00F55CDE"/>
    <w:rsid w:val="00F56079"/>
    <w:rsid w:val="00F56B7E"/>
    <w:rsid w:val="00F5776C"/>
    <w:rsid w:val="00F577E8"/>
    <w:rsid w:val="00F57BB0"/>
    <w:rsid w:val="00F57DA3"/>
    <w:rsid w:val="00F60535"/>
    <w:rsid w:val="00F6090A"/>
    <w:rsid w:val="00F60998"/>
    <w:rsid w:val="00F60B37"/>
    <w:rsid w:val="00F61DE9"/>
    <w:rsid w:val="00F63625"/>
    <w:rsid w:val="00F6385C"/>
    <w:rsid w:val="00F63A98"/>
    <w:rsid w:val="00F63DB8"/>
    <w:rsid w:val="00F6469E"/>
    <w:rsid w:val="00F64730"/>
    <w:rsid w:val="00F64D41"/>
    <w:rsid w:val="00F651F0"/>
    <w:rsid w:val="00F66ED7"/>
    <w:rsid w:val="00F6733D"/>
    <w:rsid w:val="00F6780D"/>
    <w:rsid w:val="00F679CC"/>
    <w:rsid w:val="00F67C26"/>
    <w:rsid w:val="00F67E9E"/>
    <w:rsid w:val="00F700DC"/>
    <w:rsid w:val="00F7020F"/>
    <w:rsid w:val="00F7079D"/>
    <w:rsid w:val="00F70A40"/>
    <w:rsid w:val="00F71D4B"/>
    <w:rsid w:val="00F721B5"/>
    <w:rsid w:val="00F72BA1"/>
    <w:rsid w:val="00F74677"/>
    <w:rsid w:val="00F75656"/>
    <w:rsid w:val="00F7579E"/>
    <w:rsid w:val="00F762E3"/>
    <w:rsid w:val="00F76C56"/>
    <w:rsid w:val="00F770AA"/>
    <w:rsid w:val="00F77518"/>
    <w:rsid w:val="00F7789D"/>
    <w:rsid w:val="00F816DE"/>
    <w:rsid w:val="00F82017"/>
    <w:rsid w:val="00F820D6"/>
    <w:rsid w:val="00F825AE"/>
    <w:rsid w:val="00F826A4"/>
    <w:rsid w:val="00F8277D"/>
    <w:rsid w:val="00F83099"/>
    <w:rsid w:val="00F83431"/>
    <w:rsid w:val="00F838C7"/>
    <w:rsid w:val="00F84CB1"/>
    <w:rsid w:val="00F855B5"/>
    <w:rsid w:val="00F85B97"/>
    <w:rsid w:val="00F85C61"/>
    <w:rsid w:val="00F8611B"/>
    <w:rsid w:val="00F87797"/>
    <w:rsid w:val="00F878CA"/>
    <w:rsid w:val="00F9081E"/>
    <w:rsid w:val="00F92B52"/>
    <w:rsid w:val="00F92DE6"/>
    <w:rsid w:val="00F92F03"/>
    <w:rsid w:val="00F93208"/>
    <w:rsid w:val="00F9322C"/>
    <w:rsid w:val="00F93679"/>
    <w:rsid w:val="00F93C92"/>
    <w:rsid w:val="00F94C48"/>
    <w:rsid w:val="00F94D09"/>
    <w:rsid w:val="00F94FFC"/>
    <w:rsid w:val="00F95E7C"/>
    <w:rsid w:val="00F962C0"/>
    <w:rsid w:val="00F9670A"/>
    <w:rsid w:val="00F97383"/>
    <w:rsid w:val="00FA03ED"/>
    <w:rsid w:val="00FA04BA"/>
    <w:rsid w:val="00FA14EF"/>
    <w:rsid w:val="00FA16C7"/>
    <w:rsid w:val="00FA2878"/>
    <w:rsid w:val="00FA2A07"/>
    <w:rsid w:val="00FA30CA"/>
    <w:rsid w:val="00FA38FD"/>
    <w:rsid w:val="00FA403C"/>
    <w:rsid w:val="00FA4516"/>
    <w:rsid w:val="00FA45C9"/>
    <w:rsid w:val="00FA48D8"/>
    <w:rsid w:val="00FA4F79"/>
    <w:rsid w:val="00FA5ADF"/>
    <w:rsid w:val="00FA647D"/>
    <w:rsid w:val="00FA659B"/>
    <w:rsid w:val="00FA6FE9"/>
    <w:rsid w:val="00FB02E2"/>
    <w:rsid w:val="00FB1B50"/>
    <w:rsid w:val="00FB1D21"/>
    <w:rsid w:val="00FB1DAD"/>
    <w:rsid w:val="00FB49DF"/>
    <w:rsid w:val="00FB4EAD"/>
    <w:rsid w:val="00FB65A1"/>
    <w:rsid w:val="00FB6ADC"/>
    <w:rsid w:val="00FB755F"/>
    <w:rsid w:val="00FB7E9B"/>
    <w:rsid w:val="00FB7F21"/>
    <w:rsid w:val="00FC063D"/>
    <w:rsid w:val="00FC0BFE"/>
    <w:rsid w:val="00FC0F35"/>
    <w:rsid w:val="00FC10C1"/>
    <w:rsid w:val="00FC1ABA"/>
    <w:rsid w:val="00FC1D60"/>
    <w:rsid w:val="00FC23FD"/>
    <w:rsid w:val="00FC2908"/>
    <w:rsid w:val="00FC2AAE"/>
    <w:rsid w:val="00FC2BE4"/>
    <w:rsid w:val="00FC31A5"/>
    <w:rsid w:val="00FC3C0D"/>
    <w:rsid w:val="00FC49AF"/>
    <w:rsid w:val="00FC5371"/>
    <w:rsid w:val="00FC5FBB"/>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2155"/>
    <w:rsid w:val="00FD2519"/>
    <w:rsid w:val="00FD26CD"/>
    <w:rsid w:val="00FD2737"/>
    <w:rsid w:val="00FD37A6"/>
    <w:rsid w:val="00FD38FF"/>
    <w:rsid w:val="00FD3B22"/>
    <w:rsid w:val="00FD3DDA"/>
    <w:rsid w:val="00FD3E58"/>
    <w:rsid w:val="00FD4076"/>
    <w:rsid w:val="00FD47F9"/>
    <w:rsid w:val="00FD48DA"/>
    <w:rsid w:val="00FD48EB"/>
    <w:rsid w:val="00FD4B48"/>
    <w:rsid w:val="00FD55FF"/>
    <w:rsid w:val="00FD61AF"/>
    <w:rsid w:val="00FD68C0"/>
    <w:rsid w:val="00FD7291"/>
    <w:rsid w:val="00FD7570"/>
    <w:rsid w:val="00FD75AF"/>
    <w:rsid w:val="00FD7CDB"/>
    <w:rsid w:val="00FE0E68"/>
    <w:rsid w:val="00FE1A82"/>
    <w:rsid w:val="00FE264F"/>
    <w:rsid w:val="00FE287C"/>
    <w:rsid w:val="00FE2E4F"/>
    <w:rsid w:val="00FE35B1"/>
    <w:rsid w:val="00FE3D34"/>
    <w:rsid w:val="00FE4389"/>
    <w:rsid w:val="00FE531D"/>
    <w:rsid w:val="00FE577A"/>
    <w:rsid w:val="00FE5E96"/>
    <w:rsid w:val="00FE6C33"/>
    <w:rsid w:val="00FE6D6E"/>
    <w:rsid w:val="00FE7607"/>
    <w:rsid w:val="00FE7D10"/>
    <w:rsid w:val="00FE7EE4"/>
    <w:rsid w:val="00FF0882"/>
    <w:rsid w:val="00FF0BE6"/>
    <w:rsid w:val="00FF0DF5"/>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179D1718-49FF-4AAC-AB30-0BAD285F1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4D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2E3E2D"/>
    <w:rPr>
      <w:rFonts w:ascii="Times-Italic" w:hAnsi="Times-Italic"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1198588640">
          <w:marLeft w:val="1195"/>
          <w:marRight w:val="0"/>
          <w:marTop w:val="213"/>
          <w:marBottom w:val="0"/>
          <w:divBdr>
            <w:top w:val="none" w:sz="0" w:space="0" w:color="auto"/>
            <w:left w:val="none" w:sz="0" w:space="0" w:color="auto"/>
            <w:bottom w:val="none" w:sz="0" w:space="0" w:color="auto"/>
            <w:right w:val="none" w:sz="0" w:space="0" w:color="auto"/>
          </w:divBdr>
        </w:div>
        <w:div w:id="474027693">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976907824">
          <w:marLeft w:val="1195"/>
          <w:marRight w:val="0"/>
          <w:marTop w:val="120"/>
          <w:marBottom w:val="0"/>
          <w:divBdr>
            <w:top w:val="none" w:sz="0" w:space="0" w:color="auto"/>
            <w:left w:val="none" w:sz="0" w:space="0" w:color="auto"/>
            <w:bottom w:val="none" w:sz="0" w:space="0" w:color="auto"/>
            <w:right w:val="none" w:sz="0" w:space="0" w:color="auto"/>
          </w:divBdr>
        </w:div>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187526401">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43875568">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Microsoft_Visio_2003-2010_Drawing1.vsd"/><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df4eea7b-52db-4162-980b-b352f1b580a3">3EQ6UJ4K66FU-4-3685</_dlc_DocId>
    <_dlc_DocIdUrl xmlns="df4eea7b-52db-4162-980b-b352f1b580a3">
      <Url>https://projects.qualcomm.com/sites/meridian/_layouts/15/DocIdRedir.aspx?ID=3EQ6UJ4K66FU-4-3685</Url>
      <Description>3EQ6UJ4K66FU-4-3685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4925B8-0020-4F90-A81C-6C9953282B4F}">
  <ds:schemaRefs>
    <ds:schemaRef ds:uri="http://schemas.microsoft.com/sharepoint/events"/>
  </ds:schemaRefs>
</ds:datastoreItem>
</file>

<file path=customXml/itemProps2.xml><?xml version="1.0" encoding="utf-8"?>
<ds:datastoreItem xmlns:ds="http://schemas.openxmlformats.org/officeDocument/2006/customXml" ds:itemID="{7DEF6168-0BF5-4D6A-AFF9-CDD5FFDA71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http://schemas.microsoft.com/sharepoint/v4"/>
    <ds:schemaRef ds:uri="df4eea7b-52db-4162-980b-b352f1b580a3"/>
  </ds:schemaRefs>
</ds:datastoreItem>
</file>

<file path=customXml/itemProps4.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5.xml><?xml version="1.0" encoding="utf-8"?>
<ds:datastoreItem xmlns:ds="http://schemas.openxmlformats.org/officeDocument/2006/customXml" ds:itemID="{B3CDFD0F-53CF-4007-A5B5-4216A12B5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TotalTime>
  <Pages>1</Pages>
  <Words>3518</Words>
  <Characters>19701</Characters>
  <Application>Microsoft Office Word</Application>
  <DocSecurity>0</DocSecurity>
  <Lines>333</Lines>
  <Paragraphs>190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23029</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cp:lastModifiedBy>Jeon, Jeongho</cp:lastModifiedBy>
  <cp:revision>4</cp:revision>
  <cp:lastPrinted>2017-10-24T05:18:00Z</cp:lastPrinted>
  <dcterms:created xsi:type="dcterms:W3CDTF">2018-05-12T00:32:00Z</dcterms:created>
  <dcterms:modified xsi:type="dcterms:W3CDTF">2018-05-12T02:05:00Z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32065250-1b58-4739-bf84-a707a2797f17</vt:lpwstr>
  </property>
  <property fmtid="{D5CDD505-2E9C-101B-9397-08002B2CF9AE}" pid="3" name="CTP_TimeStamp">
    <vt:lpwstr>2018-05-12 02:05:56Z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0x010100B64640988C4649488F02E0537EA64775</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