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78234CD1" w:rsidR="00892F08" w:rsidRDefault="00BC7BD4" w:rsidP="6A0AD366">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#9</w:t>
      </w:r>
      <w:r w:rsidR="009456F1">
        <w:rPr>
          <w:noProof w:val="0"/>
          <w:sz w:val="24"/>
          <w:szCs w:val="24"/>
        </w:rPr>
        <w:t>3</w:t>
      </w:r>
      <w:r w:rsidRPr="2D0A3676">
        <w:rPr>
          <w:noProof w:val="0"/>
          <w:sz w:val="24"/>
          <w:szCs w:val="24"/>
        </w:rPr>
        <w:t xml:space="preserve"> </w:t>
      </w:r>
      <w:r w:rsidRPr="009C1427">
        <w:rPr>
          <w:bCs/>
          <w:noProof w:val="0"/>
          <w:sz w:val="24"/>
        </w:rPr>
        <w:tab/>
      </w:r>
      <w:r w:rsidR="003861AA" w:rsidRPr="003861AA">
        <w:rPr>
          <w:sz w:val="24"/>
          <w:szCs w:val="24"/>
        </w:rPr>
        <w:t>R1-1806143</w:t>
      </w:r>
    </w:p>
    <w:p w14:paraId="06196B30" w14:textId="186D2F7B" w:rsidR="009B06A2" w:rsidRPr="009C1427" w:rsidRDefault="6A0AD366" w:rsidP="6A0AD366">
      <w:pPr>
        <w:pStyle w:val="Header"/>
        <w:tabs>
          <w:tab w:val="right" w:pos="9639"/>
        </w:tabs>
        <w:rPr>
          <w:noProof w:val="0"/>
          <w:sz w:val="24"/>
          <w:szCs w:val="24"/>
        </w:rPr>
      </w:pPr>
      <w:r w:rsidRPr="6A0AD366">
        <w:rPr>
          <w:noProof w:val="0"/>
          <w:sz w:val="24"/>
          <w:szCs w:val="24"/>
        </w:rPr>
        <w:t>Busan, South Korea, 21</w:t>
      </w:r>
      <w:r w:rsidRPr="6A0AD366">
        <w:rPr>
          <w:noProof w:val="0"/>
          <w:sz w:val="24"/>
          <w:szCs w:val="24"/>
          <w:vertAlign w:val="superscript"/>
        </w:rPr>
        <w:t>st</w:t>
      </w:r>
      <w:r w:rsidRPr="6A0AD366">
        <w:rPr>
          <w:noProof w:val="0"/>
          <w:sz w:val="24"/>
          <w:szCs w:val="24"/>
        </w:rPr>
        <w:t xml:space="preserve"> – 25</w:t>
      </w:r>
      <w:r w:rsidRPr="6A0AD366">
        <w:rPr>
          <w:noProof w:val="0"/>
          <w:sz w:val="24"/>
          <w:szCs w:val="24"/>
          <w:vertAlign w:val="superscript"/>
        </w:rPr>
        <w:t>th</w:t>
      </w:r>
      <w:r w:rsidRPr="6A0AD366">
        <w:rPr>
          <w:noProof w:val="0"/>
          <w:sz w:val="24"/>
          <w:szCs w:val="24"/>
        </w:rPr>
        <w:t xml:space="preserve"> May 2018</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267B26FA"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E11538" w:rsidRPr="2D0A3676">
        <w:rPr>
          <w:noProof w:val="0"/>
          <w:sz w:val="24"/>
          <w:szCs w:val="24"/>
        </w:rPr>
        <w:t xml:space="preserve">On </w:t>
      </w:r>
      <w:r w:rsidR="001600F0" w:rsidRPr="2D0A3676">
        <w:rPr>
          <w:noProof w:val="0"/>
          <w:sz w:val="24"/>
          <w:szCs w:val="24"/>
        </w:rPr>
        <w:t xml:space="preserve">remaining </w:t>
      </w:r>
      <w:r w:rsidR="00FE6F2E">
        <w:rPr>
          <w:noProof w:val="0"/>
          <w:sz w:val="24"/>
          <w:szCs w:val="24"/>
        </w:rPr>
        <w:t>details</w:t>
      </w:r>
      <w:r w:rsidR="001600F0" w:rsidRPr="2D0A3676">
        <w:rPr>
          <w:noProof w:val="0"/>
          <w:sz w:val="24"/>
          <w:szCs w:val="24"/>
        </w:rPr>
        <w:t xml:space="preserve"> o</w:t>
      </w:r>
      <w:r w:rsidR="00A351DF">
        <w:rPr>
          <w:noProof w:val="0"/>
          <w:sz w:val="24"/>
          <w:szCs w:val="24"/>
        </w:rPr>
        <w:t>f</w:t>
      </w:r>
      <w:r w:rsidR="0036702F">
        <w:rPr>
          <w:noProof w:val="0"/>
          <w:sz w:val="24"/>
          <w:szCs w:val="24"/>
        </w:rPr>
        <w:t xml:space="preserve"> </w:t>
      </w:r>
      <w:r w:rsidR="001600F0" w:rsidRPr="2D0A3676">
        <w:rPr>
          <w:noProof w:val="0"/>
          <w:sz w:val="24"/>
          <w:szCs w:val="24"/>
        </w:rPr>
        <w:t>BWPs</w:t>
      </w:r>
    </w:p>
    <w:bookmarkEnd w:id="0"/>
    <w:bookmarkEnd w:id="1"/>
    <w:p w14:paraId="12916ABB" w14:textId="1CD13D7B"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B57459" w:rsidRPr="00B57459">
        <w:rPr>
          <w:rFonts w:cs="Arial"/>
          <w:b/>
          <w:bCs/>
          <w:sz w:val="24"/>
          <w:szCs w:val="24"/>
          <w:lang w:val="en-US"/>
        </w:rPr>
        <w:t>1.</w:t>
      </w:r>
      <w:r w:rsidR="00B868A9" w:rsidRPr="00B57459">
        <w:rPr>
          <w:rFonts w:cs="Arial"/>
          <w:b/>
          <w:bCs/>
          <w:sz w:val="24"/>
          <w:szCs w:val="24"/>
          <w:lang w:val="en-US"/>
        </w:rPr>
        <w:t>3.4.1.</w:t>
      </w:r>
      <w:r w:rsidR="001600F0" w:rsidRPr="009C1427">
        <w:rPr>
          <w:rFonts w:cs="Arial"/>
          <w:b/>
          <w:bCs/>
          <w:sz w:val="24"/>
          <w:lang w:val="en-US"/>
        </w:rPr>
        <w:tab/>
      </w:r>
    </w:p>
    <w:p w14:paraId="6FB8491E" w14:textId="48940899" w:rsidR="0034111C" w:rsidRPr="005D49C0" w:rsidRDefault="00787640" w:rsidP="6A0AD366">
      <w:pPr>
        <w:tabs>
          <w:tab w:val="left" w:pos="1985"/>
        </w:tabs>
        <w:spacing w:line="360" w:lineRule="auto"/>
        <w:rPr>
          <w:rFonts w:ascii="Arial" w:hAnsi="Arial" w:cs="Arial"/>
          <w:b/>
          <w:bCs/>
          <w:sz w:val="24"/>
          <w:szCs w:val="24"/>
          <w:lang w:val="en-GB"/>
        </w:rPr>
      </w:pPr>
      <w:r w:rsidRPr="2D0A3676">
        <w:rPr>
          <w:rFonts w:ascii="Arial" w:hAnsi="Arial" w:cs="Arial"/>
          <w:b/>
          <w:bCs/>
          <w:sz w:val="24"/>
          <w:szCs w:val="24"/>
          <w:lang w:val="en-GB"/>
        </w:rPr>
        <w:t xml:space="preserve">Document </w:t>
      </w:r>
      <w:r w:rsidRPr="005D49C0">
        <w:rPr>
          <w:rFonts w:ascii="Arial" w:hAnsi="Arial" w:cs="Arial"/>
          <w:b/>
          <w:bCs/>
          <w:sz w:val="24"/>
          <w:lang w:val="en-GB"/>
        </w:rPr>
        <w:tab/>
      </w:r>
      <w:r w:rsidRPr="005D49C0">
        <w:rPr>
          <w:rFonts w:ascii="Arial" w:hAnsi="Arial" w:cs="Arial"/>
          <w:b/>
          <w:bCs/>
          <w:sz w:val="24"/>
          <w:lang w:val="en-GB"/>
        </w:rPr>
        <w:tab/>
      </w:r>
      <w:r w:rsidRPr="5A81E0AF">
        <w:rPr>
          <w:rFonts w:ascii="Arial" w:hAnsi="Arial" w:cs="Arial"/>
          <w:b/>
          <w:bCs/>
          <w:sz w:val="24"/>
          <w:szCs w:val="24"/>
          <w:lang w:val="en-GB"/>
        </w:rPr>
        <w:t>Discussion and Decision</w:t>
      </w:r>
      <w:r w:rsidR="2D0A3676" w:rsidRPr="2D0A3676">
        <w:rPr>
          <w:rFonts w:ascii="Arial" w:hAnsi="Arial" w:cs="Arial"/>
          <w:b/>
          <w:bCs/>
          <w:sz w:val="24"/>
          <w:szCs w:val="24"/>
          <w:lang w:val="en-GB"/>
        </w:rPr>
        <w:t xml:space="preserve"> </w:t>
      </w:r>
    </w:p>
    <w:p w14:paraId="0BDA0527" w14:textId="5F920BB7" w:rsidR="0034111C" w:rsidRPr="009C1427" w:rsidRDefault="6A0AD366" w:rsidP="00DB43D5">
      <w:pPr>
        <w:pStyle w:val="Heading1"/>
      </w:pPr>
      <w:r>
        <w:t>Introduction</w:t>
      </w:r>
    </w:p>
    <w:p w14:paraId="17342BDB" w14:textId="64B3649A" w:rsidR="005A0B35" w:rsidRDefault="00CB5B70" w:rsidP="6A0AD366">
      <w:pPr>
        <w:spacing w:before="120" w:after="120"/>
        <w:jc w:val="both"/>
        <w:rPr>
          <w:rFonts w:ascii="Times New Roman"/>
          <w:sz w:val="20"/>
          <w:szCs w:val="20"/>
          <w:lang w:val="en-GB"/>
        </w:rPr>
      </w:pPr>
      <w:r>
        <w:rPr>
          <w:rFonts w:ascii="Times New Roman"/>
          <w:sz w:val="20"/>
          <w:szCs w:val="20"/>
          <w:lang w:val="en-GB"/>
        </w:rPr>
        <w:t>The issues:</w:t>
      </w:r>
      <w:r w:rsidR="6A0AD366" w:rsidRPr="6A0AD366">
        <w:rPr>
          <w:rFonts w:ascii="Times New Roman"/>
          <w:sz w:val="20"/>
          <w:szCs w:val="20"/>
          <w:lang w:val="en-GB"/>
        </w:rPr>
        <w:t xml:space="preserve"> </w:t>
      </w:r>
    </w:p>
    <w:p w14:paraId="65A8986F" w14:textId="16F0425C" w:rsidR="005A0B35" w:rsidRPr="00D66C19" w:rsidRDefault="6A0AD366" w:rsidP="6A0AD366">
      <w:pPr>
        <w:pStyle w:val="ListParagraph"/>
        <w:numPr>
          <w:ilvl w:val="0"/>
          <w:numId w:val="13"/>
        </w:numPr>
        <w:spacing w:before="120" w:after="120"/>
        <w:jc w:val="both"/>
        <w:rPr>
          <w:rFonts w:ascii="Times New Roman"/>
          <w:i/>
          <w:iCs/>
          <w:sz w:val="20"/>
          <w:szCs w:val="20"/>
          <w:lang w:val="en-GB"/>
        </w:rPr>
      </w:pPr>
      <w:r w:rsidRPr="6A0AD366">
        <w:rPr>
          <w:rFonts w:ascii="Times New Roman"/>
          <w:i/>
          <w:iCs/>
          <w:sz w:val="20"/>
          <w:szCs w:val="20"/>
          <w:lang w:val="en-GB"/>
        </w:rPr>
        <w:t>remaining details of default BWP timer are discussed in RAN2</w:t>
      </w:r>
    </w:p>
    <w:p w14:paraId="1A2E8F7A" w14:textId="4DAE0506" w:rsidR="005A0B35" w:rsidRPr="00D66C19" w:rsidRDefault="6A0AD366" w:rsidP="6A0AD366">
      <w:pPr>
        <w:pStyle w:val="ListParagraph"/>
        <w:numPr>
          <w:ilvl w:val="0"/>
          <w:numId w:val="13"/>
        </w:numPr>
        <w:spacing w:before="120" w:after="120"/>
        <w:jc w:val="both"/>
        <w:rPr>
          <w:rFonts w:ascii="Times New Roman"/>
          <w:i/>
          <w:iCs/>
          <w:sz w:val="20"/>
          <w:szCs w:val="20"/>
          <w:lang w:val="en-GB"/>
        </w:rPr>
      </w:pPr>
      <w:r w:rsidRPr="6A0AD366">
        <w:rPr>
          <w:rFonts w:ascii="Times New Roman"/>
          <w:i/>
          <w:iCs/>
          <w:sz w:val="20"/>
          <w:szCs w:val="20"/>
          <w:lang w:val="en-GB"/>
        </w:rPr>
        <w:t>specification of transition times due to BWP switching are discussed in RAN4</w:t>
      </w:r>
    </w:p>
    <w:p w14:paraId="518A7990" w14:textId="77777777" w:rsidR="005A0B35" w:rsidRPr="005A0B35" w:rsidRDefault="005A0B35" w:rsidP="005A0B35">
      <w:pPr>
        <w:pStyle w:val="ListParagraph"/>
        <w:spacing w:before="120" w:after="120"/>
        <w:jc w:val="both"/>
        <w:rPr>
          <w:rFonts w:ascii="Times New Roman"/>
          <w:sz w:val="20"/>
          <w:szCs w:val="20"/>
          <w:lang w:val="en-GB"/>
        </w:rPr>
      </w:pPr>
    </w:p>
    <w:p w14:paraId="3321DD6F" w14:textId="06B6457D" w:rsidR="001600F0" w:rsidRDefault="6A0AD366" w:rsidP="6A0AD366">
      <w:pPr>
        <w:spacing w:before="120" w:after="120"/>
        <w:jc w:val="both"/>
        <w:rPr>
          <w:rFonts w:ascii="Times New Roman"/>
          <w:sz w:val="20"/>
          <w:szCs w:val="20"/>
          <w:lang w:val="en-GB"/>
        </w:rPr>
      </w:pPr>
      <w:r w:rsidRPr="6A0AD366">
        <w:rPr>
          <w:rFonts w:ascii="Times New Roman"/>
          <w:sz w:val="20"/>
          <w:szCs w:val="20"/>
          <w:lang w:val="en-GB"/>
        </w:rPr>
        <w:t xml:space="preserve">The remaining aspects to be discussed in RAN1 aiming R15 completion are: </w:t>
      </w:r>
    </w:p>
    <w:p w14:paraId="4AEC1D34" w14:textId="005E0445" w:rsidR="007C268E" w:rsidRPr="00D66C19" w:rsidRDefault="6A0AD366" w:rsidP="6A0AD366">
      <w:pPr>
        <w:pStyle w:val="ListParagraph"/>
        <w:numPr>
          <w:ilvl w:val="0"/>
          <w:numId w:val="11"/>
        </w:numPr>
        <w:tabs>
          <w:tab w:val="left" w:pos="1080"/>
          <w:tab w:val="left" w:pos="1440"/>
        </w:tabs>
        <w:spacing w:after="0" w:line="240" w:lineRule="auto"/>
        <w:textAlignment w:val="baseline"/>
        <w:rPr>
          <w:rFonts w:ascii="Times New Roman"/>
          <w:i/>
          <w:iCs/>
          <w:sz w:val="20"/>
          <w:szCs w:val="20"/>
          <w:lang w:val="en-GB" w:eastAsia="fi-FI"/>
        </w:rPr>
      </w:pPr>
      <w:r w:rsidRPr="6A0AD366">
        <w:rPr>
          <w:rFonts w:ascii="Times New Roman"/>
          <w:i/>
          <w:iCs/>
          <w:sz w:val="20"/>
          <w:szCs w:val="20"/>
          <w:lang w:val="en-GB" w:eastAsia="fi-FI"/>
        </w:rPr>
        <w:t>Remaining aspect of BWP switching DCI (interpretation of TYPE1 RA, enable re-scheduling of the first slot)</w:t>
      </w:r>
    </w:p>
    <w:p w14:paraId="32F3EB2E" w14:textId="77777777" w:rsidR="0019039A" w:rsidRDefault="0019039A" w:rsidP="0019039A">
      <w:pPr>
        <w:pStyle w:val="ListParagraph"/>
        <w:numPr>
          <w:ilvl w:val="0"/>
          <w:numId w:val="11"/>
        </w:numPr>
        <w:tabs>
          <w:tab w:val="left" w:pos="1080"/>
          <w:tab w:val="left" w:pos="1440"/>
        </w:tabs>
        <w:spacing w:after="0" w:line="240" w:lineRule="auto"/>
        <w:textAlignment w:val="baseline"/>
        <w:rPr>
          <w:rFonts w:ascii="Times New Roman"/>
          <w:i/>
          <w:iCs/>
          <w:sz w:val="20"/>
          <w:szCs w:val="20"/>
          <w:lang w:val="en-GB" w:eastAsia="fi-FI"/>
        </w:rPr>
      </w:pPr>
      <w:r w:rsidRPr="0019039A">
        <w:rPr>
          <w:rFonts w:ascii="Times New Roman"/>
          <w:i/>
          <w:iCs/>
          <w:sz w:val="20"/>
          <w:szCs w:val="20"/>
          <w:lang w:val="en-GB" w:eastAsia="fi-FI"/>
        </w:rPr>
        <w:t xml:space="preserve">Clarification on cross-numerology scheduling </w:t>
      </w:r>
    </w:p>
    <w:p w14:paraId="2CD7ABB0" w14:textId="77777777" w:rsidR="0019039A" w:rsidRDefault="0019039A" w:rsidP="0019039A">
      <w:pPr>
        <w:pStyle w:val="ListParagraph"/>
        <w:numPr>
          <w:ilvl w:val="0"/>
          <w:numId w:val="11"/>
        </w:numPr>
        <w:tabs>
          <w:tab w:val="left" w:pos="1080"/>
          <w:tab w:val="left" w:pos="1440"/>
        </w:tabs>
        <w:spacing w:after="0" w:line="240" w:lineRule="auto"/>
        <w:textAlignment w:val="baseline"/>
        <w:rPr>
          <w:rFonts w:ascii="Times New Roman"/>
          <w:i/>
          <w:iCs/>
          <w:sz w:val="20"/>
          <w:szCs w:val="20"/>
          <w:lang w:val="en-GB" w:eastAsia="fi-FI"/>
        </w:rPr>
      </w:pPr>
      <w:r>
        <w:rPr>
          <w:rFonts w:ascii="Times New Roman"/>
          <w:i/>
          <w:iCs/>
          <w:sz w:val="20"/>
          <w:szCs w:val="20"/>
          <w:lang w:val="en-GB" w:eastAsia="fi-FI"/>
        </w:rPr>
        <w:t>C</w:t>
      </w:r>
      <w:r w:rsidRPr="0019039A">
        <w:rPr>
          <w:rFonts w:ascii="Times New Roman"/>
          <w:i/>
          <w:iCs/>
          <w:sz w:val="20"/>
          <w:szCs w:val="20"/>
          <w:lang w:val="en-GB" w:eastAsia="fi-FI"/>
        </w:rPr>
        <w:t xml:space="preserve">onfigurability of BWPI field in DCI </w:t>
      </w:r>
    </w:p>
    <w:p w14:paraId="77D930ED" w14:textId="41C139EA" w:rsidR="00F3777C" w:rsidRDefault="00F3777C" w:rsidP="0019039A">
      <w:pPr>
        <w:pStyle w:val="ListParagraph"/>
        <w:numPr>
          <w:ilvl w:val="0"/>
          <w:numId w:val="11"/>
        </w:numPr>
        <w:tabs>
          <w:tab w:val="left" w:pos="1080"/>
          <w:tab w:val="left" w:pos="1440"/>
        </w:tabs>
        <w:spacing w:after="0" w:line="240" w:lineRule="auto"/>
        <w:textAlignment w:val="baseline"/>
        <w:rPr>
          <w:rFonts w:ascii="Times New Roman"/>
          <w:i/>
          <w:iCs/>
          <w:sz w:val="20"/>
          <w:szCs w:val="20"/>
          <w:lang w:val="en-GB" w:eastAsia="fi-FI"/>
        </w:rPr>
      </w:pPr>
      <w:r w:rsidRPr="6A0AD366">
        <w:rPr>
          <w:rFonts w:ascii="Times New Roman"/>
          <w:i/>
          <w:iCs/>
          <w:sz w:val="20"/>
          <w:szCs w:val="20"/>
          <w:lang w:val="en-GB" w:eastAsia="fi-FI"/>
        </w:rPr>
        <w:t>BWP features</w:t>
      </w:r>
      <w:r w:rsidR="001E19F9">
        <w:rPr>
          <w:rFonts w:ascii="Times New Roman"/>
          <w:i/>
          <w:iCs/>
          <w:sz w:val="20"/>
          <w:szCs w:val="20"/>
          <w:lang w:val="en-GB" w:eastAsia="fi-FI"/>
        </w:rPr>
        <w:tab/>
      </w:r>
    </w:p>
    <w:p w14:paraId="1F7F12E3" w14:textId="105FC4D1" w:rsidR="00F3777C" w:rsidRDefault="6A0AD366" w:rsidP="6A0AD366">
      <w:pPr>
        <w:pStyle w:val="ListParagraph"/>
        <w:numPr>
          <w:ilvl w:val="0"/>
          <w:numId w:val="11"/>
        </w:numPr>
        <w:tabs>
          <w:tab w:val="left" w:pos="1080"/>
          <w:tab w:val="left" w:pos="1440"/>
        </w:tabs>
        <w:spacing w:after="0" w:line="240" w:lineRule="auto"/>
        <w:textAlignment w:val="baseline"/>
        <w:rPr>
          <w:rFonts w:ascii="Times New Roman"/>
          <w:i/>
          <w:iCs/>
          <w:sz w:val="20"/>
          <w:szCs w:val="20"/>
          <w:lang w:val="en-GB" w:eastAsia="fi-FI"/>
        </w:rPr>
      </w:pPr>
      <w:r w:rsidRPr="6A0AD366">
        <w:rPr>
          <w:rFonts w:ascii="Times New Roman"/>
          <w:i/>
          <w:iCs/>
          <w:sz w:val="20"/>
          <w:szCs w:val="20"/>
          <w:lang w:val="en-GB" w:eastAsia="fi-FI"/>
        </w:rPr>
        <w:t>Appendix: Fast CSI acquisition after BWP switch</w:t>
      </w:r>
    </w:p>
    <w:p w14:paraId="3838D930" w14:textId="20C6D975" w:rsidR="00F3777C" w:rsidRDefault="00F3777C" w:rsidP="00F3777C">
      <w:pPr>
        <w:pStyle w:val="ListParagraph"/>
        <w:tabs>
          <w:tab w:val="left" w:pos="1080"/>
          <w:tab w:val="left" w:pos="1440"/>
        </w:tabs>
        <w:spacing w:after="0" w:line="240" w:lineRule="auto"/>
        <w:textAlignment w:val="baseline"/>
        <w:rPr>
          <w:rFonts w:ascii="Times New Roman"/>
          <w:i/>
          <w:iCs/>
          <w:sz w:val="20"/>
          <w:szCs w:val="20"/>
          <w:lang w:val="en-GB" w:eastAsia="fi-FI"/>
        </w:rPr>
      </w:pPr>
    </w:p>
    <w:p w14:paraId="06869A7A" w14:textId="1F74BF91" w:rsidR="000B442C" w:rsidRPr="000B35CB" w:rsidRDefault="6A0AD366" w:rsidP="00626666">
      <w:pPr>
        <w:pStyle w:val="Heading1"/>
      </w:pPr>
      <w:r>
        <w:t>Remaining aspects of BWPs</w:t>
      </w:r>
      <w:bookmarkStart w:id="2" w:name="OLE_LINK13"/>
      <w:bookmarkStart w:id="3" w:name="OLE_LINK14"/>
    </w:p>
    <w:p w14:paraId="512C76A3" w14:textId="2FA6C7F1" w:rsidR="001600F0" w:rsidRPr="00B20742" w:rsidRDefault="6A0AD366" w:rsidP="00DB43D5">
      <w:pPr>
        <w:pStyle w:val="Heading2"/>
      </w:pPr>
      <w:r>
        <w:t>On design of BWP switching DCI</w:t>
      </w:r>
    </w:p>
    <w:p w14:paraId="64A462FD" w14:textId="746A5FEB" w:rsidR="002E537C" w:rsidRDefault="6A0AD366" w:rsidP="6A0AD366">
      <w:pPr>
        <w:jc w:val="both"/>
        <w:rPr>
          <w:rFonts w:ascii="Times New Roman" w:eastAsia="Times New Roman" w:hAnsi="Times New Roman" w:cs="Times New Roman"/>
        </w:rPr>
      </w:pPr>
      <w:r w:rsidRPr="6A0AD366">
        <w:rPr>
          <w:rFonts w:ascii="Times New Roman" w:eastAsia="Times New Roman" w:hAnsi="Times New Roman" w:cs="Times New Roman"/>
        </w:rPr>
        <w:t>In RAN1#92b, the switching DCI WA assumption has been agreed with few clarifications</w:t>
      </w:r>
    </w:p>
    <w:p w14:paraId="5485E5A6" w14:textId="77777777" w:rsidR="001E75C9" w:rsidRPr="001E75C9" w:rsidRDefault="6A0AD366" w:rsidP="6A0AD366">
      <w:pPr>
        <w:spacing w:after="0"/>
        <w:rPr>
          <w:b/>
          <w:bCs/>
          <w:sz w:val="18"/>
          <w:szCs w:val="18"/>
        </w:rPr>
      </w:pPr>
      <w:r w:rsidRPr="6A0AD366">
        <w:rPr>
          <w:sz w:val="18"/>
          <w:szCs w:val="18"/>
          <w:highlight w:val="green"/>
        </w:rPr>
        <w:t>Agreements</w:t>
      </w:r>
      <w:r w:rsidRPr="6A0AD366">
        <w:rPr>
          <w:b/>
          <w:bCs/>
          <w:sz w:val="18"/>
          <w:szCs w:val="18"/>
        </w:rPr>
        <w:t>:</w:t>
      </w:r>
    </w:p>
    <w:p w14:paraId="2FC7F722" w14:textId="77777777" w:rsidR="001E75C9" w:rsidRPr="001E75C9" w:rsidRDefault="6A0AD366" w:rsidP="6A0AD366">
      <w:pPr>
        <w:spacing w:after="0"/>
        <w:rPr>
          <w:sz w:val="18"/>
          <w:szCs w:val="18"/>
        </w:rPr>
      </w:pPr>
      <w:r w:rsidRPr="6A0AD366">
        <w:rPr>
          <w:sz w:val="18"/>
          <w:szCs w:val="18"/>
        </w:rPr>
        <w:t>Confirm the following working assumption with updates:</w:t>
      </w:r>
    </w:p>
    <w:p w14:paraId="2560A76C" w14:textId="77777777" w:rsidR="001E75C9" w:rsidRPr="001E75C9" w:rsidRDefault="6A0AD366" w:rsidP="6A0AD366">
      <w:pPr>
        <w:numPr>
          <w:ilvl w:val="0"/>
          <w:numId w:val="25"/>
        </w:numPr>
        <w:spacing w:after="0" w:line="240" w:lineRule="auto"/>
        <w:ind w:left="601" w:hanging="241"/>
        <w:rPr>
          <w:sz w:val="18"/>
          <w:szCs w:val="18"/>
        </w:rPr>
      </w:pPr>
      <w:r w:rsidRPr="6A0AD366">
        <w:rPr>
          <w:sz w:val="18"/>
          <w:szCs w:val="18"/>
        </w:rPr>
        <w:t>Sizes of all DCI bitfields in DCI formats 0-1 and 1-1 in USS determined by current BWP. Data transmitted on the BWP indicated by the BWP index. If the BWP index activates another BWP, transform as follows:</w:t>
      </w:r>
    </w:p>
    <w:p w14:paraId="0803AC6F" w14:textId="77777777" w:rsidR="001E75C9" w:rsidRPr="001E75C9" w:rsidRDefault="6A0AD366" w:rsidP="6A0AD366">
      <w:pPr>
        <w:numPr>
          <w:ilvl w:val="1"/>
          <w:numId w:val="25"/>
        </w:numPr>
        <w:spacing w:after="0" w:line="240" w:lineRule="auto"/>
        <w:rPr>
          <w:sz w:val="18"/>
          <w:szCs w:val="18"/>
        </w:rPr>
      </w:pPr>
      <w:r w:rsidRPr="6A0AD366">
        <w:rPr>
          <w:sz w:val="18"/>
          <w:szCs w:val="18"/>
        </w:rPr>
        <w:t>Zero-pad too small bitfields to match the new BWP</w:t>
      </w:r>
    </w:p>
    <w:p w14:paraId="0FFADBC5" w14:textId="77777777" w:rsidR="001E75C9" w:rsidRPr="001E75C9" w:rsidRDefault="6A0AD366" w:rsidP="6A0AD366">
      <w:pPr>
        <w:numPr>
          <w:ilvl w:val="1"/>
          <w:numId w:val="25"/>
        </w:numPr>
        <w:spacing w:after="0" w:line="240" w:lineRule="auto"/>
        <w:rPr>
          <w:b/>
          <w:bCs/>
          <w:sz w:val="18"/>
          <w:szCs w:val="18"/>
        </w:rPr>
      </w:pPr>
      <w:r w:rsidRPr="6A0AD366">
        <w:rPr>
          <w:sz w:val="18"/>
          <w:szCs w:val="18"/>
        </w:rPr>
        <w:t>Truncate too large bitfields to match the new BWP</w:t>
      </w:r>
    </w:p>
    <w:p w14:paraId="25CDC5F2" w14:textId="77777777" w:rsidR="001E75C9" w:rsidRPr="001E75C9" w:rsidRDefault="6A0AD366" w:rsidP="6A0AD366">
      <w:pPr>
        <w:numPr>
          <w:ilvl w:val="1"/>
          <w:numId w:val="25"/>
        </w:numPr>
        <w:spacing w:after="0" w:line="240" w:lineRule="auto"/>
        <w:rPr>
          <w:color w:val="FF0000"/>
          <w:sz w:val="18"/>
          <w:szCs w:val="18"/>
          <w:u w:val="single"/>
        </w:rPr>
      </w:pPr>
      <w:r w:rsidRPr="6A0AD366">
        <w:rPr>
          <w:color w:val="FF0000"/>
          <w:sz w:val="18"/>
          <w:szCs w:val="18"/>
          <w:u w:val="single"/>
        </w:rPr>
        <w:t>The truncation is done from MSB (including the bit indicating the resource allocation type)</w:t>
      </w:r>
    </w:p>
    <w:p w14:paraId="622FA34A" w14:textId="77777777" w:rsidR="001E75C9" w:rsidRPr="001E75C9" w:rsidRDefault="6A0AD366" w:rsidP="6A0AD366">
      <w:pPr>
        <w:numPr>
          <w:ilvl w:val="1"/>
          <w:numId w:val="25"/>
        </w:numPr>
        <w:spacing w:after="0" w:line="240" w:lineRule="auto"/>
        <w:rPr>
          <w:color w:val="FF0000"/>
          <w:sz w:val="18"/>
          <w:szCs w:val="18"/>
          <w:u w:val="single"/>
        </w:rPr>
      </w:pPr>
      <w:r w:rsidRPr="6A0AD366">
        <w:rPr>
          <w:color w:val="FF0000"/>
          <w:sz w:val="18"/>
          <w:szCs w:val="18"/>
          <w:u w:val="single"/>
        </w:rPr>
        <w:t>Zero-padding is done for MSB</w:t>
      </w:r>
    </w:p>
    <w:p w14:paraId="1B0185F9" w14:textId="247D50BD" w:rsidR="00616060" w:rsidRDefault="00616060" w:rsidP="00B10D1A">
      <w:pPr>
        <w:jc w:val="both"/>
        <w:rPr>
          <w:rFonts w:ascii="Times New Roman" w:eastAsia="Times New Roman" w:hAnsi="Times New Roman" w:cs="Times New Roman"/>
        </w:rPr>
      </w:pPr>
    </w:p>
    <w:p w14:paraId="41E07549" w14:textId="140F0AEB" w:rsidR="000E3284" w:rsidRPr="00CB5B70" w:rsidRDefault="00DB6ED3" w:rsidP="15ADEE61">
      <w:pPr>
        <w:jc w:val="both"/>
        <w:rPr>
          <w:rFonts w:ascii="Times New Roman" w:eastAsia="Times New Roman" w:hAnsi="Times New Roman" w:cs="Times New Roman"/>
        </w:rPr>
      </w:pPr>
      <w:r w:rsidRPr="00CB5B70">
        <w:rPr>
          <w:rFonts w:ascii="Times New Roman" w:eastAsia="Times New Roman" w:hAnsi="Times New Roman" w:cs="Times New Roman"/>
        </w:rPr>
        <w:t xml:space="preserve">With TYPE1 RA, the restriction </w:t>
      </w:r>
      <w:r w:rsidR="009C3DC8" w:rsidRPr="00CB5B70">
        <w:rPr>
          <w:rFonts w:ascii="Times New Roman" w:eastAsia="Times New Roman" w:hAnsi="Times New Roman" w:cs="Times New Roman"/>
        </w:rPr>
        <w:t>is illustrated</w:t>
      </w:r>
      <w:r w:rsidRPr="00CB5B70">
        <w:rPr>
          <w:rFonts w:ascii="Times New Roman" w:eastAsia="Times New Roman" w:hAnsi="Times New Roman" w:cs="Times New Roman"/>
        </w:rPr>
        <w:t xml:space="preserve"> on </w:t>
      </w:r>
      <w:r w:rsidR="001E75C9" w:rsidRPr="00CB5B70">
        <w:rPr>
          <w:rFonts w:ascii="Times New Roman" w:eastAsia="Times New Roman" w:hAnsi="Times New Roman" w:cs="Times New Roman"/>
        </w:rPr>
        <w:t>Figure 1</w:t>
      </w:r>
      <w:r w:rsidR="00561123" w:rsidRPr="00CB5B70">
        <w:rPr>
          <w:rFonts w:ascii="Times New Roman" w:eastAsia="Times New Roman" w:hAnsi="Times New Roman" w:cs="Times New Roman"/>
        </w:rPr>
        <w:t>,</w:t>
      </w:r>
      <w:r w:rsidRPr="00CB5B70">
        <w:rPr>
          <w:rFonts w:ascii="Times New Roman" w:eastAsia="Times New Roman" w:hAnsi="Times New Roman" w:cs="Times New Roman"/>
        </w:rPr>
        <w:t xml:space="preserve"> </w:t>
      </w:r>
      <w:r w:rsidR="00BB5496" w:rsidRPr="00CB5B70">
        <w:rPr>
          <w:rFonts w:ascii="Times New Roman" w:eastAsia="Times New Roman" w:hAnsi="Times New Roman" w:cs="Times New Roman"/>
        </w:rPr>
        <w:t>showing RIV values and corresponding start (</w:t>
      </w:r>
      <m:oMath>
        <m:r>
          <w:rPr>
            <w:rFonts w:ascii="Cambria Math" w:eastAsia="Times New Roman" w:hAnsi="Cambria Math" w:cs="Times New Roman"/>
          </w:rPr>
          <m:t>R</m:t>
        </m:r>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start</m:t>
            </m:r>
          </m:sub>
        </m:sSub>
      </m:oMath>
      <w:r w:rsidR="00BB5496" w:rsidRPr="00CB5B70">
        <w:rPr>
          <w:rFonts w:ascii="Times New Roman" w:eastAsia="Times New Roman" w:hAnsi="Times New Roman" w:cs="Times New Roman"/>
        </w:rPr>
        <w:t>) and length (</w:t>
      </w:r>
      <m:oMath>
        <m:sSub>
          <m:sSubPr>
            <m:ctrlPr>
              <w:rPr>
                <w:rFonts w:ascii="Cambria Math" w:eastAsia="Times New Roman" w:hAnsi="Cambria Math" w:cs="Times New Roman"/>
                <w:i/>
              </w:rPr>
            </m:ctrlPr>
          </m:sSubPr>
          <m:e>
            <m:r>
              <w:rPr>
                <w:rFonts w:ascii="Cambria Math" w:eastAsia="Times New Roman" w:hAnsi="Cambria Math" w:cs="Times New Roman"/>
              </w:rPr>
              <m:t>L</m:t>
            </m:r>
          </m:e>
          <m:sub>
            <m:r>
              <w:rPr>
                <w:rFonts w:ascii="Cambria Math" w:eastAsia="Times New Roman" w:hAnsi="Cambria Math" w:cs="Times New Roman"/>
              </w:rPr>
              <m:t>RB</m:t>
            </m:r>
          </m:sub>
        </m:sSub>
      </m:oMath>
      <w:r w:rsidR="00BB5496" w:rsidRPr="00CB5B70">
        <w:rPr>
          <w:rFonts w:ascii="Times New Roman" w:eastAsia="Times New Roman" w:hAnsi="Times New Roman" w:cs="Times New Roman"/>
        </w:rPr>
        <w:t>) for 24RB BWP.</w:t>
      </w:r>
      <w:r w:rsidRPr="00CB5B70">
        <w:rPr>
          <w:rFonts w:ascii="Times New Roman" w:eastAsia="Times New Roman" w:hAnsi="Times New Roman" w:cs="Times New Roman"/>
        </w:rPr>
        <w:t xml:space="preserve"> If most significant bits of RIV value </w:t>
      </w:r>
      <w:r w:rsidR="00073324" w:rsidRPr="00CB5B70">
        <w:rPr>
          <w:rFonts w:ascii="Times New Roman" w:eastAsia="Times New Roman" w:hAnsi="Times New Roman" w:cs="Times New Roman"/>
        </w:rPr>
        <w:t>are</w:t>
      </w:r>
      <w:r w:rsidRPr="00CB5B70">
        <w:rPr>
          <w:rFonts w:ascii="Times New Roman" w:eastAsia="Times New Roman" w:hAnsi="Times New Roman" w:cs="Times New Roman"/>
        </w:rPr>
        <w:t xml:space="preserve"> set to 0, gNB can schedule only small allocations or full BW</w:t>
      </w:r>
      <w:r w:rsidR="00EA7690" w:rsidRPr="00CB5B70">
        <w:rPr>
          <w:rFonts w:ascii="Times New Roman" w:eastAsia="Times New Roman" w:hAnsi="Times New Roman" w:cs="Times New Roman"/>
        </w:rPr>
        <w:t xml:space="preserve"> corresponding to low values of RIV</w:t>
      </w:r>
      <w:r w:rsidRPr="00CB5B70">
        <w:rPr>
          <w:rFonts w:ascii="Times New Roman" w:eastAsia="Times New Roman" w:hAnsi="Times New Roman" w:cs="Times New Roman"/>
        </w:rPr>
        <w:t xml:space="preserve">. </w:t>
      </w:r>
      <w:r w:rsidRPr="00CB5B70">
        <w:rPr>
          <w:rFonts w:ascii="Times New Roman" w:eastAsia="Times New Roman" w:hAnsi="Times New Roman" w:cs="Times New Roman"/>
          <w:b/>
          <w:bCs/>
        </w:rPr>
        <w:t>While small-allocations are sufficient for</w:t>
      </w:r>
      <w:r w:rsidR="002C5927" w:rsidRPr="00CB5B70">
        <w:rPr>
          <w:rFonts w:ascii="Times New Roman" w:eastAsia="Times New Roman" w:hAnsi="Times New Roman" w:cs="Times New Roman"/>
          <w:b/>
          <w:bCs/>
        </w:rPr>
        <w:t xml:space="preserve"> </w:t>
      </w:r>
      <w:r w:rsidR="00AE47F0" w:rsidRPr="00CB5B70">
        <w:rPr>
          <w:rFonts w:ascii="Times New Roman" w:eastAsia="Times New Roman" w:hAnsi="Times New Roman" w:cs="Times New Roman"/>
          <w:b/>
          <w:bCs/>
        </w:rPr>
        <w:t>scheduling</w:t>
      </w:r>
      <w:r w:rsidRPr="00CB5B70">
        <w:rPr>
          <w:rFonts w:ascii="Times New Roman" w:eastAsia="Times New Roman" w:hAnsi="Times New Roman" w:cs="Times New Roman"/>
          <w:b/>
          <w:bCs/>
        </w:rPr>
        <w:t xml:space="preserve"> RAR (as in LTE), for regular scheduling after BWP switch it might be too restrictive</w:t>
      </w:r>
      <w:r w:rsidRPr="00CB5B70">
        <w:rPr>
          <w:rFonts w:ascii="Times New Roman" w:eastAsia="Times New Roman" w:hAnsi="Times New Roman" w:cs="Times New Roman"/>
        </w:rPr>
        <w:t>.</w:t>
      </w:r>
      <w:r w:rsidR="00EA7690" w:rsidRPr="00CB5B70">
        <w:rPr>
          <w:rFonts w:ascii="Times New Roman" w:eastAsia="Times New Roman" w:hAnsi="Times New Roman" w:cs="Times New Roman"/>
        </w:rPr>
        <w:t xml:space="preserve"> </w:t>
      </w:r>
      <w:r w:rsidR="00BB5496" w:rsidRPr="00CB5B70">
        <w:rPr>
          <w:rFonts w:ascii="Times New Roman" w:eastAsia="Times New Roman" w:hAnsi="Times New Roman" w:cs="Times New Roman"/>
        </w:rPr>
        <w:t>And the issue becomes more significant</w:t>
      </w:r>
      <w:r w:rsidR="00EA7690" w:rsidRPr="00CB5B70">
        <w:rPr>
          <w:rFonts w:ascii="Times New Roman" w:eastAsia="Times New Roman" w:hAnsi="Times New Roman" w:cs="Times New Roman"/>
        </w:rPr>
        <w:t xml:space="preserve">, if in addition to first </w:t>
      </w:r>
      <w:r w:rsidR="00BB5496" w:rsidRPr="00CB5B70">
        <w:rPr>
          <w:rFonts w:ascii="Times New Roman" w:eastAsia="Times New Roman" w:hAnsi="Times New Roman" w:cs="Times New Roman"/>
        </w:rPr>
        <w:t>Px</w:t>
      </w:r>
      <w:r w:rsidR="00EA7690" w:rsidRPr="00CB5B70">
        <w:rPr>
          <w:rFonts w:ascii="Times New Roman" w:eastAsia="Times New Roman" w:hAnsi="Times New Roman" w:cs="Times New Roman"/>
        </w:rPr>
        <w:t xml:space="preserve">SCH after switching this restriction </w:t>
      </w:r>
      <w:r w:rsidR="00BB5496" w:rsidRPr="00CB5B70">
        <w:rPr>
          <w:rFonts w:ascii="Times New Roman" w:eastAsia="Times New Roman" w:hAnsi="Times New Roman" w:cs="Times New Roman"/>
        </w:rPr>
        <w:t>applies also</w:t>
      </w:r>
      <w:r w:rsidR="00EA7690" w:rsidRPr="00CB5B70">
        <w:rPr>
          <w:rFonts w:ascii="Times New Roman" w:eastAsia="Times New Roman" w:hAnsi="Times New Roman" w:cs="Times New Roman"/>
        </w:rPr>
        <w:t xml:space="preserve"> to</w:t>
      </w:r>
      <w:r w:rsidR="00BB5496" w:rsidRPr="00CB5B70">
        <w:rPr>
          <w:rFonts w:ascii="Times New Roman" w:eastAsia="Times New Roman" w:hAnsi="Times New Roman" w:cs="Times New Roman"/>
        </w:rPr>
        <w:t xml:space="preserve"> all Px</w:t>
      </w:r>
      <w:r w:rsidR="00EA7690" w:rsidRPr="00CB5B70">
        <w:rPr>
          <w:rFonts w:ascii="Times New Roman" w:eastAsia="Times New Roman" w:hAnsi="Times New Roman" w:cs="Times New Roman"/>
        </w:rPr>
        <w:t>SCH scheduled by fall-back DCI as discussed in</w:t>
      </w:r>
      <w:r w:rsidR="00FE559A" w:rsidRPr="00CB5B70">
        <w:rPr>
          <w:rFonts w:ascii="Times New Roman" w:eastAsia="Times New Roman" w:hAnsi="Times New Roman" w:cs="Times New Roman"/>
        </w:rPr>
        <w:t xml:space="preserve"> Section 3 of</w:t>
      </w:r>
      <w:r w:rsidR="00EA7690" w:rsidRPr="00CB5B70">
        <w:rPr>
          <w:rFonts w:ascii="Times New Roman" w:eastAsia="Times New Roman" w:hAnsi="Times New Roman" w:cs="Times New Roman"/>
        </w:rPr>
        <w:t xml:space="preserve"> accompanying contribution </w:t>
      </w:r>
      <w:r w:rsidR="000D330F" w:rsidRPr="00CB5B70">
        <w:rPr>
          <w:rFonts w:ascii="Times New Roman" w:hAnsi="Times New Roman" w:cs="Times New Roman"/>
        </w:rPr>
        <w:fldChar w:fldCharType="begin"/>
      </w:r>
      <w:r w:rsidR="000D330F" w:rsidRPr="00CB5B70">
        <w:rPr>
          <w:rFonts w:ascii="Times New Roman" w:eastAsia="Times New Roman" w:hAnsi="Times New Roman" w:cs="Times New Roman"/>
        </w:rPr>
        <w:instrText xml:space="preserve"> REF _Ref510623357 \r \h  \* MERGEFORMAT </w:instrText>
      </w:r>
      <w:r w:rsidR="000D330F" w:rsidRPr="00CB5B70">
        <w:rPr>
          <w:rFonts w:ascii="Times New Roman" w:hAnsi="Times New Roman" w:cs="Times New Roman"/>
        </w:rPr>
      </w:r>
      <w:r w:rsidR="000D330F" w:rsidRPr="00CB5B70">
        <w:rPr>
          <w:rFonts w:ascii="Times New Roman" w:eastAsia="Times New Roman" w:hAnsi="Times New Roman" w:cs="Times New Roman"/>
        </w:rPr>
        <w:fldChar w:fldCharType="separate"/>
      </w:r>
      <w:r w:rsidR="000D330F" w:rsidRPr="00CB5B70">
        <w:rPr>
          <w:rFonts w:ascii="Times New Roman" w:eastAsia="Times New Roman" w:hAnsi="Times New Roman" w:cs="Times New Roman"/>
        </w:rPr>
        <w:t>[1]</w:t>
      </w:r>
      <w:r w:rsidR="000D330F" w:rsidRPr="00CB5B70">
        <w:rPr>
          <w:rFonts w:ascii="Times New Roman" w:hAnsi="Times New Roman" w:cs="Times New Roman"/>
        </w:rPr>
        <w:fldChar w:fldCharType="end"/>
      </w:r>
      <w:r w:rsidR="000D330F" w:rsidRPr="00CB5B70">
        <w:rPr>
          <w:rFonts w:ascii="Times New Roman" w:eastAsia="Times New Roman" w:hAnsi="Times New Roman" w:cs="Times New Roman"/>
        </w:rPr>
        <w:t>.</w:t>
      </w:r>
    </w:p>
    <w:p w14:paraId="1210CC7F" w14:textId="36FAEBE5" w:rsidR="00B7595A" w:rsidRDefault="009E3A62" w:rsidP="00B7595A">
      <w:pPr>
        <w:keepNext/>
      </w:pPr>
      <w:r>
        <w:rPr>
          <w:noProof/>
        </w:rPr>
        <w:lastRenderedPageBreak/>
        <w:drawing>
          <wp:inline distT="0" distB="0" distL="0" distR="0" wp14:anchorId="533883BC" wp14:editId="293F8C3C">
            <wp:extent cx="6120765" cy="290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901950"/>
                    </a:xfrm>
                    <a:prstGeom prst="rect">
                      <a:avLst/>
                    </a:prstGeom>
                  </pic:spPr>
                </pic:pic>
              </a:graphicData>
            </a:graphic>
          </wp:inline>
        </w:drawing>
      </w:r>
    </w:p>
    <w:p w14:paraId="63472349" w14:textId="5CE6B2D3" w:rsidR="000E3284" w:rsidRDefault="00B7595A" w:rsidP="15ADEE61">
      <w:pPr>
        <w:pStyle w:val="Caption"/>
        <w:jc w:val="center"/>
        <w:rPr>
          <w:rFonts w:ascii="Times New Roman" w:eastAsia="Times New Roman" w:hAnsi="Times New Roman" w:cs="Times New Roman"/>
        </w:rPr>
      </w:pPr>
      <w:r>
        <w:t>Figure</w:t>
      </w:r>
      <w:r w:rsidRPr="15ADEE61">
        <w:t xml:space="preserve"> </w:t>
      </w:r>
      <w:r w:rsidR="00D45EB9" w:rsidRPr="6A0AD366">
        <w:fldChar w:fldCharType="begin"/>
      </w:r>
      <w:r w:rsidR="00D45EB9">
        <w:instrText xml:space="preserve"> SEQ Figure \* ARABIC </w:instrText>
      </w:r>
      <w:r w:rsidR="00D45EB9" w:rsidRPr="6A0AD366">
        <w:fldChar w:fldCharType="separate"/>
      </w:r>
      <w:r w:rsidR="001E75C9">
        <w:rPr>
          <w:noProof/>
        </w:rPr>
        <w:t>1</w:t>
      </w:r>
      <w:r w:rsidR="00D45EB9" w:rsidRPr="6A0AD366">
        <w:fldChar w:fldCharType="end"/>
      </w:r>
      <w:r w:rsidR="009E3A62">
        <w:rPr>
          <w:lang w:val="en-US"/>
        </w:rPr>
        <w:t xml:space="preserve"> RB</w:t>
      </w:r>
      <w:r w:rsidRPr="009E3A62">
        <w:rPr>
          <w:vertAlign w:val="subscript"/>
          <w:lang w:val="en-US"/>
        </w:rPr>
        <w:t>start</w:t>
      </w:r>
      <w:r>
        <w:rPr>
          <w:lang w:val="en-US"/>
        </w:rPr>
        <w:t xml:space="preserve"> and L</w:t>
      </w:r>
      <w:r w:rsidRPr="009E3A62">
        <w:rPr>
          <w:vertAlign w:val="subscript"/>
          <w:lang w:val="en-US"/>
        </w:rPr>
        <w:t>RB</w:t>
      </w:r>
      <w:r>
        <w:rPr>
          <w:lang w:val="en-US"/>
        </w:rPr>
        <w:t xml:space="preserve"> to RIV mapping for 24RB BWP</w:t>
      </w:r>
    </w:p>
    <w:p w14:paraId="323B9DEB" w14:textId="08419FFB" w:rsidR="000E3284" w:rsidRDefault="000E3284" w:rsidP="00A67D2F">
      <w:pPr>
        <w:jc w:val="center"/>
        <w:rPr>
          <w:rFonts w:ascii="Times New Roman" w:eastAsia="Times New Roman" w:hAnsi="Times New Roman" w:cs="Times New Roman"/>
        </w:rPr>
      </w:pPr>
    </w:p>
    <w:p w14:paraId="0223FCA5" w14:textId="51B4018A" w:rsidR="00494BC3" w:rsidRPr="00CB5B70" w:rsidRDefault="6A0AD366" w:rsidP="6A0AD366">
      <w:pPr>
        <w:jc w:val="both"/>
        <w:rPr>
          <w:rFonts w:ascii="Times New Roman" w:eastAsia="Times New Roman" w:hAnsi="Times New Roman" w:cs="Times New Roman"/>
          <w:b/>
          <w:bCs/>
          <w:szCs w:val="20"/>
        </w:rPr>
      </w:pPr>
      <w:r w:rsidRPr="00CB5B70">
        <w:rPr>
          <w:rFonts w:ascii="Times New Roman" w:eastAsia="Times New Roman" w:hAnsi="Times New Roman" w:cs="Times New Roman"/>
          <w:b/>
          <w:bCs/>
          <w:szCs w:val="20"/>
        </w:rPr>
        <w:t>Observation-1: Padding the RIV value with zeros results in undesirable pruning of start and/or length values. This might be sufficient for scheduling of RAR, but not for regular data channels.</w:t>
      </w:r>
    </w:p>
    <w:p w14:paraId="09A97B01" w14:textId="03BFC47D" w:rsidR="002B377C" w:rsidRPr="00CB5B70" w:rsidRDefault="00A66544" w:rsidP="6A0AD366">
      <w:pPr>
        <w:jc w:val="both"/>
        <w:rPr>
          <w:rFonts w:ascii="Times New Roman" w:eastAsia="Times New Roman" w:hAnsi="Times New Roman" w:cs="Times New Roman"/>
          <w:szCs w:val="20"/>
        </w:rPr>
      </w:pPr>
      <w:r w:rsidRPr="00CB5B70">
        <w:rPr>
          <w:rFonts w:ascii="Times New Roman" w:eastAsia="Times New Roman" w:hAnsi="Times New Roman" w:cs="Times New Roman"/>
          <w:szCs w:val="20"/>
        </w:rPr>
        <w:t>Therefore, we propose a modification to WA for TYPE1 RA, where the DCI RA-</w:t>
      </w:r>
      <w:r w:rsidR="004576AC" w:rsidRPr="00CB5B70">
        <w:rPr>
          <w:rFonts w:ascii="Times New Roman" w:eastAsia="Times New Roman" w:hAnsi="Times New Roman" w:cs="Times New Roman"/>
          <w:szCs w:val="20"/>
        </w:rPr>
        <w:t>bit</w:t>
      </w:r>
      <w:r w:rsidRPr="00CB5B70">
        <w:rPr>
          <w:rFonts w:ascii="Times New Roman" w:eastAsia="Times New Roman" w:hAnsi="Times New Roman" w:cs="Times New Roman"/>
          <w:szCs w:val="20"/>
        </w:rPr>
        <w:t>field is interp</w:t>
      </w:r>
      <w:r w:rsidR="004576AC" w:rsidRPr="00CB5B70">
        <w:rPr>
          <w:rFonts w:ascii="Times New Roman" w:eastAsia="Times New Roman" w:hAnsi="Times New Roman" w:cs="Times New Roman"/>
          <w:szCs w:val="20"/>
        </w:rPr>
        <w:t>reted based on the shortened</w:t>
      </w:r>
      <w:r w:rsidR="006A00D3" w:rsidRPr="00CB5B70">
        <w:rPr>
          <w:rFonts w:ascii="Times New Roman" w:eastAsia="Times New Roman" w:hAnsi="Times New Roman" w:cs="Times New Roman"/>
          <w:szCs w:val="20"/>
        </w:rPr>
        <w:t xml:space="preserve"> virtual</w:t>
      </w:r>
      <w:r w:rsidR="004576AC" w:rsidRPr="00CB5B70">
        <w:rPr>
          <w:rFonts w:ascii="Times New Roman" w:eastAsia="Times New Roman" w:hAnsi="Times New Roman" w:cs="Times New Roman"/>
          <w:szCs w:val="20"/>
        </w:rPr>
        <w:t xml:space="preserve"> BW</w:t>
      </w:r>
      <w:r w:rsidR="006A00D3" w:rsidRPr="00CB5B70">
        <w:rPr>
          <w:rFonts w:ascii="Times New Roman" w:eastAsia="Times New Roman" w:hAnsi="Times New Roman" w:cs="Times New Roman"/>
          <w:szCs w:val="20"/>
        </w:rPr>
        <w:t xml:space="preserve">P, as shown in Figure </w:t>
      </w:r>
      <w:r w:rsidR="0019039A" w:rsidRPr="00CB5B70">
        <w:rPr>
          <w:rFonts w:ascii="Times New Roman" w:eastAsia="Times New Roman" w:hAnsi="Times New Roman" w:cs="Times New Roman"/>
          <w:szCs w:val="20"/>
        </w:rPr>
        <w:t>2</w:t>
      </w:r>
      <w:r w:rsidR="004576AC" w:rsidRPr="00CB5B70">
        <w:rPr>
          <w:rFonts w:ascii="Times New Roman" w:eastAsia="Times New Roman" w:hAnsi="Times New Roman" w:cs="Times New Roman"/>
          <w:szCs w:val="20"/>
        </w:rPr>
        <w:t xml:space="preserve">. The shortened </w:t>
      </w:r>
      <w:r w:rsidR="00905C72" w:rsidRPr="00CB5B70">
        <w:rPr>
          <w:rFonts w:ascii="Times New Roman" w:eastAsia="Times New Roman" w:hAnsi="Times New Roman" w:cs="Times New Roman"/>
          <w:szCs w:val="20"/>
        </w:rPr>
        <w:t xml:space="preserve">virtual </w:t>
      </w:r>
      <w:r w:rsidR="004576AC" w:rsidRPr="00CB5B70">
        <w:rPr>
          <w:rFonts w:ascii="Times New Roman" w:eastAsia="Times New Roman" w:hAnsi="Times New Roman" w:cs="Times New Roman"/>
          <w:szCs w:val="20"/>
        </w:rPr>
        <w:t xml:space="preserve">BW is determined given the size of the RA-bitfield </w:t>
      </w:r>
      <w:r w:rsidR="00BB5496" w:rsidRPr="00CB5B70">
        <w:rPr>
          <w:rFonts w:ascii="Times New Roman" w:eastAsia="Times New Roman" w:hAnsi="Times New Roman" w:cs="Times New Roman"/>
          <w:i/>
          <w:iCs/>
          <w:szCs w:val="20"/>
        </w:rPr>
        <w:t>b</w:t>
      </w:r>
      <w:r w:rsidR="00BB5496" w:rsidRPr="00CB5B70">
        <w:rPr>
          <w:rFonts w:ascii="Times New Roman" w:eastAsia="Times New Roman" w:hAnsi="Times New Roman" w:cs="Times New Roman"/>
          <w:szCs w:val="20"/>
        </w:rPr>
        <w:t xml:space="preserve"> </w:t>
      </w:r>
      <w:r w:rsidR="004576AC" w:rsidRPr="00CB5B70">
        <w:rPr>
          <w:rFonts w:ascii="Times New Roman" w:eastAsia="Times New Roman" w:hAnsi="Times New Roman" w:cs="Times New Roman"/>
          <w:szCs w:val="20"/>
        </w:rPr>
        <w:t>of the BWP</w:t>
      </w:r>
      <w:r w:rsidR="00BB5496" w:rsidRPr="00CB5B70">
        <w:rPr>
          <w:rFonts w:ascii="Times New Roman" w:eastAsia="Times New Roman" w:hAnsi="Times New Roman" w:cs="Times New Roman"/>
          <w:szCs w:val="20"/>
        </w:rPr>
        <w:t xml:space="preserve"> where switching DCI is transmitted</w:t>
      </w:r>
      <w:r w:rsidR="004576AC" w:rsidRPr="00CB5B70">
        <w:rPr>
          <w:rFonts w:ascii="Times New Roman" w:eastAsia="Times New Roman" w:hAnsi="Times New Roman" w:cs="Times New Roman"/>
          <w:szCs w:val="20"/>
        </w:rPr>
        <w:t xml:space="preserve">, as </w:t>
      </w:r>
      <w:r w:rsidR="004576AC" w:rsidRPr="00CB5B70">
        <w:rPr>
          <w:rFonts w:ascii="Times New Roman" w:hAnsi="Times New Roman" w:cs="Times New Roman"/>
          <w:b/>
          <w:color w:val="FF0000"/>
          <w:position w:val="-36"/>
          <w:szCs w:val="20"/>
        </w:rPr>
        <w:object w:dxaOrig="2400" w:dyaOrig="840" w14:anchorId="51792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42pt" o:ole="">
            <v:imagedata r:id="rId15" o:title=""/>
          </v:shape>
          <o:OLEObject Type="Embed" ProgID="Equation.DSMT4" ShapeID="_x0000_i1025" DrawAspect="Content" ObjectID="_1587570360" r:id="rId16"/>
        </w:object>
      </w:r>
      <w:r w:rsidR="004576AC" w:rsidRPr="00CB5B70">
        <w:rPr>
          <w:rFonts w:ascii="Times New Roman" w:eastAsia="Times New Roman" w:hAnsi="Times New Roman" w:cs="Times New Roman"/>
          <w:szCs w:val="20"/>
        </w:rPr>
        <w:t>.</w:t>
      </w:r>
      <w:r w:rsidR="00561123" w:rsidRPr="00CB5B70">
        <w:rPr>
          <w:rFonts w:ascii="Times New Roman" w:eastAsia="Times New Roman" w:hAnsi="Times New Roman" w:cs="Times New Roman"/>
          <w:szCs w:val="20"/>
        </w:rPr>
        <w:t xml:space="preserve"> The interpretation of RA bitfield according to size of virtual BWP’#1 allows for larger allocations compared to interpretation according to the size of BWP#0.</w:t>
      </w:r>
    </w:p>
    <w:p w14:paraId="7C6E11DC" w14:textId="25B02B0C" w:rsidR="00905C72" w:rsidRDefault="00905C72" w:rsidP="00C06B18">
      <w:pPr>
        <w:jc w:val="both"/>
      </w:pPr>
    </w:p>
    <w:p w14:paraId="131198E2" w14:textId="1043D57C" w:rsidR="00905C72" w:rsidRDefault="00D77853" w:rsidP="00905C72">
      <w:pPr>
        <w:keepNext/>
        <w:jc w:val="center"/>
      </w:pPr>
      <w:r>
        <w:object w:dxaOrig="7188" w:dyaOrig="2172" w14:anchorId="0B250D4E">
          <v:shape id="_x0000_i1026" type="#_x0000_t75" style="width:336pt;height:102pt" o:ole="">
            <v:imagedata r:id="rId17" o:title=""/>
          </v:shape>
          <o:OLEObject Type="Embed" ProgID="Visio.Drawing.15" ShapeID="_x0000_i1026" DrawAspect="Content" ObjectID="_1587570361" r:id="rId18"/>
        </w:object>
      </w:r>
    </w:p>
    <w:p w14:paraId="7270243A" w14:textId="5D3AC0AB" w:rsidR="00905C72" w:rsidRPr="00C06B18" w:rsidRDefault="00905C72" w:rsidP="15ADEE61">
      <w:pPr>
        <w:pStyle w:val="Caption"/>
        <w:jc w:val="center"/>
        <w:rPr>
          <w:rFonts w:ascii="Times New Roman" w:eastAsia="Times New Roman" w:hAnsi="Times New Roman" w:cs="Times New Roman"/>
        </w:rPr>
      </w:pPr>
      <w:r>
        <w:t>Figure</w:t>
      </w:r>
      <w:r w:rsidRPr="15ADEE61">
        <w:t xml:space="preserve"> </w:t>
      </w:r>
      <w:r w:rsidR="00D45EB9" w:rsidRPr="6A0AD366">
        <w:fldChar w:fldCharType="begin"/>
      </w:r>
      <w:r w:rsidR="00D45EB9">
        <w:instrText xml:space="preserve"> SEQ Figure \* ARABIC </w:instrText>
      </w:r>
      <w:r w:rsidR="00D45EB9" w:rsidRPr="6A0AD366">
        <w:fldChar w:fldCharType="separate"/>
      </w:r>
      <w:r w:rsidR="0019039A">
        <w:rPr>
          <w:noProof/>
        </w:rPr>
        <w:t>2</w:t>
      </w:r>
      <w:r w:rsidR="00D45EB9" w:rsidRPr="6A0AD366">
        <w:fldChar w:fldCharType="end"/>
      </w:r>
      <w:r>
        <w:rPr>
          <w:lang w:val="en-US"/>
        </w:rPr>
        <w:t xml:space="preserve"> TYPE1 - proposed - with shortened virtual BWP size</w:t>
      </w:r>
    </w:p>
    <w:p w14:paraId="31DCDF32" w14:textId="24F2BB6C" w:rsidR="00D562E9" w:rsidRPr="00CB5B70" w:rsidRDefault="00D562E9" w:rsidP="6A0AD366">
      <w:pPr>
        <w:spacing w:after="0"/>
        <w:jc w:val="both"/>
        <w:rPr>
          <w:rFonts w:ascii="Times New Roman" w:hAnsi="Times New Roman" w:cs="Times New Roman"/>
          <w:b/>
          <w:bCs/>
          <w:szCs w:val="20"/>
        </w:rPr>
      </w:pPr>
      <w:bookmarkStart w:id="4" w:name="_Hlk505962253"/>
      <w:r w:rsidRPr="00CB5B70">
        <w:rPr>
          <w:rFonts w:ascii="Times New Roman" w:eastAsia="Times New Roman" w:hAnsi="Times New Roman" w:cs="Times New Roman"/>
          <w:b/>
          <w:bCs/>
          <w:szCs w:val="20"/>
        </w:rPr>
        <w:t xml:space="preserve">Proposal-1: </w:t>
      </w:r>
      <w:r w:rsidRPr="00CB5B70">
        <w:rPr>
          <w:rFonts w:ascii="Times New Roman" w:hAnsi="Times New Roman" w:cs="Times New Roman"/>
          <w:b/>
          <w:bCs/>
          <w:szCs w:val="20"/>
        </w:rPr>
        <w:t xml:space="preserve">For TYPE1 RA in switching DCI, </w:t>
      </w:r>
      <w:r w:rsidRPr="00CB5B70">
        <w:rPr>
          <w:rFonts w:ascii="Times New Roman" w:hAnsi="Times New Roman" w:cs="Times New Roman"/>
          <w:b/>
          <w:bCs/>
          <w:szCs w:val="20"/>
          <w:lang w:eastAsia="x-none"/>
        </w:rPr>
        <w:t>reinterpret the too small bitfield of size b based on virtual BWP size which is determined by</w:t>
      </w:r>
      <w:r w:rsidRPr="00CB5B70">
        <w:rPr>
          <w:rFonts w:ascii="Times New Roman" w:hAnsi="Times New Roman" w:cs="Times New Roman"/>
          <w:b/>
          <w:position w:val="-36"/>
        </w:rPr>
        <w:object w:dxaOrig="2400" w:dyaOrig="840" w14:anchorId="26EB7464">
          <v:shape id="_x0000_i1027" type="#_x0000_t75" style="width:97.2pt;height:32.4pt" o:ole="">
            <v:imagedata r:id="rId15" o:title=""/>
          </v:shape>
          <o:OLEObject Type="Embed" ProgID="Equation.DSMT4" ShapeID="_x0000_i1027" DrawAspect="Content" ObjectID="_1587570362" r:id="rId19"/>
        </w:object>
      </w:r>
      <w:r w:rsidRPr="00CB5B70">
        <w:rPr>
          <w:rFonts w:ascii="Times New Roman" w:hAnsi="Times New Roman" w:cs="Times New Roman"/>
          <w:b/>
          <w:bCs/>
          <w:szCs w:val="20"/>
        </w:rPr>
        <w:t>.</w:t>
      </w:r>
    </w:p>
    <w:bookmarkEnd w:id="4"/>
    <w:p w14:paraId="0B16CF00" w14:textId="77777777" w:rsidR="00D562E9" w:rsidRPr="00CB5B70" w:rsidRDefault="00D562E9" w:rsidP="00B10D1A">
      <w:pPr>
        <w:jc w:val="both"/>
        <w:rPr>
          <w:rFonts w:ascii="Times New Roman" w:eastAsia="Times New Roman" w:hAnsi="Times New Roman" w:cs="Times New Roman"/>
        </w:rPr>
      </w:pPr>
    </w:p>
    <w:p w14:paraId="6D9C16F3" w14:textId="0D4A364D" w:rsidR="003F174E" w:rsidRPr="00CB5B70" w:rsidRDefault="6A0AD366" w:rsidP="6A0AD366">
      <w:pPr>
        <w:jc w:val="both"/>
        <w:rPr>
          <w:rFonts w:ascii="Times New Roman" w:eastAsia="Times New Roman" w:hAnsi="Times New Roman" w:cs="Times New Roman"/>
          <w:szCs w:val="20"/>
        </w:rPr>
      </w:pPr>
      <w:r w:rsidRPr="00CB5B70">
        <w:rPr>
          <w:rFonts w:ascii="Times New Roman" w:eastAsia="Times New Roman" w:hAnsi="Times New Roman" w:cs="Times New Roman"/>
          <w:szCs w:val="20"/>
        </w:rPr>
        <w:t xml:space="preserve">On the other hand, the first slot after transition period could be scheduled from the new BWP instead, but it cannot be, because UE would be mandated to process two PDSCH at the same time, which can be part of UE’s </w:t>
      </w:r>
      <w:r w:rsidR="00862B53" w:rsidRPr="00CB5B70">
        <w:rPr>
          <w:rFonts w:ascii="Times New Roman" w:eastAsia="Times New Roman" w:hAnsi="Times New Roman" w:cs="Times New Roman"/>
          <w:szCs w:val="20"/>
        </w:rPr>
        <w:t xml:space="preserve">optional </w:t>
      </w:r>
      <w:r w:rsidRPr="00CB5B70">
        <w:rPr>
          <w:rFonts w:ascii="Times New Roman" w:eastAsia="Times New Roman" w:hAnsi="Times New Roman" w:cs="Times New Roman"/>
          <w:szCs w:val="20"/>
        </w:rPr>
        <w:t>capability, but not a mandatory feature</w:t>
      </w:r>
      <w:r w:rsidR="00CB5B70">
        <w:rPr>
          <w:rFonts w:ascii="Times New Roman" w:eastAsia="Times New Roman" w:hAnsi="Times New Roman" w:cs="Times New Roman"/>
          <w:szCs w:val="20"/>
        </w:rPr>
        <w:t xml:space="preserve"> (open issue)</w:t>
      </w:r>
      <w:r w:rsidRPr="00CB5B70">
        <w:rPr>
          <w:rFonts w:ascii="Times New Roman" w:eastAsia="Times New Roman" w:hAnsi="Times New Roman" w:cs="Times New Roman"/>
          <w:szCs w:val="20"/>
        </w:rPr>
        <w:t>. One possible way to tackle this issue is to support zero-RA “dummy” scheduling DCI for switching, but it was objected by several companies</w:t>
      </w:r>
      <w:r w:rsidR="00862B53" w:rsidRPr="00CB5B70">
        <w:rPr>
          <w:rFonts w:ascii="Times New Roman" w:eastAsia="Times New Roman" w:hAnsi="Times New Roman" w:cs="Times New Roman"/>
          <w:szCs w:val="20"/>
        </w:rPr>
        <w:t xml:space="preserve"> in RAN1#92b</w:t>
      </w:r>
      <w:r w:rsidRPr="00CB5B70">
        <w:rPr>
          <w:rFonts w:ascii="Times New Roman" w:eastAsia="Times New Roman" w:hAnsi="Times New Roman" w:cs="Times New Roman"/>
          <w:szCs w:val="20"/>
        </w:rPr>
        <w:t xml:space="preserve">. Other possible way to enable unrestricted scheduling could be to support BWP switching scheduling DCI </w:t>
      </w:r>
      <w:r w:rsidRPr="00CB5B70">
        <w:rPr>
          <w:rFonts w:ascii="Times New Roman" w:eastAsia="Times New Roman" w:hAnsi="Times New Roman" w:cs="Times New Roman"/>
          <w:szCs w:val="20"/>
        </w:rPr>
        <w:lastRenderedPageBreak/>
        <w:t xml:space="preserve">override. The override could be formulated correspondingly: If UE receives DCI 1_1 or DCI 0_1 scrambled with C-RNTI for slot indicated by K0 or K2 in BWP switching DCI 1_1 or DCI 0_1, respectively, the UE does not transmit ACK/NACK nor PUSCH triggered by the switching DCI. </w:t>
      </w:r>
      <w:r w:rsidR="00B6184C" w:rsidRPr="00CB5B70">
        <w:rPr>
          <w:rFonts w:ascii="Times New Roman" w:eastAsia="Times New Roman" w:hAnsi="Times New Roman" w:cs="Times New Roman"/>
          <w:szCs w:val="20"/>
        </w:rPr>
        <w:t>Note that</w:t>
      </w:r>
      <w:r w:rsidR="00862B53" w:rsidRPr="00CB5B70">
        <w:rPr>
          <w:rFonts w:ascii="Times New Roman" w:eastAsia="Times New Roman" w:hAnsi="Times New Roman" w:cs="Times New Roman"/>
          <w:szCs w:val="20"/>
        </w:rPr>
        <w:t xml:space="preserve"> override of older DCI by earlier DCI is also discussion in URLLC AI.</w:t>
      </w:r>
      <w:r w:rsidRPr="00CB5B70">
        <w:rPr>
          <w:rFonts w:ascii="Times New Roman" w:eastAsia="Times New Roman" w:hAnsi="Times New Roman" w:cs="Times New Roman"/>
          <w:szCs w:val="20"/>
        </w:rPr>
        <w:t xml:space="preserve">   </w:t>
      </w:r>
    </w:p>
    <w:p w14:paraId="3C6CA462" w14:textId="635F87F1" w:rsidR="00D562E9" w:rsidRPr="00CB5B70" w:rsidRDefault="6A0AD366" w:rsidP="6A0AD366">
      <w:pPr>
        <w:jc w:val="both"/>
        <w:rPr>
          <w:rFonts w:ascii="Times New Roman" w:eastAsia="Times New Roman" w:hAnsi="Times New Roman" w:cs="Times New Roman"/>
          <w:b/>
          <w:bCs/>
          <w:szCs w:val="20"/>
        </w:rPr>
      </w:pPr>
      <w:r w:rsidRPr="00CB5B70">
        <w:rPr>
          <w:rFonts w:ascii="Times New Roman" w:eastAsia="Times New Roman" w:hAnsi="Times New Roman" w:cs="Times New Roman"/>
          <w:b/>
          <w:bCs/>
          <w:szCs w:val="20"/>
        </w:rPr>
        <w:t xml:space="preserve">Proposal-2: If UE receives DCI 1_1 or DCI 0_1 scrambled with C-RNTI for slot indicated by K0 or K2 in BWP switching DCI 1_1 or DCI 0_1, respectively, the UE is not expected to transmit ACK/NACK nor PUSCH triggered by the switching DCI, and follows the received DCI.  </w:t>
      </w:r>
    </w:p>
    <w:p w14:paraId="0DE37D92" w14:textId="29EDD36F" w:rsidR="00D562E9" w:rsidRDefault="00D562E9" w:rsidP="00B10D1A">
      <w:pPr>
        <w:jc w:val="both"/>
        <w:rPr>
          <w:rFonts w:ascii="Times New Roman" w:eastAsia="Times New Roman" w:hAnsi="Times New Roman" w:cs="Times New Roman"/>
          <w:sz w:val="20"/>
        </w:rPr>
      </w:pPr>
    </w:p>
    <w:p w14:paraId="23D50C50" w14:textId="3BFEC5D7" w:rsidR="00B90B53" w:rsidRPr="00B90B53" w:rsidRDefault="15ADEE61" w:rsidP="00B90B53">
      <w:pPr>
        <w:pStyle w:val="Heading2"/>
      </w:pPr>
      <w:bookmarkStart w:id="5" w:name="_Hlk513827897"/>
      <w:r>
        <w:t xml:space="preserve">Clarification </w:t>
      </w:r>
      <w:r w:rsidR="00862B53">
        <w:t>on cross-numerology scheduling</w:t>
      </w:r>
      <w:bookmarkEnd w:id="5"/>
    </w:p>
    <w:p w14:paraId="4F0D1AEE" w14:textId="4DD9100F" w:rsidR="00DC6AFB" w:rsidRPr="00862B53" w:rsidRDefault="00F932AB" w:rsidP="00DC6AFB">
      <w:pPr>
        <w:jc w:val="both"/>
        <w:rPr>
          <w:rFonts w:ascii="Times New Roman" w:eastAsia="Times New Roman" w:hAnsi="Times New Roman" w:cs="Times New Roman"/>
          <w:i/>
          <w:color w:val="000000"/>
          <w:sz w:val="20"/>
          <w:szCs w:val="20"/>
          <w:lang w:val="en-GB"/>
        </w:rPr>
      </w:pPr>
      <w:r w:rsidRPr="00CB5B70">
        <w:rPr>
          <w:rFonts w:ascii="Times New Roman" w:eastAsia="Times New Roman" w:hAnsi="Times New Roman" w:cs="Times New Roman"/>
          <w:color w:val="000000" w:themeColor="text1"/>
          <w:szCs w:val="21"/>
        </w:rPr>
        <w:t>NR R15 supports, feature 6-4 (BWPs of different numerology within a serving cell) as well as feature 6-9 (Different numerologies across carriers within the same PUCCH group)</w:t>
      </w:r>
      <w:r w:rsidR="0070537B" w:rsidRPr="00CB5B70">
        <w:rPr>
          <w:rFonts w:ascii="Times New Roman" w:eastAsia="Times New Roman" w:hAnsi="Times New Roman" w:cs="Times New Roman"/>
          <w:color w:val="000000" w:themeColor="text1"/>
          <w:szCs w:val="21"/>
        </w:rPr>
        <w:t>.</w:t>
      </w:r>
      <w:r w:rsidRPr="00CB5B70">
        <w:rPr>
          <w:rFonts w:ascii="Times New Roman" w:eastAsia="Times New Roman" w:hAnsi="Times New Roman" w:cs="Times New Roman"/>
          <w:color w:val="000000" w:themeColor="text1"/>
          <w:szCs w:val="21"/>
        </w:rPr>
        <w:t xml:space="preserve"> </w:t>
      </w:r>
      <w:r w:rsidR="00862B53" w:rsidRPr="00CB5B70">
        <w:rPr>
          <w:rFonts w:ascii="Times New Roman" w:eastAsia="Times New Roman" w:hAnsi="Times New Roman" w:cs="Times New Roman"/>
          <w:color w:val="000000" w:themeColor="text1"/>
          <w:szCs w:val="21"/>
        </w:rPr>
        <w:t>In feature 6-4</w:t>
      </w:r>
      <w:r w:rsidR="15ADEE61" w:rsidRPr="00CB5B70">
        <w:rPr>
          <w:rFonts w:ascii="Times New Roman" w:eastAsia="Times New Roman" w:hAnsi="Times New Roman" w:cs="Times New Roman"/>
          <w:color w:val="000000" w:themeColor="text1"/>
          <w:szCs w:val="21"/>
        </w:rPr>
        <w:t xml:space="preserve">, </w:t>
      </w:r>
      <w:r w:rsidRPr="00CB5B70">
        <w:rPr>
          <w:rFonts w:ascii="Times New Roman" w:eastAsia="Times New Roman" w:hAnsi="Times New Roman" w:cs="Times New Roman"/>
          <w:color w:val="000000" w:themeColor="text1"/>
          <w:szCs w:val="21"/>
        </w:rPr>
        <w:t>BWP</w:t>
      </w:r>
      <w:r w:rsidR="00862B53" w:rsidRPr="00CB5B70">
        <w:rPr>
          <w:rFonts w:ascii="Times New Roman" w:eastAsia="Times New Roman" w:hAnsi="Times New Roman" w:cs="Times New Roman"/>
          <w:color w:val="000000" w:themeColor="text1"/>
          <w:szCs w:val="21"/>
        </w:rPr>
        <w:t>-</w:t>
      </w:r>
      <w:r w:rsidRPr="00CB5B70">
        <w:rPr>
          <w:rFonts w:ascii="Times New Roman" w:eastAsia="Times New Roman" w:hAnsi="Times New Roman" w:cs="Times New Roman"/>
          <w:color w:val="000000" w:themeColor="text1"/>
          <w:szCs w:val="21"/>
        </w:rPr>
        <w:t xml:space="preserve">switching </w:t>
      </w:r>
      <w:r w:rsidR="15ADEE61" w:rsidRPr="00CB5B70">
        <w:rPr>
          <w:rFonts w:ascii="Times New Roman" w:eastAsia="Times New Roman" w:hAnsi="Times New Roman" w:cs="Times New Roman"/>
          <w:color w:val="000000" w:themeColor="text1"/>
          <w:szCs w:val="21"/>
        </w:rPr>
        <w:t>DCI</w:t>
      </w:r>
      <w:r w:rsidRPr="00CB5B70">
        <w:rPr>
          <w:rFonts w:ascii="Times New Roman" w:eastAsia="Times New Roman" w:hAnsi="Times New Roman" w:cs="Times New Roman"/>
          <w:color w:val="000000" w:themeColor="text1"/>
          <w:szCs w:val="21"/>
        </w:rPr>
        <w:t xml:space="preserve"> transmitted on one BWP</w:t>
      </w:r>
      <w:r w:rsidR="15ADEE61" w:rsidRPr="00CB5B70">
        <w:rPr>
          <w:rFonts w:ascii="Times New Roman" w:eastAsia="Times New Roman" w:hAnsi="Times New Roman" w:cs="Times New Roman"/>
          <w:color w:val="000000" w:themeColor="text1"/>
          <w:szCs w:val="21"/>
        </w:rPr>
        <w:t xml:space="preserve"> </w:t>
      </w:r>
      <w:r w:rsidRPr="00CB5B70">
        <w:rPr>
          <w:rFonts w:ascii="Times New Roman" w:eastAsia="Times New Roman" w:hAnsi="Times New Roman" w:cs="Times New Roman"/>
          <w:color w:val="000000" w:themeColor="text1"/>
          <w:szCs w:val="21"/>
        </w:rPr>
        <w:t xml:space="preserve">schedules shared channel on </w:t>
      </w:r>
      <w:r w:rsidR="00862B53" w:rsidRPr="00CB5B70">
        <w:rPr>
          <w:rFonts w:ascii="Times New Roman" w:eastAsia="Times New Roman" w:hAnsi="Times New Roman" w:cs="Times New Roman"/>
          <w:color w:val="000000" w:themeColor="text1"/>
          <w:szCs w:val="21"/>
        </w:rPr>
        <w:t>an</w:t>
      </w:r>
      <w:r w:rsidRPr="00CB5B70">
        <w:rPr>
          <w:rFonts w:ascii="Times New Roman" w:eastAsia="Times New Roman" w:hAnsi="Times New Roman" w:cs="Times New Roman"/>
          <w:color w:val="000000" w:themeColor="text1"/>
          <w:szCs w:val="21"/>
        </w:rPr>
        <w:t>other BWP of different numerology. Similar situation arise</w:t>
      </w:r>
      <w:r w:rsidR="0037165D" w:rsidRPr="00CB5B70">
        <w:rPr>
          <w:rFonts w:ascii="Times New Roman" w:eastAsia="Times New Roman" w:hAnsi="Times New Roman" w:cs="Times New Roman"/>
          <w:color w:val="000000" w:themeColor="text1"/>
          <w:szCs w:val="21"/>
        </w:rPr>
        <w:t>s</w:t>
      </w:r>
      <w:r w:rsidRPr="00CB5B70">
        <w:rPr>
          <w:rFonts w:ascii="Times New Roman" w:eastAsia="Times New Roman" w:hAnsi="Times New Roman" w:cs="Times New Roman"/>
          <w:color w:val="000000" w:themeColor="text1"/>
          <w:szCs w:val="21"/>
        </w:rPr>
        <w:t xml:space="preserve"> </w:t>
      </w:r>
      <w:r w:rsidR="0037165D" w:rsidRPr="00CB5B70">
        <w:rPr>
          <w:rFonts w:ascii="Times New Roman" w:eastAsia="Times New Roman" w:hAnsi="Times New Roman" w:cs="Times New Roman"/>
          <w:color w:val="000000" w:themeColor="text1"/>
          <w:szCs w:val="21"/>
        </w:rPr>
        <w:t>for the</w:t>
      </w:r>
      <w:r w:rsidRPr="00CB5B70">
        <w:rPr>
          <w:rFonts w:ascii="Times New Roman" w:eastAsia="Times New Roman" w:hAnsi="Times New Roman" w:cs="Times New Roman"/>
          <w:color w:val="000000" w:themeColor="text1"/>
          <w:szCs w:val="21"/>
        </w:rPr>
        <w:t xml:space="preserve"> case of cross-carrier scheduling between BWPs of different numerology</w:t>
      </w:r>
      <w:r w:rsidR="004A263E" w:rsidRPr="00CB5B70">
        <w:rPr>
          <w:rFonts w:ascii="Times New Roman" w:eastAsia="Times New Roman" w:hAnsi="Times New Roman" w:cs="Times New Roman"/>
          <w:color w:val="000000" w:themeColor="text1"/>
          <w:szCs w:val="21"/>
        </w:rPr>
        <w:t xml:space="preserve"> on scheduled and scheduling serving cells</w:t>
      </w:r>
      <w:r w:rsidRPr="00CB5B70">
        <w:rPr>
          <w:rFonts w:ascii="Times New Roman" w:eastAsia="Times New Roman" w:hAnsi="Times New Roman" w:cs="Times New Roman"/>
          <w:color w:val="000000" w:themeColor="text1"/>
          <w:szCs w:val="21"/>
        </w:rPr>
        <w:t>.</w:t>
      </w:r>
      <w:r w:rsidR="15ADEE61" w:rsidRPr="00CB5B70">
        <w:rPr>
          <w:rFonts w:ascii="Times New Roman" w:eastAsia="Times New Roman" w:hAnsi="Times New Roman" w:cs="Times New Roman"/>
          <w:color w:val="000000" w:themeColor="text1"/>
          <w:szCs w:val="21"/>
        </w:rPr>
        <w:t xml:space="preserve"> </w:t>
      </w:r>
      <w:r w:rsidR="004A263E" w:rsidRPr="00CB5B70">
        <w:rPr>
          <w:rFonts w:ascii="Times New Roman" w:eastAsia="Times New Roman" w:hAnsi="Times New Roman" w:cs="Times New Roman"/>
          <w:color w:val="000000" w:themeColor="text1"/>
          <w:szCs w:val="21"/>
        </w:rPr>
        <w:t xml:space="preserve">To our understanding, there </w:t>
      </w:r>
      <w:r w:rsidR="0070537B" w:rsidRPr="00CB5B70">
        <w:rPr>
          <w:rFonts w:ascii="Times New Roman" w:eastAsia="Times New Roman" w:hAnsi="Times New Roman" w:cs="Times New Roman"/>
          <w:color w:val="000000" w:themeColor="text1"/>
          <w:szCs w:val="21"/>
        </w:rPr>
        <w:t xml:space="preserve">is </w:t>
      </w:r>
      <w:r w:rsidR="004A263E" w:rsidRPr="00CB5B70">
        <w:rPr>
          <w:rFonts w:ascii="Times New Roman" w:eastAsia="Times New Roman" w:hAnsi="Times New Roman" w:cs="Times New Roman"/>
          <w:color w:val="000000" w:themeColor="text1"/>
          <w:szCs w:val="21"/>
        </w:rPr>
        <w:t>no agreement on</w:t>
      </w:r>
      <w:r w:rsidR="0070537B" w:rsidRPr="00CB5B70">
        <w:rPr>
          <w:rFonts w:ascii="Times New Roman" w:eastAsia="Times New Roman" w:hAnsi="Times New Roman" w:cs="Times New Roman"/>
          <w:color w:val="000000" w:themeColor="text1"/>
          <w:szCs w:val="21"/>
        </w:rPr>
        <w:t xml:space="preserve"> definition of</w:t>
      </w:r>
      <w:r w:rsidR="004A263E" w:rsidRPr="00CB5B70">
        <w:rPr>
          <w:rFonts w:ascii="Times New Roman" w:eastAsia="Times New Roman" w:hAnsi="Times New Roman" w:cs="Times New Roman"/>
          <w:color w:val="000000" w:themeColor="text1"/>
          <w:szCs w:val="21"/>
        </w:rPr>
        <w:t xml:space="preserve"> </w:t>
      </w:r>
      <w:r w:rsidR="0070537B" w:rsidRPr="00CB5B70">
        <w:rPr>
          <w:rFonts w:ascii="Times New Roman" w:eastAsia="Times New Roman" w:hAnsi="Times New Roman" w:cs="Times New Roman"/>
          <w:color w:val="000000" w:themeColor="text1"/>
          <w:szCs w:val="21"/>
        </w:rPr>
        <w:t xml:space="preserve">the </w:t>
      </w:r>
      <w:r w:rsidR="004A263E" w:rsidRPr="00CB5B70">
        <w:rPr>
          <w:rFonts w:ascii="Times New Roman" w:eastAsia="Times New Roman" w:hAnsi="Times New Roman" w:cs="Times New Roman"/>
          <w:color w:val="000000" w:themeColor="text1"/>
          <w:szCs w:val="21"/>
        </w:rPr>
        <w:t>reference slot</w:t>
      </w:r>
      <w:r w:rsidR="15ADEE61" w:rsidRPr="00CB5B70">
        <w:rPr>
          <w:rFonts w:ascii="Times New Roman" w:eastAsia="Times New Roman" w:hAnsi="Times New Roman" w:cs="Times New Roman"/>
          <w:color w:val="000000" w:themeColor="text1"/>
          <w:szCs w:val="21"/>
        </w:rPr>
        <w:t xml:space="preserve"> </w:t>
      </w:r>
      <w:r w:rsidR="004A263E" w:rsidRPr="00CB5B70">
        <w:rPr>
          <w:rFonts w:ascii="Times New Roman" w:eastAsia="Times New Roman" w:hAnsi="Times New Roman" w:cs="Times New Roman"/>
          <w:color w:val="000000" w:themeColor="text1"/>
          <w:szCs w:val="21"/>
        </w:rPr>
        <w:t xml:space="preserve">for </w:t>
      </w:r>
      <w:r w:rsidR="00862B53" w:rsidRPr="00CB5B70">
        <w:rPr>
          <w:rFonts w:ascii="Times New Roman" w:eastAsia="Times New Roman" w:hAnsi="Times New Roman" w:cs="Times New Roman"/>
          <w:color w:val="000000" w:themeColor="text1"/>
          <w:szCs w:val="21"/>
        </w:rPr>
        <w:t>K0, K1 and</w:t>
      </w:r>
      <w:r w:rsidR="15ADEE61" w:rsidRPr="00CB5B70">
        <w:rPr>
          <w:rFonts w:ascii="Times New Roman" w:eastAsia="Times New Roman" w:hAnsi="Times New Roman" w:cs="Times New Roman"/>
          <w:color w:val="000000" w:themeColor="text1"/>
          <w:szCs w:val="21"/>
        </w:rPr>
        <w:t xml:space="preserve"> K2</w:t>
      </w:r>
      <w:r w:rsidR="0070537B" w:rsidRPr="00CB5B70">
        <w:rPr>
          <w:rFonts w:ascii="Times New Roman" w:eastAsia="Times New Roman" w:hAnsi="Times New Roman" w:cs="Times New Roman"/>
          <w:color w:val="000000" w:themeColor="text1"/>
          <w:szCs w:val="21"/>
        </w:rPr>
        <w:t xml:space="preserve"> for cross-numerology scheduling</w:t>
      </w:r>
      <w:r w:rsidR="15ADEE61" w:rsidRPr="00CB5B70">
        <w:rPr>
          <w:rFonts w:ascii="Times New Roman" w:eastAsia="Times New Roman" w:hAnsi="Times New Roman" w:cs="Times New Roman"/>
          <w:color w:val="000000" w:themeColor="text1"/>
          <w:szCs w:val="21"/>
        </w:rPr>
        <w:t>.</w:t>
      </w:r>
      <w:r w:rsidR="004A263E" w:rsidRPr="00CB5B70">
        <w:rPr>
          <w:rFonts w:ascii="Times New Roman" w:eastAsia="Times New Roman" w:hAnsi="Times New Roman" w:cs="Times New Roman"/>
          <w:color w:val="000000" w:themeColor="text1"/>
          <w:szCs w:val="21"/>
        </w:rPr>
        <w:t xml:space="preserve"> Even though, </w:t>
      </w:r>
      <w:r w:rsidR="15ADEE61" w:rsidRPr="00CB5B70">
        <w:rPr>
          <w:rFonts w:ascii="Times New Roman" w:eastAsia="Times New Roman" w:hAnsi="Times New Roman" w:cs="Times New Roman"/>
          <w:color w:val="000000" w:themeColor="text1"/>
          <w:szCs w:val="21"/>
        </w:rPr>
        <w:t>specification</w:t>
      </w:r>
      <w:r w:rsidR="004A263E" w:rsidRPr="00CB5B70">
        <w:rPr>
          <w:rFonts w:ascii="Times New Roman" w:eastAsia="Times New Roman" w:hAnsi="Times New Roman" w:cs="Times New Roman"/>
          <w:color w:val="000000" w:themeColor="text1"/>
          <w:szCs w:val="21"/>
        </w:rPr>
        <w:t>s</w:t>
      </w:r>
      <w:r w:rsidR="15ADEE61" w:rsidRPr="00CB5B70">
        <w:rPr>
          <w:rFonts w:ascii="Times New Roman" w:eastAsia="Times New Roman" w:hAnsi="Times New Roman" w:cs="Times New Roman"/>
          <w:color w:val="000000" w:themeColor="text1"/>
          <w:szCs w:val="21"/>
        </w:rPr>
        <w:t xml:space="preserve"> </w:t>
      </w:r>
      <w:r w:rsidR="00FE559A" w:rsidRPr="00CB5B70">
        <w:rPr>
          <w:rFonts w:ascii="Times New Roman" w:eastAsia="Times New Roman" w:hAnsi="Times New Roman" w:cs="Times New Roman"/>
          <w:color w:val="000000" w:themeColor="text1"/>
          <w:szCs w:val="21"/>
        </w:rPr>
        <w:t>TS</w:t>
      </w:r>
      <w:r w:rsidR="15ADEE61" w:rsidRPr="00CB5B70">
        <w:rPr>
          <w:rFonts w:ascii="Times New Roman" w:eastAsia="Times New Roman" w:hAnsi="Times New Roman" w:cs="Times New Roman"/>
          <w:color w:val="000000" w:themeColor="text1"/>
          <w:szCs w:val="21"/>
        </w:rPr>
        <w:t xml:space="preserve">38.213, </w:t>
      </w:r>
      <w:r w:rsidR="00FE559A" w:rsidRPr="00CB5B70">
        <w:rPr>
          <w:rFonts w:ascii="Times New Roman" w:eastAsia="Times New Roman" w:hAnsi="Times New Roman" w:cs="Times New Roman"/>
          <w:color w:val="000000" w:themeColor="text1"/>
          <w:szCs w:val="21"/>
        </w:rPr>
        <w:t>TS</w:t>
      </w:r>
      <w:r w:rsidR="15ADEE61" w:rsidRPr="00CB5B70">
        <w:rPr>
          <w:rFonts w:ascii="Times New Roman" w:eastAsia="Times New Roman" w:hAnsi="Times New Roman" w:cs="Times New Roman"/>
          <w:color w:val="000000" w:themeColor="text1"/>
          <w:szCs w:val="21"/>
        </w:rPr>
        <w:t xml:space="preserve">38.214 </w:t>
      </w:r>
      <w:r w:rsidR="004A263E" w:rsidRPr="00CB5B70">
        <w:rPr>
          <w:rFonts w:ascii="Times New Roman" w:eastAsia="Times New Roman" w:hAnsi="Times New Roman" w:cs="Times New Roman"/>
          <w:color w:val="000000" w:themeColor="text1"/>
          <w:szCs w:val="21"/>
        </w:rPr>
        <w:t xml:space="preserve">already contain </w:t>
      </w:r>
      <w:r w:rsidR="0070537B" w:rsidRPr="00CB5B70">
        <w:rPr>
          <w:rFonts w:ascii="Times New Roman" w:eastAsia="Times New Roman" w:hAnsi="Times New Roman" w:cs="Times New Roman"/>
          <w:color w:val="000000" w:themeColor="text1"/>
          <w:szCs w:val="21"/>
        </w:rPr>
        <w:t>a</w:t>
      </w:r>
      <w:r w:rsidR="004A263E" w:rsidRPr="00CB5B70">
        <w:rPr>
          <w:rFonts w:ascii="Times New Roman" w:eastAsia="Times New Roman" w:hAnsi="Times New Roman" w:cs="Times New Roman"/>
          <w:color w:val="000000" w:themeColor="text1"/>
          <w:szCs w:val="21"/>
        </w:rPr>
        <w:t xml:space="preserve"> definition for at least K0 and K2</w:t>
      </w:r>
      <w:r w:rsidR="15ADEE61" w:rsidRPr="00CB5B70">
        <w:rPr>
          <w:rFonts w:ascii="Times New Roman" w:eastAsia="Times New Roman" w:hAnsi="Times New Roman" w:cs="Times New Roman"/>
          <w:color w:val="000000" w:themeColor="text1"/>
          <w:szCs w:val="21"/>
        </w:rPr>
        <w:t xml:space="preserve">.    </w:t>
      </w:r>
      <w:r w:rsidR="15ADEE61" w:rsidRPr="00CB5B70">
        <w:rPr>
          <w:sz w:val="24"/>
        </w:rPr>
        <w:br/>
      </w:r>
      <w:r w:rsidR="15ADEE61" w:rsidRPr="00CB5B70">
        <w:rPr>
          <w:sz w:val="24"/>
        </w:rPr>
        <w:br/>
      </w:r>
      <w:r w:rsidR="0037165D" w:rsidRPr="00CB5B70">
        <w:rPr>
          <w:rFonts w:ascii="Times New Roman" w:eastAsia="Times New Roman" w:hAnsi="Times New Roman" w:cs="Times New Roman"/>
          <w:color w:val="000000" w:themeColor="text1"/>
          <w:szCs w:val="21"/>
        </w:rPr>
        <w:t>F</w:t>
      </w:r>
      <w:r w:rsidR="15ADEE61" w:rsidRPr="00CB5B70">
        <w:rPr>
          <w:rFonts w:ascii="Times New Roman" w:eastAsia="Times New Roman" w:hAnsi="Times New Roman" w:cs="Times New Roman"/>
          <w:color w:val="000000" w:themeColor="text1"/>
          <w:szCs w:val="21"/>
        </w:rPr>
        <w:t xml:space="preserve">or interpretation </w:t>
      </w:r>
      <w:r w:rsidR="0037165D" w:rsidRPr="00CB5B70">
        <w:rPr>
          <w:rFonts w:ascii="Times New Roman" w:eastAsia="Times New Roman" w:hAnsi="Times New Roman" w:cs="Times New Roman"/>
          <w:color w:val="000000" w:themeColor="text1"/>
          <w:szCs w:val="21"/>
        </w:rPr>
        <w:t xml:space="preserve">of </w:t>
      </w:r>
      <w:r w:rsidR="15ADEE61" w:rsidRPr="00CB5B70">
        <w:rPr>
          <w:rFonts w:ascii="Times New Roman" w:eastAsia="Times New Roman" w:hAnsi="Times New Roman" w:cs="Times New Roman"/>
          <w:color w:val="000000" w:themeColor="text1"/>
          <w:szCs w:val="21"/>
        </w:rPr>
        <w:t>K0</w:t>
      </w:r>
      <w:r w:rsidR="0070537B" w:rsidRPr="00CB5B70">
        <w:rPr>
          <w:rFonts w:ascii="Times New Roman" w:eastAsia="Times New Roman" w:hAnsi="Times New Roman" w:cs="Times New Roman"/>
          <w:color w:val="000000" w:themeColor="text1"/>
          <w:szCs w:val="21"/>
        </w:rPr>
        <w:t>,</w:t>
      </w:r>
      <w:r w:rsidR="15ADEE61" w:rsidRPr="00CB5B70">
        <w:rPr>
          <w:rFonts w:ascii="Times New Roman" w:eastAsia="Times New Roman" w:hAnsi="Times New Roman" w:cs="Times New Roman"/>
          <w:color w:val="000000" w:themeColor="text1"/>
          <w:szCs w:val="21"/>
        </w:rPr>
        <w:t xml:space="preserve"> </w:t>
      </w:r>
      <w:r w:rsidR="00DC6AFB" w:rsidRPr="00CB5B70">
        <w:rPr>
          <w:rFonts w:ascii="Times New Roman" w:eastAsia="Times New Roman" w:hAnsi="Times New Roman" w:cs="Times New Roman"/>
          <w:color w:val="000000" w:themeColor="text1"/>
          <w:szCs w:val="21"/>
        </w:rPr>
        <w:t>the</w:t>
      </w:r>
      <w:r w:rsidR="15ADEE61" w:rsidRPr="00CB5B70">
        <w:rPr>
          <w:rFonts w:ascii="Times New Roman" w:eastAsia="Times New Roman" w:hAnsi="Times New Roman" w:cs="Times New Roman"/>
          <w:color w:val="000000" w:themeColor="text1"/>
          <w:szCs w:val="21"/>
        </w:rPr>
        <w:t xml:space="preserve"> section 5.1.2.1</w:t>
      </w:r>
      <w:r w:rsidR="004A263E" w:rsidRPr="00CB5B70">
        <w:rPr>
          <w:rFonts w:ascii="Times New Roman" w:eastAsia="Times New Roman" w:hAnsi="Times New Roman" w:cs="Times New Roman"/>
          <w:color w:val="000000" w:themeColor="text1"/>
          <w:szCs w:val="21"/>
        </w:rPr>
        <w:t xml:space="preserve"> </w:t>
      </w:r>
      <w:r w:rsidR="00DC6AFB" w:rsidRPr="00CB5B70">
        <w:rPr>
          <w:rFonts w:ascii="Times New Roman" w:eastAsia="Times New Roman" w:hAnsi="Times New Roman" w:cs="Times New Roman"/>
          <w:color w:val="000000" w:themeColor="text1"/>
          <w:szCs w:val="21"/>
        </w:rPr>
        <w:t>of TS</w:t>
      </w:r>
      <w:r w:rsidR="15ADEE61" w:rsidRPr="00CB5B70">
        <w:rPr>
          <w:rFonts w:ascii="Times New Roman" w:eastAsia="Times New Roman" w:hAnsi="Times New Roman" w:cs="Times New Roman"/>
          <w:color w:val="000000" w:themeColor="text1"/>
          <w:szCs w:val="21"/>
        </w:rPr>
        <w:t>38.214</w:t>
      </w:r>
      <w:r w:rsidR="00DC6AFB" w:rsidRPr="00CB5B70">
        <w:rPr>
          <w:rFonts w:ascii="Times New Roman" w:eastAsia="Times New Roman" w:hAnsi="Times New Roman" w:cs="Times New Roman"/>
          <w:color w:val="000000" w:themeColor="text1"/>
          <w:szCs w:val="21"/>
        </w:rPr>
        <w:t xml:space="preserve"> (similar is captured for K2 in 6.1.2.1)</w:t>
      </w:r>
      <w:r w:rsidR="15ADEE61" w:rsidRPr="00CB5B70">
        <w:rPr>
          <w:rFonts w:ascii="Times New Roman" w:eastAsia="Times New Roman" w:hAnsi="Times New Roman" w:cs="Times New Roman"/>
          <w:color w:val="000000" w:themeColor="text1"/>
          <w:szCs w:val="21"/>
        </w:rPr>
        <w:t xml:space="preserve"> write</w:t>
      </w:r>
      <w:r w:rsidR="00DC6AFB" w:rsidRPr="00CB5B70">
        <w:rPr>
          <w:rFonts w:ascii="Times New Roman" w:eastAsia="Times New Roman" w:hAnsi="Times New Roman" w:cs="Times New Roman"/>
          <w:color w:val="000000" w:themeColor="text1"/>
          <w:szCs w:val="21"/>
        </w:rPr>
        <w:t>s</w:t>
      </w:r>
      <w:r w:rsidR="15ADEE61" w:rsidRPr="00CB5B70">
        <w:rPr>
          <w:rFonts w:ascii="Times New Roman" w:eastAsia="Times New Roman" w:hAnsi="Times New Roman" w:cs="Times New Roman"/>
          <w:color w:val="000000" w:themeColor="text1"/>
          <w:szCs w:val="21"/>
        </w:rPr>
        <w:t>:</w:t>
      </w:r>
      <w:r w:rsidR="15ADEE61">
        <w:br/>
      </w:r>
      <w:r w:rsidR="15ADEE61">
        <w:br/>
      </w:r>
      <w:r w:rsidR="00DC6AFB" w:rsidRPr="00862B53">
        <w:rPr>
          <w:rFonts w:ascii="Times New Roman" w:eastAsia="Times New Roman" w:hAnsi="Times New Roman" w:cs="Times New Roman"/>
          <w:i/>
          <w:color w:val="000000"/>
          <w:sz w:val="20"/>
          <w:szCs w:val="20"/>
          <w:lang w:val="en-GB"/>
        </w:rPr>
        <w:t xml:space="preserve">When the UE is scheduled to receive PDSCH by a DCI, the </w:t>
      </w:r>
      <w:r w:rsidR="00DC6AFB" w:rsidRPr="00DC6AFB">
        <w:rPr>
          <w:rFonts w:ascii="Times New Roman" w:eastAsia="Times New Roman" w:hAnsi="Times New Roman" w:cs="Times New Roman"/>
          <w:i/>
          <w:color w:val="000000"/>
          <w:sz w:val="20"/>
          <w:szCs w:val="20"/>
          <w:lang w:val="en-GB"/>
        </w:rPr>
        <w:t>Time domain resource assignment</w:t>
      </w:r>
      <w:r w:rsidR="00DC6AFB" w:rsidRPr="00862B53">
        <w:rPr>
          <w:rFonts w:ascii="Times New Roman" w:eastAsia="Times New Roman" w:hAnsi="Times New Roman" w:cs="Times New Roman"/>
          <w:i/>
          <w:color w:val="000000"/>
          <w:sz w:val="20"/>
          <w:szCs w:val="20"/>
          <w:lang w:val="en-GB"/>
        </w:rPr>
        <w:t xml:space="preserve"> field value </w:t>
      </w:r>
      <w:r w:rsidR="00DC6AFB" w:rsidRPr="00DC6AFB">
        <w:rPr>
          <w:rFonts w:ascii="Times New Roman" w:eastAsia="Times New Roman" w:hAnsi="Times New Roman" w:cs="Times New Roman"/>
          <w:i/>
          <w:color w:val="000000"/>
          <w:sz w:val="20"/>
          <w:szCs w:val="20"/>
          <w:lang w:val="en-GB"/>
        </w:rPr>
        <w:t>m</w:t>
      </w:r>
      <w:r w:rsidR="00DC6AFB" w:rsidRPr="00862B53">
        <w:rPr>
          <w:rFonts w:ascii="Times New Roman" w:eastAsia="Times New Roman" w:hAnsi="Times New Roman" w:cs="Times New Roman"/>
          <w:i/>
          <w:color w:val="000000"/>
          <w:sz w:val="20"/>
          <w:szCs w:val="20"/>
          <w:lang w:val="en-GB"/>
        </w:rPr>
        <w:t xml:space="preserve"> of the DCI provides a row index </w:t>
      </w:r>
      <w:r w:rsidR="00DC6AFB" w:rsidRPr="00DC6AFB">
        <w:rPr>
          <w:rFonts w:ascii="Times New Roman" w:eastAsia="Times New Roman" w:hAnsi="Times New Roman" w:cs="Times New Roman"/>
          <w:i/>
          <w:color w:val="000000"/>
          <w:sz w:val="20"/>
          <w:szCs w:val="20"/>
          <w:lang w:val="en-GB"/>
        </w:rPr>
        <w:t>m</w:t>
      </w:r>
      <w:r w:rsidR="00DC6AFB" w:rsidRPr="00862B53">
        <w:rPr>
          <w:rFonts w:ascii="Times New Roman" w:eastAsia="Times New Roman" w:hAnsi="Times New Roman" w:cs="Times New Roman"/>
          <w:i/>
          <w:color w:val="000000"/>
          <w:sz w:val="20"/>
          <w:szCs w:val="20"/>
          <w:lang w:val="en-GB"/>
        </w:rPr>
        <w:t xml:space="preserve"> + 1 to an allocation table. The determination of the used resource allocation table is defined in sub-clause 5.1.2.1.1. The indexed row defines the slot offset </w:t>
      </w:r>
      <w:r w:rsidR="00DC6AFB" w:rsidRPr="00DC6AFB">
        <w:rPr>
          <w:rFonts w:ascii="Times New Roman" w:eastAsia="Times New Roman" w:hAnsi="Times New Roman" w:cs="Times New Roman"/>
          <w:i/>
          <w:color w:val="000000"/>
          <w:sz w:val="20"/>
          <w:szCs w:val="20"/>
          <w:lang w:val="en-GB"/>
        </w:rPr>
        <w:t>K</w:t>
      </w:r>
      <w:r w:rsidR="00DC6AFB" w:rsidRPr="00DC6AFB">
        <w:rPr>
          <w:rFonts w:ascii="Times New Roman" w:eastAsia="Times New Roman" w:hAnsi="Times New Roman" w:cs="Times New Roman"/>
          <w:i/>
          <w:color w:val="000000"/>
          <w:sz w:val="20"/>
          <w:szCs w:val="20"/>
          <w:vertAlign w:val="subscript"/>
          <w:lang w:val="en-GB"/>
        </w:rPr>
        <w:t>0</w:t>
      </w:r>
      <w:r w:rsidR="00DC6AFB" w:rsidRPr="00862B53">
        <w:rPr>
          <w:rFonts w:ascii="Times New Roman" w:eastAsia="Times New Roman" w:hAnsi="Times New Roman" w:cs="Times New Roman"/>
          <w:i/>
          <w:color w:val="000000"/>
          <w:sz w:val="20"/>
          <w:szCs w:val="20"/>
          <w:lang w:val="en-GB"/>
        </w:rPr>
        <w:t xml:space="preserve">, the start and length indicator </w:t>
      </w:r>
      <w:r w:rsidR="00DC6AFB" w:rsidRPr="00DC6AFB">
        <w:rPr>
          <w:rFonts w:ascii="Times New Roman" w:eastAsia="Times New Roman" w:hAnsi="Times New Roman" w:cs="Times New Roman"/>
          <w:i/>
          <w:color w:val="000000"/>
          <w:sz w:val="20"/>
          <w:szCs w:val="20"/>
          <w:lang w:val="en-GB"/>
        </w:rPr>
        <w:t>SLIV</w:t>
      </w:r>
      <w:r w:rsidR="00DC6AFB" w:rsidRPr="00862B53">
        <w:rPr>
          <w:rFonts w:ascii="Times New Roman" w:eastAsia="Times New Roman" w:hAnsi="Times New Roman" w:cs="Times New Roman"/>
          <w:i/>
          <w:color w:val="000000"/>
          <w:sz w:val="20"/>
          <w:szCs w:val="20"/>
          <w:lang w:val="en-GB"/>
        </w:rPr>
        <w:t xml:space="preserve">, or directly the start symbol </w:t>
      </w:r>
      <w:r w:rsidR="00DC6AFB" w:rsidRPr="00DC6AFB">
        <w:rPr>
          <w:rFonts w:ascii="Times New Roman" w:eastAsia="Times New Roman" w:hAnsi="Times New Roman" w:cs="Times New Roman"/>
          <w:i/>
          <w:color w:val="000000"/>
          <w:sz w:val="20"/>
          <w:szCs w:val="20"/>
          <w:lang w:val="en-GB"/>
        </w:rPr>
        <w:t>S</w:t>
      </w:r>
      <w:r w:rsidR="00DC6AFB" w:rsidRPr="00862B53">
        <w:rPr>
          <w:rFonts w:ascii="Times New Roman" w:eastAsia="Times New Roman" w:hAnsi="Times New Roman" w:cs="Times New Roman"/>
          <w:i/>
          <w:color w:val="000000"/>
          <w:sz w:val="20"/>
          <w:szCs w:val="20"/>
          <w:lang w:val="en-GB"/>
        </w:rPr>
        <w:t xml:space="preserve"> and the allocation length </w:t>
      </w:r>
      <w:r w:rsidR="00DC6AFB" w:rsidRPr="00DC6AFB">
        <w:rPr>
          <w:rFonts w:ascii="Times New Roman" w:eastAsia="Times New Roman" w:hAnsi="Times New Roman" w:cs="Times New Roman"/>
          <w:i/>
          <w:color w:val="000000"/>
          <w:sz w:val="20"/>
          <w:szCs w:val="20"/>
          <w:lang w:val="en-GB"/>
        </w:rPr>
        <w:t>L</w:t>
      </w:r>
      <w:r w:rsidR="00DC6AFB" w:rsidRPr="00862B53">
        <w:rPr>
          <w:rFonts w:ascii="Times New Roman" w:eastAsia="Times New Roman" w:hAnsi="Times New Roman" w:cs="Times New Roman"/>
          <w:i/>
          <w:color w:val="000000"/>
          <w:sz w:val="20"/>
          <w:szCs w:val="20"/>
          <w:lang w:val="en-GB"/>
        </w:rPr>
        <w:t>, and the PDSCH mapping type to be assumed in the PDSCH reception.</w:t>
      </w:r>
    </w:p>
    <w:p w14:paraId="44CEFAA5" w14:textId="77777777" w:rsidR="00DC6AFB" w:rsidRPr="00862B53" w:rsidRDefault="00DC6AFB" w:rsidP="00DC6AFB">
      <w:pPr>
        <w:spacing w:after="180" w:line="240" w:lineRule="auto"/>
        <w:rPr>
          <w:rFonts w:ascii="Times New Roman" w:eastAsia="Times New Roman" w:hAnsi="Times New Roman" w:cs="Times New Roman"/>
          <w:i/>
          <w:sz w:val="20"/>
          <w:szCs w:val="20"/>
          <w:lang w:val="en-GB"/>
        </w:rPr>
      </w:pPr>
      <w:r w:rsidRPr="00862B53">
        <w:rPr>
          <w:rFonts w:ascii="Times New Roman" w:eastAsia="Times New Roman" w:hAnsi="Times New Roman" w:cs="Times New Roman"/>
          <w:i/>
          <w:sz w:val="20"/>
          <w:szCs w:val="20"/>
          <w:lang w:val="en-GB"/>
        </w:rPr>
        <w:t>Given the parameter values of the indexed row:</w:t>
      </w:r>
    </w:p>
    <w:p w14:paraId="11BDED94" w14:textId="32ABBAB7" w:rsidR="00DC6AFB" w:rsidRPr="0070537B" w:rsidRDefault="00DC6AFB" w:rsidP="00DC6AFB">
      <w:pPr>
        <w:rPr>
          <w:rFonts w:ascii="Times New Roman" w:eastAsia="Times New Roman" w:hAnsi="Times New Roman" w:cs="Times New Roman"/>
          <w:i/>
          <w:sz w:val="20"/>
          <w:szCs w:val="20"/>
          <w:lang w:val="en-GB"/>
        </w:rPr>
      </w:pPr>
      <w:r w:rsidRPr="00862B53">
        <w:rPr>
          <w:rFonts w:ascii="Times New Roman" w:eastAsia="Times New Roman" w:hAnsi="Times New Roman" w:cs="Times New Roman"/>
          <w:i/>
          <w:sz w:val="20"/>
          <w:szCs w:val="20"/>
          <w:lang w:val="x-none"/>
        </w:rPr>
        <w:t>-</w:t>
      </w:r>
      <w:r w:rsidRPr="00862B53">
        <w:rPr>
          <w:rFonts w:ascii="Times New Roman" w:eastAsia="Times New Roman" w:hAnsi="Times New Roman" w:cs="Times New Roman"/>
          <w:i/>
          <w:sz w:val="20"/>
          <w:szCs w:val="20"/>
          <w:lang w:val="x-none"/>
        </w:rPr>
        <w:tab/>
      </w:r>
      <w:r w:rsidRPr="00862B53">
        <w:rPr>
          <w:rFonts w:ascii="Times New Roman" w:eastAsia="Times New Roman" w:hAnsi="Times New Roman" w:cs="Times New Roman"/>
          <w:i/>
          <w:sz w:val="20"/>
          <w:szCs w:val="20"/>
          <w:highlight w:val="yellow"/>
          <w:lang w:val="x-none"/>
        </w:rPr>
        <w:t xml:space="preserve">The slot allocated for the PDSCH is </w:t>
      </w:r>
      <w:r w:rsidRPr="00B6184C">
        <w:rPr>
          <w:rFonts w:ascii="Times New Roman" w:eastAsia="Times New Roman" w:hAnsi="Times New Roman" w:cs="Times New Roman"/>
          <w:i/>
          <w:position w:val="-32"/>
          <w:sz w:val="20"/>
          <w:szCs w:val="20"/>
          <w:highlight w:val="yellow"/>
          <w:lang w:val="x-none" w:eastAsia="ja-JP"/>
        </w:rPr>
        <w:object w:dxaOrig="1520" w:dyaOrig="740" w14:anchorId="763FCEE3">
          <v:shape id="_x0000_i1028" type="#_x0000_t75" style="width:75.6pt;height:37.8pt" o:ole="">
            <v:imagedata r:id="rId20" o:title=""/>
          </v:shape>
          <o:OLEObject Type="Embed" ProgID="Equation.3" ShapeID="_x0000_i1028" DrawAspect="Content" ObjectID="_1587570363" r:id="rId21"/>
        </w:object>
      </w:r>
      <w:r w:rsidRPr="00862B53">
        <w:rPr>
          <w:rFonts w:ascii="Times New Roman" w:eastAsia="Times New Roman" w:hAnsi="Times New Roman" w:cs="Times New Roman"/>
          <w:i/>
          <w:sz w:val="20"/>
          <w:szCs w:val="20"/>
          <w:highlight w:val="yellow"/>
          <w:lang w:val="x-none"/>
        </w:rPr>
        <w:t>, where n is the slot with the scheduling DCI, and K</w:t>
      </w:r>
      <w:r w:rsidRPr="00862B53">
        <w:rPr>
          <w:rFonts w:ascii="Times New Roman" w:eastAsia="Times New Roman" w:hAnsi="Times New Roman" w:cs="Times New Roman"/>
          <w:i/>
          <w:sz w:val="20"/>
          <w:szCs w:val="20"/>
          <w:highlight w:val="yellow"/>
          <w:vertAlign w:val="subscript"/>
          <w:lang w:val="x-none"/>
        </w:rPr>
        <w:t>0</w:t>
      </w:r>
      <w:r w:rsidRPr="00862B53">
        <w:rPr>
          <w:rFonts w:ascii="Times New Roman" w:eastAsia="Times New Roman" w:hAnsi="Times New Roman" w:cs="Times New Roman"/>
          <w:i/>
          <w:sz w:val="20"/>
          <w:szCs w:val="20"/>
          <w:highlight w:val="yellow"/>
          <w:lang w:val="x-none"/>
        </w:rPr>
        <w:t xml:space="preserve"> is based on the numerology of PDSCH</w:t>
      </w:r>
      <w:r w:rsidRPr="00862B53">
        <w:rPr>
          <w:rFonts w:ascii="Times New Roman" w:eastAsia="Times New Roman" w:hAnsi="Times New Roman" w:cs="Times New Roman"/>
          <w:i/>
          <w:sz w:val="20"/>
          <w:szCs w:val="20"/>
          <w:lang w:val="x-none"/>
        </w:rPr>
        <w:t>, and</w:t>
      </w:r>
      <w:r w:rsidRPr="00862B53">
        <w:rPr>
          <w:rFonts w:ascii="Times New Roman" w:eastAsia="Times New Roman" w:hAnsi="Times New Roman" w:cs="Times New Roman"/>
          <w:i/>
          <w:sz w:val="20"/>
          <w:szCs w:val="20"/>
          <w:lang w:val="en-GB"/>
        </w:rPr>
        <w:t xml:space="preserve"> </w:t>
      </w:r>
      <w:r w:rsidRPr="00B6184C">
        <w:rPr>
          <w:rFonts w:ascii="Times New Roman" w:eastAsia="Times New Roman" w:hAnsi="Times New Roman" w:cs="Times New Roman"/>
          <w:i/>
          <w:color w:val="000000"/>
          <w:position w:val="-10"/>
          <w:sz w:val="20"/>
          <w:szCs w:val="20"/>
          <w:lang w:val="x-none" w:eastAsia="ja-JP"/>
        </w:rPr>
        <w:object w:dxaOrig="580" w:dyaOrig="300" w14:anchorId="08F0BFFF">
          <v:shape id="_x0000_i1029" type="#_x0000_t75" style="width:29.4pt;height:15pt" o:ole="">
            <v:imagedata r:id="rId22" o:title=""/>
          </v:shape>
          <o:OLEObject Type="Embed" ProgID="Equation.DSMT4" ShapeID="_x0000_i1029" DrawAspect="Content" ObjectID="_1587570364" r:id="rId23"/>
        </w:object>
      </w:r>
      <w:r w:rsidRPr="0070537B">
        <w:rPr>
          <w:rFonts w:ascii="Times New Roman" w:eastAsia="Times New Roman" w:hAnsi="Times New Roman" w:cs="Times New Roman"/>
          <w:i/>
          <w:sz w:val="20"/>
          <w:szCs w:val="20"/>
          <w:lang w:val="en-GB"/>
        </w:rPr>
        <w:t xml:space="preserve"> and </w:t>
      </w:r>
      <w:r w:rsidRPr="00B6184C">
        <w:rPr>
          <w:rFonts w:ascii="Times New Roman" w:eastAsia="Times New Roman" w:hAnsi="Times New Roman" w:cs="Times New Roman"/>
          <w:i/>
          <w:color w:val="000000"/>
          <w:position w:val="-10"/>
          <w:sz w:val="20"/>
          <w:szCs w:val="20"/>
          <w:lang w:val="x-none" w:eastAsia="ja-JP"/>
        </w:rPr>
        <w:object w:dxaOrig="600" w:dyaOrig="300" w14:anchorId="170251E9">
          <v:shape id="_x0000_i1030" type="#_x0000_t75" style="width:30pt;height:15pt" o:ole="">
            <v:imagedata r:id="rId24" o:title=""/>
          </v:shape>
          <o:OLEObject Type="Embed" ProgID="Equation.DSMT4" ShapeID="_x0000_i1030" DrawAspect="Content" ObjectID="_1587570365" r:id="rId25"/>
        </w:object>
      </w:r>
      <w:r w:rsidRPr="0070537B">
        <w:rPr>
          <w:rFonts w:ascii="Times New Roman" w:eastAsia="Times New Roman" w:hAnsi="Times New Roman" w:cs="Times New Roman"/>
          <w:i/>
          <w:sz w:val="20"/>
          <w:szCs w:val="20"/>
          <w:lang w:val="en-GB"/>
        </w:rPr>
        <w:t>are the subcarrier spacing configurations for PDSCH and PDCCH, respectively, and .</w:t>
      </w:r>
    </w:p>
    <w:p w14:paraId="564AFED0" w14:textId="77777777" w:rsidR="0070537B" w:rsidRDefault="00DC6AFB" w:rsidP="00862B53">
      <w:pPr>
        <w:rPr>
          <w:rFonts w:ascii="Times New Roman" w:eastAsia="Times New Roman" w:hAnsi="Times New Roman" w:cs="Times New Roman"/>
          <w:color w:val="000000" w:themeColor="text1"/>
          <w:sz w:val="21"/>
          <w:szCs w:val="21"/>
        </w:rPr>
      </w:pPr>
      <w:r w:rsidRPr="0070537B">
        <w:rPr>
          <w:rFonts w:ascii="Times New Roman" w:eastAsia="Times New Roman" w:hAnsi="Times New Roman" w:cs="Times New Roman"/>
          <w:i/>
          <w:sz w:val="20"/>
          <w:szCs w:val="20"/>
          <w:lang w:val="en-GB"/>
        </w:rPr>
        <w:t>…..</w:t>
      </w:r>
      <w:r w:rsidR="15ADEE61">
        <w:br/>
      </w:r>
    </w:p>
    <w:p w14:paraId="62D64609" w14:textId="484EF92D" w:rsidR="00C3504F" w:rsidRPr="00CB5B70" w:rsidRDefault="00DC6AFB" w:rsidP="00862B53">
      <w:pPr>
        <w:rPr>
          <w:rFonts w:ascii="Times New Roman" w:eastAsia="Times New Roman" w:hAnsi="Times New Roman" w:cs="Times New Roman"/>
          <w:color w:val="000000" w:themeColor="text1"/>
        </w:rPr>
      </w:pPr>
      <w:r w:rsidRPr="00CB5B70">
        <w:rPr>
          <w:rFonts w:ascii="Times New Roman" w:eastAsia="Times New Roman" w:hAnsi="Times New Roman" w:cs="Times New Roman"/>
          <w:color w:val="000000" w:themeColor="text1"/>
        </w:rPr>
        <w:t xml:space="preserve">Therefore, </w:t>
      </w:r>
      <w:r w:rsidR="00C3504F" w:rsidRPr="00CB5B70">
        <w:rPr>
          <w:rFonts w:ascii="Times New Roman" w:eastAsia="Times New Roman" w:hAnsi="Times New Roman" w:cs="Times New Roman"/>
          <w:color w:val="000000" w:themeColor="text1"/>
        </w:rPr>
        <w:t xml:space="preserve">given the </w:t>
      </w:r>
      <w:r w:rsidR="0070537B" w:rsidRPr="00CB5B70">
        <w:rPr>
          <w:rFonts w:ascii="Times New Roman" w:eastAsia="Times New Roman" w:hAnsi="Times New Roman" w:cs="Times New Roman"/>
          <w:color w:val="000000" w:themeColor="text1"/>
        </w:rPr>
        <w:t>above</w:t>
      </w:r>
      <w:r w:rsidR="00C3504F" w:rsidRPr="00CB5B70">
        <w:rPr>
          <w:rFonts w:ascii="Times New Roman" w:eastAsia="Times New Roman" w:hAnsi="Times New Roman" w:cs="Times New Roman"/>
          <w:color w:val="000000" w:themeColor="text1"/>
        </w:rPr>
        <w:t xml:space="preserve"> specification</w:t>
      </w:r>
      <w:r w:rsidR="0070537B" w:rsidRPr="00CB5B70">
        <w:rPr>
          <w:rFonts w:ascii="Times New Roman" w:eastAsia="Times New Roman" w:hAnsi="Times New Roman" w:cs="Times New Roman"/>
          <w:color w:val="000000" w:themeColor="text1"/>
        </w:rPr>
        <w:t xml:space="preserve"> text</w:t>
      </w:r>
      <w:r w:rsidR="00C3504F" w:rsidRPr="00CB5B70">
        <w:rPr>
          <w:rFonts w:ascii="Times New Roman" w:eastAsia="Times New Roman" w:hAnsi="Times New Roman" w:cs="Times New Roman"/>
          <w:color w:val="000000" w:themeColor="text1"/>
        </w:rPr>
        <w:t xml:space="preserve">, </w:t>
      </w:r>
      <w:r w:rsidRPr="00CB5B70">
        <w:rPr>
          <w:rFonts w:ascii="Times New Roman" w:eastAsia="Times New Roman" w:hAnsi="Times New Roman" w:cs="Times New Roman"/>
          <w:color w:val="000000" w:themeColor="text1"/>
        </w:rPr>
        <w:t xml:space="preserve">for </w:t>
      </w:r>
    </w:p>
    <w:p w14:paraId="7608F4A7" w14:textId="0F2407D2" w:rsidR="00DC6AFB" w:rsidRPr="00CB5B70" w:rsidRDefault="00C3504F" w:rsidP="00862B53">
      <w:pPr>
        <w:pStyle w:val="ListParagraph"/>
        <w:numPr>
          <w:ilvl w:val="0"/>
          <w:numId w:val="25"/>
        </w:numPr>
        <w:rPr>
          <w:rFonts w:ascii="Times New Roman" w:eastAsia="Times New Roman" w:hAnsi="Times New Roman" w:cs="Times New Roman"/>
          <w:color w:val="000000" w:themeColor="text1"/>
        </w:rPr>
      </w:pPr>
      <w:r w:rsidRPr="00CB5B70">
        <w:rPr>
          <w:rFonts w:ascii="Times New Roman" w:eastAsia="Times New Roman" w:hAnsi="Times New Roman" w:cs="Times New Roman"/>
          <w:color w:val="000000" w:themeColor="text1"/>
        </w:rPr>
        <w:t>t</w:t>
      </w:r>
      <w:r w:rsidR="00DC6AFB" w:rsidRPr="00CB5B70">
        <w:rPr>
          <w:rFonts w:ascii="Times New Roman" w:eastAsia="Times New Roman" w:hAnsi="Times New Roman" w:cs="Times New Roman"/>
          <w:color w:val="000000" w:themeColor="text1"/>
        </w:rPr>
        <w:t>he case of scheduling from</w:t>
      </w:r>
      <w:r w:rsidRPr="00CB5B70">
        <w:rPr>
          <w:rFonts w:ascii="Times New Roman" w:eastAsia="Times New Roman" w:hAnsi="Times New Roman" w:cs="Times New Roman"/>
          <w:color w:val="000000" w:themeColor="text1"/>
        </w:rPr>
        <w:t xml:space="preserve"> </w:t>
      </w:r>
      <w:r w:rsidRPr="00CB5B70">
        <w:rPr>
          <w:rFonts w:ascii="Times New Roman" w:eastAsia="Times New Roman" w:hAnsi="Times New Roman" w:cs="Times New Roman"/>
          <w:b/>
          <w:color w:val="000000" w:themeColor="text1"/>
        </w:rPr>
        <w:t>low SCS to large SCS</w:t>
      </w:r>
      <w:r w:rsidRPr="00CB5B70">
        <w:rPr>
          <w:rFonts w:ascii="Times New Roman" w:eastAsia="Times New Roman" w:hAnsi="Times New Roman" w:cs="Times New Roman"/>
          <w:color w:val="000000" w:themeColor="text1"/>
        </w:rPr>
        <w:t xml:space="preserve">, the scheduled reference slot is the first slot of group of slots of large SCS overlapping with scheduling slot of low SCS </w:t>
      </w:r>
    </w:p>
    <w:p w14:paraId="4432DB6C" w14:textId="5E32F874" w:rsidR="00C3504F" w:rsidRPr="00CB5B70" w:rsidRDefault="00C3504F" w:rsidP="00C3504F">
      <w:pPr>
        <w:pStyle w:val="ListParagraph"/>
        <w:numPr>
          <w:ilvl w:val="0"/>
          <w:numId w:val="25"/>
        </w:numPr>
        <w:rPr>
          <w:rFonts w:ascii="Times New Roman" w:eastAsia="Times New Roman" w:hAnsi="Times New Roman" w:cs="Times New Roman"/>
          <w:color w:val="000000" w:themeColor="text1"/>
        </w:rPr>
      </w:pPr>
      <w:r w:rsidRPr="00CB5B70">
        <w:rPr>
          <w:rFonts w:ascii="Times New Roman" w:eastAsia="Times New Roman" w:hAnsi="Times New Roman" w:cs="Times New Roman"/>
          <w:color w:val="000000" w:themeColor="text1"/>
        </w:rPr>
        <w:t xml:space="preserve">the case of scheduling from </w:t>
      </w:r>
      <w:r w:rsidRPr="00CB5B70">
        <w:rPr>
          <w:rFonts w:ascii="Times New Roman" w:eastAsia="Times New Roman" w:hAnsi="Times New Roman" w:cs="Times New Roman"/>
          <w:b/>
          <w:color w:val="000000" w:themeColor="text1"/>
        </w:rPr>
        <w:t>large SCS to low SCS</w:t>
      </w:r>
      <w:r w:rsidRPr="00CB5B70">
        <w:rPr>
          <w:rFonts w:ascii="Times New Roman" w:eastAsia="Times New Roman" w:hAnsi="Times New Roman" w:cs="Times New Roman"/>
          <w:color w:val="000000" w:themeColor="text1"/>
        </w:rPr>
        <w:t xml:space="preserve">, the scheduled reference slot is the slot of low SCS overlapping with the scheduling slot of large SCS  </w:t>
      </w:r>
    </w:p>
    <w:p w14:paraId="791CB8CD" w14:textId="190E64EC" w:rsidR="15ADEE61" w:rsidRPr="00CB5B70" w:rsidRDefault="00C3504F" w:rsidP="0070537B">
      <w:pPr>
        <w:jc w:val="both"/>
      </w:pPr>
      <w:r w:rsidRPr="00CB5B70">
        <w:rPr>
          <w:rFonts w:ascii="Times New Roman" w:eastAsia="Times New Roman" w:hAnsi="Times New Roman" w:cs="Times New Roman"/>
          <w:color w:val="000000" w:themeColor="text1"/>
        </w:rPr>
        <w:t xml:space="preserve">Furthermore, it should be noted that the lowest K0 or K2 index that can be indicated by gNB </w:t>
      </w:r>
      <w:r w:rsidR="0070537B" w:rsidRPr="00CB5B70">
        <w:rPr>
          <w:rFonts w:ascii="Times New Roman" w:eastAsia="Times New Roman" w:hAnsi="Times New Roman" w:cs="Times New Roman"/>
          <w:color w:val="000000" w:themeColor="text1"/>
        </w:rPr>
        <w:t xml:space="preserve">in a scheduling DCI </w:t>
      </w:r>
      <w:r w:rsidRPr="00CB5B70">
        <w:rPr>
          <w:rFonts w:ascii="Times New Roman" w:eastAsia="Times New Roman" w:hAnsi="Times New Roman" w:cs="Times New Roman"/>
          <w:color w:val="000000" w:themeColor="text1"/>
        </w:rPr>
        <w:t xml:space="preserve">depends on the minimum processing time. We think that current </w:t>
      </w:r>
      <w:r w:rsidR="0037165D" w:rsidRPr="00CB5B70">
        <w:rPr>
          <w:rFonts w:ascii="Times New Roman" w:eastAsia="Times New Roman" w:hAnsi="Times New Roman" w:cs="Times New Roman"/>
          <w:color w:val="000000" w:themeColor="text1"/>
        </w:rPr>
        <w:t>mechanism</w:t>
      </w:r>
      <w:r w:rsidRPr="00CB5B70">
        <w:rPr>
          <w:rFonts w:ascii="Times New Roman" w:eastAsia="Times New Roman" w:hAnsi="Times New Roman" w:cs="Times New Roman"/>
          <w:color w:val="000000" w:themeColor="text1"/>
        </w:rPr>
        <w:t xml:space="preserve"> as defined in specification is </w:t>
      </w:r>
      <w:r w:rsidR="0037165D" w:rsidRPr="00CB5B70">
        <w:rPr>
          <w:rFonts w:ascii="Times New Roman" w:eastAsia="Times New Roman" w:hAnsi="Times New Roman" w:cs="Times New Roman"/>
          <w:color w:val="000000" w:themeColor="text1"/>
        </w:rPr>
        <w:t xml:space="preserve">clear and </w:t>
      </w:r>
      <w:r w:rsidRPr="00CB5B70">
        <w:rPr>
          <w:rFonts w:ascii="Times New Roman" w:eastAsia="Times New Roman" w:hAnsi="Times New Roman" w:cs="Times New Roman"/>
          <w:color w:val="000000" w:themeColor="text1"/>
        </w:rPr>
        <w:t>reasonable</w:t>
      </w:r>
      <w:r w:rsidR="0070537B" w:rsidRPr="00CB5B70">
        <w:rPr>
          <w:rFonts w:ascii="Times New Roman" w:eastAsia="Times New Roman" w:hAnsi="Times New Roman" w:cs="Times New Roman"/>
          <w:color w:val="000000" w:themeColor="text1"/>
        </w:rPr>
        <w:t>,</w:t>
      </w:r>
      <w:r w:rsidRPr="00CB5B70">
        <w:rPr>
          <w:rFonts w:ascii="Times New Roman" w:eastAsia="Times New Roman" w:hAnsi="Times New Roman" w:cs="Times New Roman"/>
          <w:color w:val="000000" w:themeColor="text1"/>
        </w:rPr>
        <w:t xml:space="preserve"> and </w:t>
      </w:r>
      <w:r w:rsidR="0037165D" w:rsidRPr="00CB5B70">
        <w:rPr>
          <w:rFonts w:ascii="Times New Roman" w:eastAsia="Times New Roman" w:hAnsi="Times New Roman" w:cs="Times New Roman"/>
          <w:color w:val="000000" w:themeColor="text1"/>
        </w:rPr>
        <w:t>no further discussion is needed on this aspect</w:t>
      </w:r>
      <w:r w:rsidR="0070537B" w:rsidRPr="00CB5B70">
        <w:rPr>
          <w:rFonts w:ascii="Times New Roman" w:eastAsia="Times New Roman" w:hAnsi="Times New Roman" w:cs="Times New Roman"/>
          <w:color w:val="000000" w:themeColor="text1"/>
        </w:rPr>
        <w:t xml:space="preserve"> in the meeting</w:t>
      </w:r>
      <w:r w:rsidRPr="00CB5B70">
        <w:rPr>
          <w:rFonts w:ascii="Times New Roman" w:eastAsia="Times New Roman" w:hAnsi="Times New Roman" w:cs="Times New Roman"/>
          <w:color w:val="000000" w:themeColor="text1"/>
        </w:rPr>
        <w:t>.</w:t>
      </w:r>
    </w:p>
    <w:p w14:paraId="117791B1" w14:textId="4E79ABC7" w:rsidR="15ADEE61" w:rsidRPr="00CB5B70" w:rsidRDefault="15ADEE61" w:rsidP="15ADEE61">
      <w:pPr>
        <w:jc w:val="both"/>
      </w:pPr>
      <w:r w:rsidRPr="00CB5B70">
        <w:rPr>
          <w:rFonts w:ascii="Times New Roman" w:eastAsia="Times New Roman" w:hAnsi="Times New Roman" w:cs="Times New Roman"/>
          <w:b/>
          <w:bCs/>
          <w:lang w:val="en-GB"/>
        </w:rPr>
        <w:t>Observation</w:t>
      </w:r>
      <w:r w:rsidR="0070537B" w:rsidRPr="00CB5B70">
        <w:rPr>
          <w:rFonts w:ascii="Times New Roman" w:eastAsia="Times New Roman" w:hAnsi="Times New Roman" w:cs="Times New Roman"/>
          <w:b/>
          <w:bCs/>
          <w:lang w:val="en-GB"/>
        </w:rPr>
        <w:t>-2</w:t>
      </w:r>
      <w:r w:rsidRPr="00CB5B70">
        <w:rPr>
          <w:rFonts w:ascii="Times New Roman" w:eastAsia="Times New Roman" w:hAnsi="Times New Roman" w:cs="Times New Roman"/>
          <w:b/>
          <w:bCs/>
          <w:lang w:val="en-GB"/>
        </w:rPr>
        <w:t xml:space="preserve">: </w:t>
      </w:r>
      <w:r w:rsidR="00CB5B70">
        <w:rPr>
          <w:rFonts w:ascii="Times New Roman" w:eastAsia="Times New Roman" w:hAnsi="Times New Roman" w:cs="Times New Roman"/>
          <w:b/>
          <w:bCs/>
          <w:lang w:val="en-GB"/>
        </w:rPr>
        <w:t>C</w:t>
      </w:r>
      <w:r w:rsidR="00C3504F" w:rsidRPr="00CB5B70">
        <w:rPr>
          <w:rFonts w:ascii="Times New Roman" w:eastAsia="Times New Roman" w:hAnsi="Times New Roman" w:cs="Times New Roman"/>
          <w:b/>
          <w:bCs/>
          <w:lang w:val="en-GB"/>
        </w:rPr>
        <w:t xml:space="preserve">urrent definition of reference slot for </w:t>
      </w:r>
      <w:r w:rsidRPr="00CB5B70">
        <w:rPr>
          <w:rFonts w:ascii="Times New Roman" w:eastAsia="Times New Roman" w:hAnsi="Times New Roman" w:cs="Times New Roman"/>
          <w:b/>
          <w:bCs/>
          <w:lang w:val="en-GB"/>
        </w:rPr>
        <w:t>K0 and K2</w:t>
      </w:r>
      <w:r w:rsidR="00C3504F" w:rsidRPr="00CB5B70">
        <w:rPr>
          <w:rFonts w:ascii="Times New Roman" w:eastAsia="Times New Roman" w:hAnsi="Times New Roman" w:cs="Times New Roman"/>
          <w:b/>
          <w:bCs/>
          <w:lang w:val="en-GB"/>
        </w:rPr>
        <w:t xml:space="preserve"> interpretation </w:t>
      </w:r>
      <w:r w:rsidR="0037165D" w:rsidRPr="00CB5B70">
        <w:rPr>
          <w:rFonts w:ascii="Times New Roman" w:eastAsia="Times New Roman" w:hAnsi="Times New Roman" w:cs="Times New Roman"/>
          <w:b/>
          <w:bCs/>
          <w:lang w:val="en-GB"/>
        </w:rPr>
        <w:t>in</w:t>
      </w:r>
      <w:r w:rsidRPr="00CB5B70">
        <w:rPr>
          <w:rFonts w:ascii="Times New Roman" w:eastAsia="Times New Roman" w:hAnsi="Times New Roman" w:cs="Times New Roman"/>
          <w:b/>
          <w:bCs/>
          <w:lang w:val="en-GB"/>
        </w:rPr>
        <w:t xml:space="preserve"> c</w:t>
      </w:r>
      <w:r w:rsidR="0070537B" w:rsidRPr="00CB5B70">
        <w:rPr>
          <w:rFonts w:ascii="Times New Roman" w:eastAsia="Times New Roman" w:hAnsi="Times New Roman" w:cs="Times New Roman"/>
          <w:b/>
          <w:bCs/>
          <w:lang w:val="en-GB"/>
        </w:rPr>
        <w:t>ross-numerology scheduling case,</w:t>
      </w:r>
      <w:r w:rsidR="00C3504F" w:rsidRPr="00CB5B70">
        <w:rPr>
          <w:rFonts w:ascii="Times New Roman" w:eastAsia="Times New Roman" w:hAnsi="Times New Roman" w:cs="Times New Roman"/>
          <w:b/>
          <w:bCs/>
          <w:lang w:val="en-GB"/>
        </w:rPr>
        <w:t xml:space="preserve"> </w:t>
      </w:r>
      <w:r w:rsidR="0070537B" w:rsidRPr="00CB5B70">
        <w:rPr>
          <w:rFonts w:ascii="Times New Roman" w:eastAsia="Times New Roman" w:hAnsi="Times New Roman" w:cs="Times New Roman"/>
          <w:b/>
          <w:bCs/>
          <w:lang w:val="en-GB"/>
        </w:rPr>
        <w:t xml:space="preserve">in the specifications, </w:t>
      </w:r>
      <w:r w:rsidR="00C3504F" w:rsidRPr="00CB5B70">
        <w:rPr>
          <w:rFonts w:ascii="Times New Roman" w:eastAsia="Times New Roman" w:hAnsi="Times New Roman" w:cs="Times New Roman"/>
          <w:b/>
          <w:bCs/>
          <w:lang w:val="en-GB"/>
        </w:rPr>
        <w:t xml:space="preserve">is </w:t>
      </w:r>
      <w:r w:rsidR="0070537B" w:rsidRPr="00CB5B70">
        <w:rPr>
          <w:rFonts w:ascii="Times New Roman" w:eastAsia="Times New Roman" w:hAnsi="Times New Roman" w:cs="Times New Roman"/>
          <w:b/>
          <w:bCs/>
          <w:lang w:val="en-GB"/>
        </w:rPr>
        <w:t xml:space="preserve">sufficient and </w:t>
      </w:r>
      <w:r w:rsidR="00C3504F" w:rsidRPr="00CB5B70">
        <w:rPr>
          <w:rFonts w:ascii="Times New Roman" w:eastAsia="Times New Roman" w:hAnsi="Times New Roman" w:cs="Times New Roman"/>
          <w:b/>
          <w:bCs/>
          <w:lang w:val="en-GB"/>
        </w:rPr>
        <w:t>clear</w:t>
      </w:r>
      <w:r w:rsidR="0070537B" w:rsidRPr="00CB5B70">
        <w:rPr>
          <w:rFonts w:ascii="Times New Roman" w:eastAsia="Times New Roman" w:hAnsi="Times New Roman" w:cs="Times New Roman"/>
          <w:b/>
          <w:bCs/>
          <w:lang w:val="en-GB"/>
        </w:rPr>
        <w:t>.</w:t>
      </w:r>
      <w:r w:rsidR="00C3504F" w:rsidRPr="00CB5B70">
        <w:rPr>
          <w:rFonts w:ascii="Times New Roman" w:eastAsia="Times New Roman" w:hAnsi="Times New Roman" w:cs="Times New Roman"/>
          <w:b/>
          <w:bCs/>
          <w:lang w:val="en-GB"/>
        </w:rPr>
        <w:t xml:space="preserve"> </w:t>
      </w:r>
      <w:r w:rsidR="0070537B" w:rsidRPr="00CB5B70">
        <w:rPr>
          <w:rFonts w:ascii="Times New Roman" w:eastAsia="Times New Roman" w:hAnsi="Times New Roman" w:cs="Times New Roman"/>
          <w:b/>
          <w:bCs/>
          <w:lang w:val="en-GB"/>
        </w:rPr>
        <w:t>No</w:t>
      </w:r>
      <w:r w:rsidR="0037165D" w:rsidRPr="00CB5B70">
        <w:rPr>
          <w:rFonts w:ascii="Times New Roman" w:eastAsia="Times New Roman" w:hAnsi="Times New Roman" w:cs="Times New Roman"/>
          <w:b/>
          <w:bCs/>
          <w:lang w:val="en-GB"/>
        </w:rPr>
        <w:t xml:space="preserve"> further discussion is needed on this aspect</w:t>
      </w:r>
      <w:r w:rsidR="0070537B" w:rsidRPr="00CB5B70">
        <w:rPr>
          <w:rFonts w:ascii="Times New Roman" w:eastAsia="Times New Roman" w:hAnsi="Times New Roman" w:cs="Times New Roman"/>
          <w:b/>
          <w:bCs/>
          <w:lang w:val="en-GB"/>
        </w:rPr>
        <w:t xml:space="preserve"> in the meeting</w:t>
      </w:r>
      <w:r w:rsidR="00C3504F" w:rsidRPr="00CB5B70">
        <w:rPr>
          <w:rFonts w:ascii="Times New Roman" w:eastAsia="Times New Roman" w:hAnsi="Times New Roman" w:cs="Times New Roman"/>
          <w:b/>
          <w:bCs/>
          <w:lang w:val="en-GB"/>
        </w:rPr>
        <w:t>.</w:t>
      </w:r>
    </w:p>
    <w:p w14:paraId="5F34B887" w14:textId="36210D90" w:rsidR="15ADEE61" w:rsidRPr="00CB5B70" w:rsidRDefault="00C3504F" w:rsidP="15ADEE61">
      <w:pPr>
        <w:jc w:val="both"/>
      </w:pPr>
      <w:r w:rsidRPr="00CB5B70">
        <w:rPr>
          <w:rFonts w:ascii="Times New Roman" w:eastAsia="Times New Roman" w:hAnsi="Times New Roman" w:cs="Times New Roman"/>
          <w:lang w:val="en-GB"/>
        </w:rPr>
        <w:t xml:space="preserve">On the other hand, </w:t>
      </w:r>
      <w:r w:rsidR="0037165D" w:rsidRPr="00CB5B70">
        <w:rPr>
          <w:rFonts w:ascii="Times New Roman" w:eastAsia="Times New Roman" w:hAnsi="Times New Roman" w:cs="Times New Roman"/>
          <w:lang w:val="en-GB"/>
        </w:rPr>
        <w:t xml:space="preserve">to our understanding, the </w:t>
      </w:r>
      <w:r w:rsidRPr="00CB5B70">
        <w:rPr>
          <w:rFonts w:ascii="Times New Roman" w:eastAsia="Times New Roman" w:hAnsi="Times New Roman" w:cs="Times New Roman"/>
          <w:lang w:val="en-GB"/>
        </w:rPr>
        <w:t xml:space="preserve">definition of reference slot for </w:t>
      </w:r>
      <w:r w:rsidR="0070537B" w:rsidRPr="00CB5B70">
        <w:rPr>
          <w:rFonts w:ascii="Times New Roman" w:eastAsia="Times New Roman" w:hAnsi="Times New Roman" w:cs="Times New Roman"/>
          <w:lang w:val="en-GB"/>
        </w:rPr>
        <w:t>interpretation of</w:t>
      </w:r>
      <w:r w:rsidR="15ADEE61" w:rsidRPr="00CB5B70">
        <w:rPr>
          <w:rFonts w:ascii="Times New Roman" w:eastAsia="Times New Roman" w:hAnsi="Times New Roman" w:cs="Times New Roman"/>
          <w:lang w:val="en-GB"/>
        </w:rPr>
        <w:t xml:space="preserve"> K1 in </w:t>
      </w:r>
      <w:r w:rsidR="0037165D" w:rsidRPr="00CB5B70">
        <w:rPr>
          <w:rFonts w:ascii="Times New Roman" w:eastAsia="Times New Roman" w:hAnsi="Times New Roman" w:cs="Times New Roman"/>
          <w:lang w:val="en-GB"/>
        </w:rPr>
        <w:t>TS</w:t>
      </w:r>
      <w:r w:rsidR="15ADEE61" w:rsidRPr="00CB5B70">
        <w:rPr>
          <w:rFonts w:ascii="Times New Roman" w:eastAsia="Times New Roman" w:hAnsi="Times New Roman" w:cs="Times New Roman"/>
          <w:lang w:val="en-GB"/>
        </w:rPr>
        <w:t xml:space="preserve">38.213 </w:t>
      </w:r>
      <w:r w:rsidR="0037165D" w:rsidRPr="00CB5B70">
        <w:rPr>
          <w:rFonts w:ascii="Times New Roman" w:eastAsia="Times New Roman" w:hAnsi="Times New Roman" w:cs="Times New Roman"/>
          <w:lang w:val="en-GB"/>
        </w:rPr>
        <w:t xml:space="preserve">is </w:t>
      </w:r>
      <w:r w:rsidR="0070537B" w:rsidRPr="00CB5B70">
        <w:rPr>
          <w:rFonts w:ascii="Times New Roman" w:eastAsia="Times New Roman" w:hAnsi="Times New Roman" w:cs="Times New Roman"/>
          <w:lang w:val="en-GB"/>
        </w:rPr>
        <w:t>currently missing. W</w:t>
      </w:r>
      <w:r w:rsidR="0037165D" w:rsidRPr="00CB5B70">
        <w:rPr>
          <w:rFonts w:ascii="Times New Roman" w:eastAsia="Times New Roman" w:hAnsi="Times New Roman" w:cs="Times New Roman"/>
          <w:lang w:val="en-GB"/>
        </w:rPr>
        <w:t>e think that</w:t>
      </w:r>
      <w:r w:rsidR="15ADEE61" w:rsidRPr="00CB5B70">
        <w:rPr>
          <w:rFonts w:ascii="Times New Roman" w:eastAsia="Times New Roman" w:hAnsi="Times New Roman" w:cs="Times New Roman"/>
          <w:lang w:val="en-GB"/>
        </w:rPr>
        <w:t xml:space="preserve"> </w:t>
      </w:r>
      <w:r w:rsidR="0037165D" w:rsidRPr="00CB5B70">
        <w:rPr>
          <w:rFonts w:ascii="Times New Roman" w:eastAsia="Times New Roman" w:hAnsi="Times New Roman" w:cs="Times New Roman"/>
          <w:lang w:val="en-GB"/>
        </w:rPr>
        <w:t>the determination of reference slot shall follow the same principle as for K0 and K2</w:t>
      </w:r>
      <w:r w:rsidR="15ADEE61" w:rsidRPr="00CB5B70">
        <w:rPr>
          <w:rFonts w:ascii="Times New Roman" w:eastAsia="Times New Roman" w:hAnsi="Times New Roman" w:cs="Times New Roman"/>
          <w:lang w:val="en-GB"/>
        </w:rPr>
        <w:t>:</w:t>
      </w:r>
    </w:p>
    <w:p w14:paraId="77536B77" w14:textId="2BAE7DC4" w:rsidR="15ADEE61" w:rsidRPr="00CB5B70" w:rsidRDefault="15ADEE61" w:rsidP="15ADEE61">
      <w:pPr>
        <w:jc w:val="both"/>
      </w:pPr>
      <w:r w:rsidRPr="00CB5B70">
        <w:rPr>
          <w:rFonts w:ascii="Times New Roman" w:eastAsia="Times New Roman" w:hAnsi="Times New Roman" w:cs="Times New Roman"/>
          <w:b/>
          <w:bCs/>
          <w:lang w:val="en-GB"/>
        </w:rPr>
        <w:lastRenderedPageBreak/>
        <w:t>Proposal-</w:t>
      </w:r>
      <w:r w:rsidR="0070537B" w:rsidRPr="00CB5B70">
        <w:rPr>
          <w:rFonts w:ascii="Times New Roman" w:eastAsia="Times New Roman" w:hAnsi="Times New Roman" w:cs="Times New Roman"/>
          <w:b/>
          <w:bCs/>
          <w:lang w:val="en-GB"/>
        </w:rPr>
        <w:t>3</w:t>
      </w:r>
      <w:r w:rsidRPr="00CB5B70">
        <w:rPr>
          <w:rFonts w:ascii="Times New Roman" w:eastAsia="Times New Roman" w:hAnsi="Times New Roman" w:cs="Times New Roman"/>
          <w:b/>
          <w:bCs/>
          <w:lang w:val="en-GB"/>
        </w:rPr>
        <w:t xml:space="preserve">: </w:t>
      </w:r>
      <w:r w:rsidR="0037165D" w:rsidRPr="00CB5B70">
        <w:rPr>
          <w:rFonts w:ascii="Times New Roman" w:eastAsia="Times New Roman" w:hAnsi="Times New Roman" w:cs="Times New Roman"/>
          <w:b/>
          <w:bCs/>
          <w:lang w:val="en-GB"/>
        </w:rPr>
        <w:t xml:space="preserve">The reference slot for interpretation of </w:t>
      </w:r>
      <w:r w:rsidRPr="00CB5B70">
        <w:rPr>
          <w:rFonts w:ascii="Times New Roman" w:eastAsia="Times New Roman" w:hAnsi="Times New Roman" w:cs="Times New Roman"/>
          <w:b/>
          <w:bCs/>
          <w:lang w:val="en-GB"/>
        </w:rPr>
        <w:t xml:space="preserve">K1 </w:t>
      </w:r>
      <w:r w:rsidR="0037165D" w:rsidRPr="00CB5B70">
        <w:rPr>
          <w:rFonts w:ascii="Times New Roman" w:eastAsia="Times New Roman" w:hAnsi="Times New Roman" w:cs="Times New Roman"/>
          <w:b/>
          <w:bCs/>
          <w:lang w:val="en-GB"/>
        </w:rPr>
        <w:t>follows the same</w:t>
      </w:r>
      <w:r w:rsidRPr="00CB5B70">
        <w:rPr>
          <w:rFonts w:ascii="Times New Roman" w:eastAsia="Times New Roman" w:hAnsi="Times New Roman" w:cs="Times New Roman"/>
          <w:b/>
          <w:bCs/>
          <w:lang w:val="en-GB"/>
        </w:rPr>
        <w:t xml:space="preserve"> principle </w:t>
      </w:r>
      <w:r w:rsidR="0037165D" w:rsidRPr="00CB5B70">
        <w:rPr>
          <w:rFonts w:ascii="Times New Roman" w:eastAsia="Times New Roman" w:hAnsi="Times New Roman" w:cs="Times New Roman"/>
          <w:b/>
          <w:bCs/>
          <w:lang w:val="en-GB"/>
        </w:rPr>
        <w:t>as for interpretation of</w:t>
      </w:r>
      <w:r w:rsidRPr="00CB5B70">
        <w:rPr>
          <w:rFonts w:ascii="Times New Roman" w:eastAsia="Times New Roman" w:hAnsi="Times New Roman" w:cs="Times New Roman"/>
          <w:b/>
          <w:bCs/>
          <w:lang w:val="en-GB"/>
        </w:rPr>
        <w:t xml:space="preserve"> K0, K2.</w:t>
      </w:r>
    </w:p>
    <w:p w14:paraId="70A68A9B" w14:textId="53D4F780" w:rsidR="00D562E9" w:rsidRPr="00BB5496" w:rsidRDefault="00D562E9" w:rsidP="00B10D1A">
      <w:pPr>
        <w:jc w:val="both"/>
        <w:rPr>
          <w:rFonts w:ascii="Times New Roman" w:eastAsia="Times New Roman" w:hAnsi="Times New Roman" w:cs="Times New Roman"/>
          <w:sz w:val="20"/>
        </w:rPr>
      </w:pPr>
    </w:p>
    <w:p w14:paraId="0FA47758" w14:textId="323B3B9A" w:rsidR="00347AC2" w:rsidRPr="00B20742" w:rsidRDefault="0019039A" w:rsidP="00DB43D5">
      <w:pPr>
        <w:pStyle w:val="Heading2"/>
      </w:pPr>
      <w:bookmarkStart w:id="6" w:name="_Hlk510452389"/>
      <w:r>
        <w:t>On configurability of</w:t>
      </w:r>
      <w:r w:rsidR="6A0AD366">
        <w:t xml:space="preserve"> BWPI field in DCI</w:t>
      </w:r>
    </w:p>
    <w:bookmarkEnd w:id="6"/>
    <w:p w14:paraId="431CD6AB" w14:textId="1824781A" w:rsidR="00B50D42" w:rsidRDefault="15ADEE61" w:rsidP="15ADEE61">
      <w:pPr>
        <w:jc w:val="both"/>
        <w:rPr>
          <w:rFonts w:ascii="Times New Roman" w:hAnsi="Times New Roman" w:cs="Times New Roman"/>
          <w:lang w:val="en-GB"/>
        </w:rPr>
      </w:pPr>
      <w:r w:rsidRPr="15ADEE61">
        <w:rPr>
          <w:rFonts w:ascii="Times New Roman" w:hAnsi="Times New Roman" w:cs="Times New Roman"/>
          <w:lang w:val="en-GB"/>
        </w:rPr>
        <w:t xml:space="preserve">The original feature of BWP was design to </w:t>
      </w:r>
      <w:r w:rsidRPr="15ADEE61">
        <w:rPr>
          <w:rFonts w:ascii="Times New Roman" w:hAnsi="Times New Roman" w:cs="Times New Roman"/>
          <w:u w:val="single"/>
          <w:lang w:val="en-GB"/>
        </w:rPr>
        <w:t>always</w:t>
      </w:r>
      <w:r w:rsidRPr="15ADEE61">
        <w:rPr>
          <w:rFonts w:ascii="Times New Roman" w:hAnsi="Times New Roman" w:cs="Times New Roman"/>
          <w:lang w:val="en-GB"/>
        </w:rPr>
        <w:t xml:space="preserve"> support BWP switching by </w:t>
      </w:r>
      <w:r w:rsidR="00BE485E" w:rsidRPr="15ADEE61">
        <w:rPr>
          <w:rFonts w:ascii="Times New Roman" w:hAnsi="Times New Roman" w:cs="Times New Roman"/>
          <w:lang w:val="en-GB"/>
        </w:rPr>
        <w:t>scheduling</w:t>
      </w:r>
      <w:r w:rsidRPr="15ADEE61">
        <w:rPr>
          <w:rFonts w:ascii="Times New Roman" w:hAnsi="Times New Roman" w:cs="Times New Roman"/>
          <w:lang w:val="en-GB"/>
        </w:rPr>
        <w:t xml:space="preserve"> DCI. And</w:t>
      </w:r>
      <w:r w:rsidR="00BE485E">
        <w:rPr>
          <w:rFonts w:ascii="Times New Roman" w:hAnsi="Times New Roman" w:cs="Times New Roman"/>
          <w:lang w:val="en-GB"/>
        </w:rPr>
        <w:t>,</w:t>
      </w:r>
      <w:r w:rsidRPr="15ADEE61">
        <w:rPr>
          <w:rFonts w:ascii="Times New Roman" w:hAnsi="Times New Roman" w:cs="Times New Roman"/>
          <w:lang w:val="en-GB"/>
        </w:rPr>
        <w:t xml:space="preserve"> there </w:t>
      </w:r>
      <w:r w:rsidR="00BE485E">
        <w:rPr>
          <w:rFonts w:ascii="Times New Roman" w:hAnsi="Times New Roman" w:cs="Times New Roman"/>
          <w:lang w:val="en-GB"/>
        </w:rPr>
        <w:t>is</w:t>
      </w:r>
      <w:r w:rsidRPr="15ADEE61">
        <w:rPr>
          <w:rFonts w:ascii="Times New Roman" w:hAnsi="Times New Roman" w:cs="Times New Roman"/>
          <w:lang w:val="en-GB"/>
        </w:rPr>
        <w:t xml:space="preserve"> </w:t>
      </w:r>
      <w:r w:rsidR="00BE485E">
        <w:rPr>
          <w:rFonts w:ascii="Times New Roman" w:hAnsi="Times New Roman" w:cs="Times New Roman"/>
          <w:lang w:val="en-GB"/>
        </w:rPr>
        <w:t>no</w:t>
      </w:r>
      <w:r w:rsidRPr="15ADEE61">
        <w:rPr>
          <w:rFonts w:ascii="Times New Roman" w:hAnsi="Times New Roman" w:cs="Times New Roman"/>
          <w:lang w:val="en-GB"/>
        </w:rPr>
        <w:t xml:space="preserve"> agreement on</w:t>
      </w:r>
      <w:r w:rsidR="00BE485E">
        <w:rPr>
          <w:rFonts w:ascii="Times New Roman" w:hAnsi="Times New Roman" w:cs="Times New Roman"/>
          <w:lang w:val="en-GB"/>
        </w:rPr>
        <w:t xml:space="preserve"> support of</w:t>
      </w:r>
      <w:r w:rsidRPr="15ADEE61">
        <w:rPr>
          <w:rFonts w:ascii="Times New Roman" w:hAnsi="Times New Roman" w:cs="Times New Roman"/>
          <w:lang w:val="en-GB"/>
        </w:rPr>
        <w:t xml:space="preserve"> configurability of BWPI field presence in DCI, nor such a parameter exists in RAN2 spec. Later, the baseline mandatory feature was introduced (as part of feature discussions) not supporting DCI-based BWP switching. And, RAN1 specification editors added the configurability</w:t>
      </w:r>
      <w:r w:rsidR="00BE485E">
        <w:rPr>
          <w:rFonts w:ascii="Times New Roman" w:hAnsi="Times New Roman" w:cs="Times New Roman"/>
          <w:lang w:val="en-GB"/>
        </w:rPr>
        <w:t xml:space="preserve"> to RAN1 specifications</w:t>
      </w:r>
      <w:r w:rsidRPr="15ADEE61">
        <w:rPr>
          <w:rFonts w:ascii="Times New Roman" w:hAnsi="Times New Roman" w:cs="Times New Roman"/>
          <w:lang w:val="en-GB"/>
        </w:rPr>
        <w:t xml:space="preserve">, which is clearly essential, because DCI-based BWP switching </w:t>
      </w:r>
      <w:r w:rsidR="00BE485E">
        <w:rPr>
          <w:rFonts w:ascii="Times New Roman" w:hAnsi="Times New Roman" w:cs="Times New Roman"/>
          <w:lang w:val="en-GB"/>
        </w:rPr>
        <w:t>might</w:t>
      </w:r>
      <w:r w:rsidRPr="15ADEE61">
        <w:rPr>
          <w:rFonts w:ascii="Times New Roman" w:hAnsi="Times New Roman" w:cs="Times New Roman"/>
          <w:lang w:val="en-GB"/>
        </w:rPr>
        <w:t xml:space="preserve"> not </w:t>
      </w:r>
      <w:r w:rsidR="00BE485E">
        <w:rPr>
          <w:rFonts w:ascii="Times New Roman" w:hAnsi="Times New Roman" w:cs="Times New Roman"/>
          <w:lang w:val="en-GB"/>
        </w:rPr>
        <w:t>be supported by all R15 UEs</w:t>
      </w:r>
      <w:r w:rsidRPr="15ADEE61">
        <w:rPr>
          <w:rFonts w:ascii="Times New Roman" w:hAnsi="Times New Roman" w:cs="Times New Roman"/>
          <w:lang w:val="en-GB"/>
        </w:rPr>
        <w:t xml:space="preserve">. Therefore, we propose: </w:t>
      </w:r>
    </w:p>
    <w:p w14:paraId="259BB7F7" w14:textId="212957F3" w:rsidR="00E404B5" w:rsidRPr="00E404B5" w:rsidRDefault="6A0AD366" w:rsidP="6A0AD366">
      <w:pPr>
        <w:jc w:val="both"/>
        <w:rPr>
          <w:rFonts w:ascii="Times New Roman" w:hAnsi="Times New Roman" w:cs="Times New Roman"/>
          <w:b/>
          <w:bCs/>
          <w:lang w:val="en-GB"/>
        </w:rPr>
      </w:pPr>
      <w:r w:rsidRPr="6A0AD366">
        <w:rPr>
          <w:rFonts w:ascii="Times New Roman" w:hAnsi="Times New Roman" w:cs="Times New Roman"/>
          <w:b/>
          <w:bCs/>
          <w:lang w:val="en-GB"/>
        </w:rPr>
        <w:t>Proposal-</w:t>
      </w:r>
      <w:r w:rsidR="00FE559A">
        <w:rPr>
          <w:rFonts w:ascii="Times New Roman" w:hAnsi="Times New Roman" w:cs="Times New Roman"/>
          <w:b/>
          <w:bCs/>
          <w:lang w:val="en-GB"/>
        </w:rPr>
        <w:t>4</w:t>
      </w:r>
      <w:r w:rsidRPr="6A0AD366">
        <w:rPr>
          <w:rFonts w:ascii="Times New Roman" w:hAnsi="Times New Roman" w:cs="Times New Roman"/>
          <w:b/>
          <w:bCs/>
          <w:lang w:val="en-GB"/>
        </w:rPr>
        <w:t>: Introduce RRC parameter for configuration of BWPI field presence in the DCI 1_1 and 0_1, inform RAN2 about the decision.</w:t>
      </w:r>
    </w:p>
    <w:p w14:paraId="6069D79D" w14:textId="77777777" w:rsidR="00FE559A" w:rsidRDefault="00FE559A" w:rsidP="00FE559A">
      <w:pPr>
        <w:pStyle w:val="Heading2"/>
      </w:pPr>
      <w:r>
        <w:t>Basic BWP operation and BWP adaptation with dynamic switching</w:t>
      </w:r>
    </w:p>
    <w:tbl>
      <w:tblPr>
        <w:tblW w:w="45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31"/>
        <w:gridCol w:w="1207"/>
        <w:gridCol w:w="6238"/>
        <w:gridCol w:w="708"/>
      </w:tblGrid>
      <w:tr w:rsidR="00FE559A" w:rsidRPr="00EB58BB" w14:paraId="68425D8F" w14:textId="77777777" w:rsidTr="0084718C">
        <w:trPr>
          <w:trHeight w:val="1308"/>
        </w:trPr>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781975F" w14:textId="77777777" w:rsidR="00FE559A" w:rsidRPr="00A2545F" w:rsidRDefault="00FE559A" w:rsidP="0084718C">
            <w:pPr>
              <w:snapToGrid w:val="0"/>
              <w:rPr>
                <w:rFonts w:ascii="Arial" w:eastAsia="MS PGothic" w:hAnsi="Arial" w:cs="Arial"/>
                <w:sz w:val="18"/>
                <w:szCs w:val="18"/>
              </w:rPr>
            </w:pPr>
            <w:r w:rsidRPr="00EB58BB">
              <w:rPr>
                <w:rFonts w:ascii="Arial" w:eastAsia="MS PGothic" w:hAnsi="Arial" w:cs="Arial"/>
                <w:sz w:val="18"/>
                <w:szCs w:val="18"/>
              </w:rPr>
              <w:t>6-1</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1990296"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Basic BWP operation</w:t>
            </w:r>
          </w:p>
        </w:tc>
        <w:tc>
          <w:tcPr>
            <w:tcW w:w="3551" w:type="pct"/>
            <w:tcBorders>
              <w:top w:val="single" w:sz="4" w:space="0" w:color="auto"/>
              <w:left w:val="single" w:sz="4" w:space="0" w:color="auto"/>
              <w:bottom w:val="single" w:sz="4" w:space="0" w:color="auto"/>
              <w:right w:val="single" w:sz="4" w:space="0" w:color="auto"/>
            </w:tcBorders>
            <w:shd w:val="clear" w:color="auto" w:fill="auto"/>
            <w:vAlign w:val="center"/>
          </w:tcPr>
          <w:p w14:paraId="0604FDA0"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1) 1 UE-specific RRC configured DL BWP per carrier</w:t>
            </w:r>
          </w:p>
          <w:p w14:paraId="0882A165"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2) 1 UE-specific RRC configured UL BWP per carrier</w:t>
            </w:r>
          </w:p>
          <w:p w14:paraId="167650FF" w14:textId="77777777" w:rsidR="00FE559A" w:rsidRPr="00EB58BB" w:rsidRDefault="00FE559A" w:rsidP="0084718C">
            <w:pPr>
              <w:snapToGrid w:val="0"/>
              <w:rPr>
                <w:rFonts w:ascii="Arial" w:eastAsia="MS PGothic" w:hAnsi="Arial" w:cs="Arial"/>
                <w:sz w:val="18"/>
                <w:szCs w:val="18"/>
              </w:rPr>
            </w:pPr>
          </w:p>
          <w:p w14:paraId="540E0E0B"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2) RRC reconfiguration of any parameters related to BWP</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A3D99CF" w14:textId="77777777" w:rsidR="00FE559A" w:rsidRPr="00885580" w:rsidRDefault="00FE559A" w:rsidP="0084718C">
            <w:pPr>
              <w:snapToGrid w:val="0"/>
              <w:rPr>
                <w:rFonts w:ascii="Arial" w:eastAsia="MS PGothic" w:hAnsi="Arial" w:cs="Arial"/>
                <w:sz w:val="18"/>
                <w:szCs w:val="18"/>
              </w:rPr>
            </w:pPr>
          </w:p>
        </w:tc>
      </w:tr>
      <w:tr w:rsidR="00FE559A" w:rsidRPr="00EB58BB" w14:paraId="43D14EF0" w14:textId="77777777" w:rsidTr="0084718C">
        <w:trPr>
          <w:trHeight w:val="2294"/>
        </w:trPr>
        <w:tc>
          <w:tcPr>
            <w:tcW w:w="359" w:type="pct"/>
            <w:shd w:val="clear" w:color="auto" w:fill="auto"/>
            <w:vAlign w:val="center"/>
          </w:tcPr>
          <w:p w14:paraId="550C1C1A"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6-2</w:t>
            </w:r>
          </w:p>
        </w:tc>
        <w:tc>
          <w:tcPr>
            <w:tcW w:w="687" w:type="pct"/>
            <w:shd w:val="clear" w:color="auto" w:fill="auto"/>
            <w:vAlign w:val="center"/>
          </w:tcPr>
          <w:p w14:paraId="4C9EF387"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p>
        </w:tc>
        <w:tc>
          <w:tcPr>
            <w:tcW w:w="3551" w:type="pct"/>
            <w:shd w:val="clear" w:color="auto" w:fill="auto"/>
            <w:vAlign w:val="center"/>
          </w:tcPr>
          <w:p w14:paraId="08F152F8"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2D08AE2A"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410E5255"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5D794EE2" w14:textId="77777777" w:rsidR="00FE559A" w:rsidRDefault="00FE559A" w:rsidP="0084718C">
            <w:pPr>
              <w:snapToGrid w:val="0"/>
              <w:rPr>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p w14:paraId="11D4234C" w14:textId="77777777" w:rsidR="00FE559A" w:rsidRPr="00EB58BB" w:rsidRDefault="00FE559A" w:rsidP="0084718C">
            <w:pPr>
              <w:snapToGrid w:val="0"/>
              <w:rPr>
                <w:rFonts w:ascii="Arial" w:eastAsia="MS PGothic" w:hAnsi="Arial" w:cs="Arial"/>
                <w:sz w:val="18"/>
                <w:szCs w:val="18"/>
              </w:rPr>
            </w:pPr>
            <w:r>
              <w:rPr>
                <w:rFonts w:ascii="Arial" w:eastAsia="MS PGothic" w:hAnsi="Arial" w:cs="Arial"/>
                <w:sz w:val="18"/>
                <w:szCs w:val="18"/>
                <w:highlight w:val="yellow"/>
              </w:rPr>
              <w:t>5</w:t>
            </w:r>
            <w:r w:rsidRPr="00CA4C8A">
              <w:rPr>
                <w:rFonts w:ascii="Arial" w:eastAsia="MS PGothic" w:hAnsi="Arial" w:cs="Arial"/>
                <w:sz w:val="18"/>
                <w:szCs w:val="18"/>
                <w:highlight w:val="yellow"/>
              </w:rPr>
              <w:t>) BW of each BWP includes BW of the same initial DL BWP if there is an initial DL BWP in a carrier</w:t>
            </w:r>
          </w:p>
        </w:tc>
        <w:tc>
          <w:tcPr>
            <w:tcW w:w="403" w:type="pct"/>
            <w:shd w:val="clear" w:color="auto" w:fill="auto"/>
            <w:vAlign w:val="center"/>
          </w:tcPr>
          <w:p w14:paraId="125AE35E" w14:textId="77777777" w:rsidR="00FE559A" w:rsidRPr="00EB58BB" w:rsidRDefault="00FE559A" w:rsidP="0084718C">
            <w:pPr>
              <w:snapToGrid w:val="0"/>
              <w:rPr>
                <w:rFonts w:ascii="Arial" w:eastAsia="MS PGothic" w:hAnsi="Arial" w:cs="Arial"/>
                <w:sz w:val="18"/>
                <w:szCs w:val="18"/>
              </w:rPr>
            </w:pPr>
            <w:r w:rsidRPr="00EB58BB">
              <w:rPr>
                <w:rFonts w:ascii="Arial" w:eastAsia="MS PGothic" w:hAnsi="Arial" w:cs="Arial"/>
                <w:sz w:val="18"/>
                <w:szCs w:val="18"/>
              </w:rPr>
              <w:t>6-1</w:t>
            </w:r>
          </w:p>
        </w:tc>
      </w:tr>
    </w:tbl>
    <w:p w14:paraId="4FCE1318" w14:textId="77777777" w:rsidR="00FE559A" w:rsidRPr="00C11327" w:rsidRDefault="00FE559A" w:rsidP="00FE559A">
      <w:pPr>
        <w:jc w:val="both"/>
        <w:rPr>
          <w:bCs/>
        </w:rPr>
      </w:pPr>
    </w:p>
    <w:p w14:paraId="2FBF6B9E" w14:textId="5D74EE38" w:rsidR="00FE559A" w:rsidRPr="00CB5B70" w:rsidRDefault="00FE559A" w:rsidP="00FE559A">
      <w:pPr>
        <w:jc w:val="both"/>
        <w:rPr>
          <w:rFonts w:ascii="Times New Roman" w:hAnsi="Times New Roman" w:cs="Times New Roman"/>
          <w:bCs/>
        </w:rPr>
      </w:pPr>
      <w:r w:rsidRPr="00CB5B70">
        <w:rPr>
          <w:rFonts w:ascii="Times New Roman" w:hAnsi="Times New Roman" w:cs="Times New Roman"/>
          <w:bCs/>
        </w:rPr>
        <w:t>The above feature 6-2, seems to be the next implementation delta from the mandatory feature 6-1. And we think that it should be clarified what scenarios should be supported with this optional feature. To our understanding, feature 6-2 supports 2 dedicated BWPs plus initial active BWP, i.e. switching DCI based switching between 3 BWPs total. Therefore, it should be clarified that numerology of initial active BWP should be the same as numerology of 2 UE-specific RRC configured DL BWPs.</w:t>
      </w:r>
    </w:p>
    <w:p w14:paraId="5D905574" w14:textId="30490252" w:rsidR="00FE559A" w:rsidRPr="00CB5B70" w:rsidRDefault="00FE559A" w:rsidP="00FE559A">
      <w:pPr>
        <w:jc w:val="both"/>
        <w:rPr>
          <w:rFonts w:ascii="Times New Roman" w:hAnsi="Times New Roman" w:cs="Times New Roman"/>
          <w:b/>
          <w:bCs/>
        </w:rPr>
      </w:pPr>
      <w:r w:rsidRPr="00CB5B70">
        <w:rPr>
          <w:rFonts w:ascii="Times New Roman" w:hAnsi="Times New Roman" w:cs="Times New Roman"/>
          <w:b/>
          <w:bCs/>
        </w:rPr>
        <w:t>Proposal</w:t>
      </w:r>
      <w:r w:rsidR="00102852">
        <w:rPr>
          <w:rFonts w:ascii="Times New Roman" w:hAnsi="Times New Roman" w:cs="Times New Roman"/>
          <w:b/>
          <w:bCs/>
        </w:rPr>
        <w:t>-</w:t>
      </w:r>
      <w:bookmarkStart w:id="7" w:name="_GoBack"/>
      <w:bookmarkEnd w:id="7"/>
      <w:r w:rsidRPr="00CB5B70">
        <w:rPr>
          <w:rFonts w:ascii="Times New Roman" w:hAnsi="Times New Roman" w:cs="Times New Roman"/>
          <w:b/>
          <w:bCs/>
        </w:rPr>
        <w:t>5: Feature 6-1/6-2: Clarify that the initial active BWP (configured by MIB or dedicated RRC) should be of the same numerology same as numerology of 2 UE-specific RRC configured DL BWPs.</w:t>
      </w:r>
    </w:p>
    <w:p w14:paraId="052B20CE" w14:textId="77777777" w:rsidR="00FE559A" w:rsidRPr="00CB5B70" w:rsidRDefault="00FE559A" w:rsidP="00FE559A">
      <w:pPr>
        <w:jc w:val="both"/>
        <w:rPr>
          <w:rFonts w:ascii="Times New Roman" w:eastAsia="MS PGothic" w:hAnsi="Times New Roman" w:cs="Times New Roman"/>
        </w:rPr>
      </w:pPr>
      <w:r w:rsidRPr="00CB5B70">
        <w:rPr>
          <w:rFonts w:ascii="Times New Roman" w:hAnsi="Times New Roman" w:cs="Times New Roman"/>
          <w:bCs/>
        </w:rPr>
        <w:t>The next point to clarify is the FFS:</w:t>
      </w:r>
      <w:r w:rsidRPr="00CB5B70">
        <w:rPr>
          <w:rFonts w:ascii="Times New Roman" w:eastAsia="MS PGothic" w:hAnsi="Times New Roman" w:cs="Times New Roman"/>
        </w:rPr>
        <w:t xml:space="preserve"> </w:t>
      </w:r>
      <w:r w:rsidRPr="00CB5B70">
        <w:rPr>
          <w:rFonts w:ascii="Times New Roman" w:eastAsia="MS PGothic" w:hAnsi="Times New Roman" w:cs="Times New Roman"/>
          <w:i/>
        </w:rPr>
        <w:t>BW of each BWP includes BW of the same initial DL BWP if there is an initial DL BWP in a carrier</w:t>
      </w:r>
      <w:r w:rsidRPr="00CB5B70">
        <w:rPr>
          <w:rFonts w:ascii="Times New Roman" w:eastAsia="MS PGothic" w:hAnsi="Times New Roman" w:cs="Times New Roman"/>
        </w:rPr>
        <w:t xml:space="preserve">. We think that the condition could be formulated differently, for example by saying “Each BWP in a Pcell or PScell includes an SSB”, which would enable more flexibility for the feature. </w:t>
      </w:r>
    </w:p>
    <w:p w14:paraId="62963442" w14:textId="25B49F17" w:rsidR="00FE559A" w:rsidRPr="00CB5B70" w:rsidRDefault="00FE559A" w:rsidP="00FE559A">
      <w:pPr>
        <w:jc w:val="both"/>
        <w:rPr>
          <w:rFonts w:ascii="Times New Roman" w:hAnsi="Times New Roman" w:cs="Times New Roman"/>
          <w:b/>
          <w:bCs/>
        </w:rPr>
      </w:pPr>
      <w:r w:rsidRPr="00CB5B70">
        <w:rPr>
          <w:rFonts w:ascii="Times New Roman" w:hAnsi="Times New Roman" w:cs="Times New Roman"/>
          <w:b/>
          <w:bCs/>
        </w:rPr>
        <w:t>Proposal</w:t>
      </w:r>
      <w:r w:rsidR="00102852">
        <w:rPr>
          <w:rFonts w:ascii="Times New Roman" w:hAnsi="Times New Roman" w:cs="Times New Roman"/>
          <w:b/>
          <w:bCs/>
        </w:rPr>
        <w:t>-</w:t>
      </w:r>
      <w:r w:rsidRPr="00CB5B70">
        <w:rPr>
          <w:rFonts w:ascii="Times New Roman" w:hAnsi="Times New Roman" w:cs="Times New Roman"/>
          <w:b/>
          <w:bCs/>
        </w:rPr>
        <w:t>6: Feature 6-2: Replace the text “</w:t>
      </w:r>
      <w:r w:rsidRPr="00CB5B70">
        <w:rPr>
          <w:rFonts w:ascii="Times New Roman" w:eastAsia="MS PGothic" w:hAnsi="Times New Roman" w:cs="Times New Roman"/>
          <w:b/>
          <w:i/>
        </w:rPr>
        <w:t>BW of each BWP includes BW of the same initial DL BWP if there is an initial DL BWP in a carrier</w:t>
      </w:r>
      <w:r w:rsidRPr="00CB5B70">
        <w:rPr>
          <w:rFonts w:ascii="Times New Roman" w:eastAsia="MS PGothic" w:hAnsi="Times New Roman" w:cs="Times New Roman"/>
          <w:b/>
        </w:rPr>
        <w:t>” with “</w:t>
      </w:r>
      <w:r w:rsidRPr="00CB5B70">
        <w:rPr>
          <w:rFonts w:ascii="Times New Roman" w:eastAsia="MS PGothic" w:hAnsi="Times New Roman" w:cs="Times New Roman"/>
          <w:b/>
          <w:i/>
        </w:rPr>
        <w:t>Each DL BWP in a Pcell or PScell includes an SSB</w:t>
      </w:r>
      <w:r w:rsidRPr="00CB5B70">
        <w:rPr>
          <w:rFonts w:ascii="Times New Roman" w:eastAsia="MS PGothic" w:hAnsi="Times New Roman" w:cs="Times New Roman"/>
          <w:b/>
        </w:rPr>
        <w:t>”</w:t>
      </w:r>
      <w:r w:rsidR="00CB5B70" w:rsidRPr="00CB5B70">
        <w:rPr>
          <w:rFonts w:ascii="Times New Roman" w:eastAsia="MS PGothic" w:hAnsi="Times New Roman" w:cs="Times New Roman"/>
          <w:b/>
        </w:rPr>
        <w:t>.</w:t>
      </w:r>
    </w:p>
    <w:p w14:paraId="375FB55F" w14:textId="77777777" w:rsidR="00FE559A" w:rsidRPr="00CB5B70" w:rsidRDefault="00FE559A" w:rsidP="00FE559A">
      <w:pPr>
        <w:jc w:val="both"/>
        <w:rPr>
          <w:rFonts w:ascii="Times New Roman" w:hAnsi="Times New Roman" w:cs="Times New Roman"/>
          <w:bCs/>
        </w:rPr>
      </w:pPr>
      <w:r w:rsidRPr="00CB5B70">
        <w:rPr>
          <w:rFonts w:ascii="Times New Roman" w:hAnsi="Times New Roman" w:cs="Times New Roman"/>
          <w:bCs/>
        </w:rPr>
        <w:t xml:space="preserve">Furthermore, one clarification is needed for the mandatory feature 6-1, which allows different numerology between initial BWP and the dedicated RRC configured BWP. It is not clear whether default BWP timer (as a form of dynamic BWP switching) is supported in this baseline feature or not. </w:t>
      </w:r>
    </w:p>
    <w:p w14:paraId="6DBDDED7" w14:textId="32C6C808" w:rsidR="00FE559A" w:rsidRPr="00CB5B70" w:rsidRDefault="00FE559A" w:rsidP="00FE559A">
      <w:pPr>
        <w:jc w:val="both"/>
        <w:rPr>
          <w:rFonts w:ascii="Times New Roman" w:hAnsi="Times New Roman" w:cs="Times New Roman"/>
          <w:b/>
          <w:bCs/>
        </w:rPr>
      </w:pPr>
      <w:r w:rsidRPr="00CB5B70">
        <w:rPr>
          <w:rFonts w:ascii="Times New Roman" w:hAnsi="Times New Roman" w:cs="Times New Roman"/>
          <w:b/>
          <w:bCs/>
        </w:rPr>
        <w:lastRenderedPageBreak/>
        <w:t>Proposal</w:t>
      </w:r>
      <w:r w:rsidR="00102852">
        <w:rPr>
          <w:rFonts w:ascii="Times New Roman" w:hAnsi="Times New Roman" w:cs="Times New Roman"/>
          <w:b/>
          <w:bCs/>
        </w:rPr>
        <w:t>-</w:t>
      </w:r>
      <w:r w:rsidRPr="00CB5B70">
        <w:rPr>
          <w:rFonts w:ascii="Times New Roman" w:hAnsi="Times New Roman" w:cs="Times New Roman"/>
          <w:b/>
          <w:bCs/>
        </w:rPr>
        <w:t>7: Feature 6-1: Clarify whether default BWP timer based dynamic switching is supported</w:t>
      </w:r>
      <w:r w:rsidR="00CB5B70" w:rsidRPr="00CB5B70">
        <w:rPr>
          <w:rFonts w:ascii="Times New Roman" w:hAnsi="Times New Roman" w:cs="Times New Roman"/>
          <w:b/>
          <w:bCs/>
        </w:rPr>
        <w:t>.</w:t>
      </w:r>
      <w:r w:rsidRPr="00CB5B70">
        <w:rPr>
          <w:rFonts w:ascii="Times New Roman" w:hAnsi="Times New Roman" w:cs="Times New Roman"/>
          <w:b/>
          <w:bCs/>
        </w:rPr>
        <w:t xml:space="preserve"> </w:t>
      </w:r>
    </w:p>
    <w:p w14:paraId="28EE3E4D" w14:textId="5EE0681E" w:rsidR="00344763" w:rsidRPr="00A302C3" w:rsidRDefault="00344763" w:rsidP="6A0AD366">
      <w:pPr>
        <w:jc w:val="both"/>
        <w:rPr>
          <w:rFonts w:ascii="Times New Roman" w:hAnsi="Times New Roman" w:cs="Times New Roman"/>
          <w:b/>
          <w:bCs/>
        </w:rPr>
      </w:pPr>
    </w:p>
    <w:p w14:paraId="32C024EA" w14:textId="77777777" w:rsidR="00C11327" w:rsidRPr="004D2F84" w:rsidRDefault="00C11327" w:rsidP="2D0A3676">
      <w:pPr>
        <w:jc w:val="both"/>
        <w:rPr>
          <w:rFonts w:ascii="Times New Roman" w:hAnsi="Times New Roman" w:cs="Times New Roman"/>
          <w:b/>
          <w:bCs/>
        </w:rPr>
      </w:pPr>
    </w:p>
    <w:bookmarkEnd w:id="2"/>
    <w:bookmarkEnd w:id="3"/>
    <w:p w14:paraId="3BC759D8" w14:textId="4D083877" w:rsidR="005B6509" w:rsidRPr="009C1427" w:rsidRDefault="6A0AD366" w:rsidP="6A0AD366">
      <w:pPr>
        <w:pStyle w:val="Heading1"/>
        <w:rPr>
          <w:lang w:val="en-US"/>
        </w:rPr>
      </w:pPr>
      <w:r w:rsidRPr="6A0AD366">
        <w:rPr>
          <w:lang w:val="en-US"/>
        </w:rPr>
        <w:t>Conclusions</w:t>
      </w:r>
    </w:p>
    <w:p w14:paraId="3AFB7B4C" w14:textId="5AB503D5" w:rsidR="00D14EFE" w:rsidRPr="00226537" w:rsidRDefault="6A0AD366" w:rsidP="6A0AD366">
      <w:pPr>
        <w:jc w:val="both"/>
        <w:rPr>
          <w:rFonts w:ascii="Times New Roman"/>
          <w:sz w:val="20"/>
          <w:szCs w:val="20"/>
          <w:lang w:val="en-GB"/>
        </w:rPr>
      </w:pPr>
      <w:bookmarkStart w:id="8" w:name="OLE_LINK43"/>
      <w:bookmarkStart w:id="9" w:name="OLE_LINK44"/>
      <w:bookmarkStart w:id="10" w:name="OLE_LINK34"/>
      <w:bookmarkStart w:id="11" w:name="OLE_LINK35"/>
      <w:r w:rsidRPr="6A0AD366">
        <w:rPr>
          <w:rFonts w:ascii="Times New Roman"/>
          <w:sz w:val="20"/>
          <w:szCs w:val="20"/>
          <w:lang w:val="en-GB"/>
        </w:rPr>
        <w:t>In this contribution, we have discussed aspects of BWPs. We have the following observations and proposals:</w:t>
      </w:r>
      <w:bookmarkEnd w:id="8"/>
      <w:bookmarkEnd w:id="9"/>
      <w:bookmarkEnd w:id="10"/>
      <w:bookmarkEnd w:id="11"/>
    </w:p>
    <w:p w14:paraId="7D56B124" w14:textId="77777777" w:rsidR="00CB5B70" w:rsidRPr="00CB5B70" w:rsidRDefault="00CB5B70" w:rsidP="00CB5B70">
      <w:pPr>
        <w:jc w:val="both"/>
        <w:rPr>
          <w:rFonts w:ascii="Times New Roman" w:eastAsia="Times New Roman" w:hAnsi="Times New Roman" w:cs="Times New Roman"/>
          <w:b/>
          <w:bCs/>
        </w:rPr>
      </w:pPr>
      <w:r w:rsidRPr="00CB5B70">
        <w:rPr>
          <w:rFonts w:ascii="Times New Roman" w:eastAsia="Times New Roman" w:hAnsi="Times New Roman" w:cs="Times New Roman"/>
          <w:b/>
          <w:bCs/>
        </w:rPr>
        <w:t>Observation-1: Padding the RIV value with zeros results in undesirable pruning of start and/or length values. This might be sufficient for scheduling of RAR, but not for regular data channels.</w:t>
      </w:r>
    </w:p>
    <w:p w14:paraId="1ED0AFAE" w14:textId="77777777" w:rsidR="00CB5B70" w:rsidRPr="00CB5B70" w:rsidRDefault="00CB5B70" w:rsidP="00CB5B70">
      <w:pPr>
        <w:spacing w:after="0"/>
        <w:jc w:val="both"/>
        <w:rPr>
          <w:rFonts w:ascii="Times New Roman" w:hAnsi="Times New Roman" w:cs="Times New Roman"/>
          <w:b/>
          <w:bCs/>
        </w:rPr>
      </w:pPr>
      <w:r w:rsidRPr="00CB5B70">
        <w:rPr>
          <w:rFonts w:ascii="Times New Roman" w:eastAsia="Times New Roman" w:hAnsi="Times New Roman" w:cs="Times New Roman"/>
          <w:b/>
          <w:bCs/>
        </w:rPr>
        <w:t xml:space="preserve">Proposal-1: </w:t>
      </w:r>
      <w:r w:rsidRPr="00CB5B70">
        <w:rPr>
          <w:rFonts w:ascii="Times New Roman" w:hAnsi="Times New Roman" w:cs="Times New Roman"/>
          <w:b/>
          <w:bCs/>
        </w:rPr>
        <w:t xml:space="preserve">For TYPE1 RA in switching DCI, </w:t>
      </w:r>
      <w:r w:rsidRPr="00CB5B70">
        <w:rPr>
          <w:rFonts w:ascii="Times New Roman" w:hAnsi="Times New Roman" w:cs="Times New Roman"/>
          <w:b/>
          <w:bCs/>
          <w:lang w:eastAsia="x-none"/>
        </w:rPr>
        <w:t>reinterpret the too small bitfield of size b based on virtual BWP size which is determined by</w:t>
      </w:r>
      <w:r w:rsidRPr="00CB5B70">
        <w:rPr>
          <w:rFonts w:ascii="Times New Roman" w:hAnsi="Times New Roman" w:cs="Times New Roman"/>
          <w:b/>
          <w:position w:val="-36"/>
        </w:rPr>
        <w:object w:dxaOrig="2400" w:dyaOrig="840" w14:anchorId="76E654F8">
          <v:shape id="_x0000_i1038" type="#_x0000_t75" style="width:97.2pt;height:32.4pt" o:ole="">
            <v:imagedata r:id="rId15" o:title=""/>
          </v:shape>
          <o:OLEObject Type="Embed" ProgID="Equation.DSMT4" ShapeID="_x0000_i1038" DrawAspect="Content" ObjectID="_1587570366" r:id="rId26"/>
        </w:object>
      </w:r>
      <w:r w:rsidRPr="00CB5B70">
        <w:rPr>
          <w:rFonts w:ascii="Times New Roman" w:hAnsi="Times New Roman" w:cs="Times New Roman"/>
          <w:b/>
          <w:bCs/>
        </w:rPr>
        <w:t>.</w:t>
      </w:r>
    </w:p>
    <w:p w14:paraId="46F06A3F" w14:textId="77777777" w:rsidR="00CB5B70" w:rsidRPr="00CB5B70" w:rsidRDefault="00CB5B70" w:rsidP="00CB5B70">
      <w:pPr>
        <w:jc w:val="both"/>
        <w:rPr>
          <w:rFonts w:ascii="Times New Roman" w:eastAsia="Times New Roman" w:hAnsi="Times New Roman" w:cs="Times New Roman"/>
          <w:b/>
          <w:bCs/>
        </w:rPr>
      </w:pPr>
      <w:r w:rsidRPr="00CB5B70">
        <w:rPr>
          <w:rFonts w:ascii="Times New Roman" w:eastAsia="Times New Roman" w:hAnsi="Times New Roman" w:cs="Times New Roman"/>
          <w:b/>
          <w:bCs/>
        </w:rPr>
        <w:t xml:space="preserve">Proposal-2: If UE receives DCI 1_1 or DCI 0_1 scrambled with C-RNTI for slot indicated by K0 or K2 in BWP switching DCI 1_1 or DCI 0_1, respectively, the UE is not expected to transmit ACK/NACK nor PUSCH triggered by the switching DCI, and follows the received DCI.  </w:t>
      </w:r>
    </w:p>
    <w:p w14:paraId="1028CA08" w14:textId="129A943B" w:rsidR="00CB5B70" w:rsidRPr="00CB5B70" w:rsidRDefault="00CB5B70" w:rsidP="00CB5B70">
      <w:pPr>
        <w:jc w:val="both"/>
      </w:pPr>
      <w:r w:rsidRPr="00CB5B70">
        <w:rPr>
          <w:rFonts w:ascii="Times New Roman" w:eastAsia="Times New Roman" w:hAnsi="Times New Roman" w:cs="Times New Roman"/>
          <w:b/>
          <w:bCs/>
          <w:lang w:val="en-GB"/>
        </w:rPr>
        <w:t xml:space="preserve">Observation-2: </w:t>
      </w:r>
      <w:r>
        <w:rPr>
          <w:rFonts w:ascii="Times New Roman" w:eastAsia="Times New Roman" w:hAnsi="Times New Roman" w:cs="Times New Roman"/>
          <w:b/>
          <w:bCs/>
          <w:lang w:val="en-GB"/>
        </w:rPr>
        <w:t>C</w:t>
      </w:r>
      <w:r w:rsidRPr="00CB5B70">
        <w:rPr>
          <w:rFonts w:ascii="Times New Roman" w:eastAsia="Times New Roman" w:hAnsi="Times New Roman" w:cs="Times New Roman"/>
          <w:b/>
          <w:bCs/>
          <w:lang w:val="en-GB"/>
        </w:rPr>
        <w:t>urrent definition of reference slot for K0 and K2 interpretation in cross-numerology scheduling case, in the specifications, is sufficient and clear. No further discussion is needed on this aspect in the meeting.</w:t>
      </w:r>
    </w:p>
    <w:p w14:paraId="07DB51E7" w14:textId="77777777" w:rsidR="00CB5B70" w:rsidRPr="00CB5B70" w:rsidRDefault="00CB5B70" w:rsidP="00CB5B70">
      <w:pPr>
        <w:jc w:val="both"/>
      </w:pPr>
      <w:r w:rsidRPr="00CB5B70">
        <w:rPr>
          <w:rFonts w:ascii="Times New Roman" w:eastAsia="Times New Roman" w:hAnsi="Times New Roman" w:cs="Times New Roman"/>
          <w:b/>
          <w:bCs/>
          <w:lang w:val="en-GB"/>
        </w:rPr>
        <w:t>Proposal-3: The reference slot for interpretation of K1 follows the same principle as for interpretation of K0, K2.</w:t>
      </w:r>
    </w:p>
    <w:p w14:paraId="03E1B8DA" w14:textId="77777777" w:rsidR="00CB5B70" w:rsidRPr="00CB5B70" w:rsidRDefault="00CB5B70" w:rsidP="00CB5B70">
      <w:pPr>
        <w:jc w:val="both"/>
        <w:rPr>
          <w:rFonts w:ascii="Times New Roman" w:hAnsi="Times New Roman" w:cs="Times New Roman"/>
          <w:b/>
          <w:bCs/>
          <w:lang w:val="en-GB"/>
        </w:rPr>
      </w:pPr>
      <w:r w:rsidRPr="00CB5B70">
        <w:rPr>
          <w:rFonts w:ascii="Times New Roman" w:hAnsi="Times New Roman" w:cs="Times New Roman"/>
          <w:b/>
          <w:bCs/>
          <w:lang w:val="en-GB"/>
        </w:rPr>
        <w:t>Proposal-4: Introduce RRC parameter for configuration of BWPI field presence in the DCI 1_1 and 0_1, inform RAN2 about the decision.</w:t>
      </w:r>
    </w:p>
    <w:p w14:paraId="0DF25D1C" w14:textId="2EC409DE" w:rsidR="00CB5B70" w:rsidRPr="00CB5B70" w:rsidRDefault="00CB5B70" w:rsidP="00CB5B70">
      <w:pPr>
        <w:jc w:val="both"/>
        <w:rPr>
          <w:rFonts w:ascii="Times New Roman" w:hAnsi="Times New Roman" w:cs="Times New Roman"/>
          <w:b/>
          <w:bCs/>
        </w:rPr>
      </w:pPr>
      <w:r w:rsidRPr="00CB5B70">
        <w:rPr>
          <w:rFonts w:ascii="Times New Roman" w:hAnsi="Times New Roman" w:cs="Times New Roman"/>
          <w:b/>
          <w:bCs/>
        </w:rPr>
        <w:t>Proposal</w:t>
      </w:r>
      <w:r w:rsidR="00102852">
        <w:rPr>
          <w:rFonts w:ascii="Times New Roman" w:hAnsi="Times New Roman" w:cs="Times New Roman"/>
          <w:b/>
          <w:bCs/>
        </w:rPr>
        <w:t>-</w:t>
      </w:r>
      <w:r w:rsidRPr="00CB5B70">
        <w:rPr>
          <w:rFonts w:ascii="Times New Roman" w:hAnsi="Times New Roman" w:cs="Times New Roman"/>
          <w:b/>
          <w:bCs/>
        </w:rPr>
        <w:t>5: Feature 6-1/6-2: Clarify that the initial active BWP (configured by MIB or dedicated RRC) should be of the same numerology as numerology of 2 UE-specific RRC configured DL BWPs.</w:t>
      </w:r>
    </w:p>
    <w:p w14:paraId="25EAC341" w14:textId="34E88A5B" w:rsidR="00CB5B70" w:rsidRPr="00CB5B70" w:rsidRDefault="00CB5B70" w:rsidP="00CB5B70">
      <w:pPr>
        <w:jc w:val="both"/>
        <w:rPr>
          <w:rFonts w:ascii="Times New Roman" w:hAnsi="Times New Roman" w:cs="Times New Roman"/>
          <w:b/>
          <w:bCs/>
        </w:rPr>
      </w:pPr>
      <w:r w:rsidRPr="00CB5B70">
        <w:rPr>
          <w:rFonts w:ascii="Times New Roman" w:hAnsi="Times New Roman" w:cs="Times New Roman"/>
          <w:b/>
          <w:bCs/>
        </w:rPr>
        <w:t>Proposal</w:t>
      </w:r>
      <w:r w:rsidR="00102852">
        <w:rPr>
          <w:rFonts w:ascii="Times New Roman" w:hAnsi="Times New Roman" w:cs="Times New Roman"/>
          <w:b/>
          <w:bCs/>
        </w:rPr>
        <w:t>-</w:t>
      </w:r>
      <w:r w:rsidRPr="00CB5B70">
        <w:rPr>
          <w:rFonts w:ascii="Times New Roman" w:hAnsi="Times New Roman" w:cs="Times New Roman"/>
          <w:b/>
          <w:bCs/>
        </w:rPr>
        <w:t>6: Feature 6-2: Replace the text “</w:t>
      </w:r>
      <w:r w:rsidRPr="00CB5B70">
        <w:rPr>
          <w:rFonts w:ascii="Times New Roman" w:eastAsia="MS PGothic" w:hAnsi="Times New Roman" w:cs="Times New Roman"/>
          <w:b/>
          <w:i/>
        </w:rPr>
        <w:t>BW of each BWP includes BW of the same initial DL BWP if there is an initial DL BWP in a carrier</w:t>
      </w:r>
      <w:r w:rsidRPr="00CB5B70">
        <w:rPr>
          <w:rFonts w:ascii="Times New Roman" w:eastAsia="MS PGothic" w:hAnsi="Times New Roman" w:cs="Times New Roman"/>
          <w:b/>
        </w:rPr>
        <w:t>” with “</w:t>
      </w:r>
      <w:r w:rsidRPr="00CB5B70">
        <w:rPr>
          <w:rFonts w:ascii="Times New Roman" w:eastAsia="MS PGothic" w:hAnsi="Times New Roman" w:cs="Times New Roman"/>
          <w:b/>
          <w:i/>
        </w:rPr>
        <w:t>Each DL BWP in a Pcell or PScell includes an SSB</w:t>
      </w:r>
      <w:r w:rsidRPr="00CB5B70">
        <w:rPr>
          <w:rFonts w:ascii="Times New Roman" w:eastAsia="MS PGothic" w:hAnsi="Times New Roman" w:cs="Times New Roman"/>
          <w:b/>
        </w:rPr>
        <w:t>”.</w:t>
      </w:r>
    </w:p>
    <w:p w14:paraId="3A51646A" w14:textId="1B45EF03" w:rsidR="00CB5B70" w:rsidRPr="00CB5B70" w:rsidRDefault="00CB5B70" w:rsidP="00CB5B70">
      <w:pPr>
        <w:jc w:val="both"/>
        <w:rPr>
          <w:rFonts w:ascii="Times New Roman" w:hAnsi="Times New Roman" w:cs="Times New Roman"/>
          <w:b/>
          <w:bCs/>
        </w:rPr>
      </w:pPr>
      <w:r w:rsidRPr="00CB5B70">
        <w:rPr>
          <w:rFonts w:ascii="Times New Roman" w:hAnsi="Times New Roman" w:cs="Times New Roman"/>
          <w:b/>
          <w:bCs/>
        </w:rPr>
        <w:t>Proposal</w:t>
      </w:r>
      <w:r w:rsidR="00102852">
        <w:rPr>
          <w:rFonts w:ascii="Times New Roman" w:hAnsi="Times New Roman" w:cs="Times New Roman"/>
          <w:b/>
          <w:bCs/>
        </w:rPr>
        <w:t>-</w:t>
      </w:r>
      <w:r w:rsidRPr="00CB5B70">
        <w:rPr>
          <w:rFonts w:ascii="Times New Roman" w:hAnsi="Times New Roman" w:cs="Times New Roman"/>
          <w:b/>
          <w:bCs/>
        </w:rPr>
        <w:t xml:space="preserve">7: Feature 6-1: Clarify whether default BWP timer based dynamic switching is supported. </w:t>
      </w:r>
    </w:p>
    <w:p w14:paraId="4E7D96F4" w14:textId="4314FAD6" w:rsidR="00EA7690" w:rsidRPr="00CB5B70" w:rsidRDefault="00EA7690" w:rsidP="0036702F">
      <w:pPr>
        <w:jc w:val="both"/>
        <w:rPr>
          <w:rFonts w:ascii="Times New Roman" w:eastAsia="Times New Roman" w:hAnsi="Times New Roman" w:cs="Times New Roman"/>
          <w:b/>
        </w:rPr>
      </w:pPr>
    </w:p>
    <w:p w14:paraId="5C0A8F1E" w14:textId="77777777" w:rsidR="00EA7690" w:rsidRPr="00D64318" w:rsidRDefault="6A0AD366" w:rsidP="00EA7690">
      <w:pPr>
        <w:pStyle w:val="Heading1"/>
        <w:numPr>
          <w:ilvl w:val="0"/>
          <w:numId w:val="0"/>
        </w:numPr>
      </w:pPr>
      <w:r>
        <w:t xml:space="preserve">References </w:t>
      </w:r>
    </w:p>
    <w:p w14:paraId="47E9FAB9" w14:textId="74D084E0" w:rsidR="00EA7690" w:rsidRDefault="00FE559A" w:rsidP="00FE559A">
      <w:pPr>
        <w:numPr>
          <w:ilvl w:val="0"/>
          <w:numId w:val="33"/>
        </w:numPr>
        <w:autoSpaceDN w:val="0"/>
        <w:spacing w:line="254" w:lineRule="auto"/>
        <w:rPr>
          <w:sz w:val="18"/>
          <w:szCs w:val="18"/>
        </w:rPr>
      </w:pPr>
      <w:bookmarkStart w:id="12" w:name="_Ref510623357"/>
      <w:r w:rsidRPr="00FE559A">
        <w:rPr>
          <w:sz w:val="18"/>
          <w:szCs w:val="18"/>
        </w:rPr>
        <w:t>R1-1806657</w:t>
      </w:r>
      <w:r w:rsidR="6A0AD366" w:rsidRPr="6A0AD366">
        <w:rPr>
          <w:sz w:val="18"/>
          <w:szCs w:val="18"/>
        </w:rPr>
        <w:t>, “</w:t>
      </w:r>
      <w:r w:rsidRPr="00FE559A">
        <w:rPr>
          <w:sz w:val="18"/>
          <w:szCs w:val="18"/>
        </w:rPr>
        <w:t>On the remaining issues for DCI format sizes and contents</w:t>
      </w:r>
      <w:r w:rsidR="6A0AD366" w:rsidRPr="6A0AD366">
        <w:rPr>
          <w:sz w:val="18"/>
          <w:szCs w:val="18"/>
        </w:rPr>
        <w:t>”, RAN1#</w:t>
      </w:r>
      <w:r>
        <w:rPr>
          <w:sz w:val="18"/>
          <w:szCs w:val="18"/>
        </w:rPr>
        <w:t>93</w:t>
      </w:r>
      <w:r w:rsidR="6A0AD366" w:rsidRPr="6A0AD366">
        <w:rPr>
          <w:sz w:val="18"/>
          <w:szCs w:val="18"/>
        </w:rPr>
        <w:t xml:space="preserve">, Nokia, Nokia Shanghai Bell </w:t>
      </w:r>
      <w:bookmarkEnd w:id="12"/>
    </w:p>
    <w:p w14:paraId="57416779" w14:textId="471D1008" w:rsidR="006C0311" w:rsidRPr="00BD56EA" w:rsidRDefault="6A0AD366" w:rsidP="006C0311">
      <w:pPr>
        <w:pStyle w:val="Heading2"/>
        <w:numPr>
          <w:ilvl w:val="1"/>
          <w:numId w:val="0"/>
        </w:numPr>
        <w:ind w:left="576" w:hanging="576"/>
      </w:pPr>
      <w:r>
        <w:t xml:space="preserve">Appendix - On CSI operation for BWP </w:t>
      </w:r>
    </w:p>
    <w:p w14:paraId="032B5F88" w14:textId="77777777" w:rsidR="006C0311" w:rsidRPr="0036702F" w:rsidRDefault="6A0AD366" w:rsidP="6A0AD366">
      <w:pPr>
        <w:rPr>
          <w:rFonts w:ascii="Times New Roman" w:hAnsi="Times New Roman" w:cs="Times New Roman"/>
          <w:lang w:val="en-GB"/>
        </w:rPr>
      </w:pPr>
      <w:r w:rsidRPr="6A0AD366">
        <w:rPr>
          <w:rFonts w:ascii="Times New Roman" w:hAnsi="Times New Roman" w:cs="Times New Roman"/>
          <w:lang w:val="en-GB"/>
        </w:rPr>
        <w:t>NR supports in R15 three types of CSI reports as shown in Table 1</w:t>
      </w:r>
    </w:p>
    <w:p w14:paraId="31FC9E54" w14:textId="77777777" w:rsidR="006C0311" w:rsidRPr="005E4E58" w:rsidRDefault="006C0311" w:rsidP="15ADEE61">
      <w:pPr>
        <w:pStyle w:val="Caption"/>
        <w:keepNext/>
        <w:rPr>
          <w:lang w:val="en-US"/>
        </w:rPr>
      </w:pPr>
      <w:r>
        <w:lastRenderedPageBreak/>
        <w:t>Table</w:t>
      </w:r>
      <w:r w:rsidRPr="15ADEE61">
        <w:t xml:space="preserve"> </w:t>
      </w:r>
      <w:r w:rsidRPr="6A0AD366">
        <w:fldChar w:fldCharType="begin"/>
      </w:r>
      <w:r>
        <w:instrText xml:space="preserve"> SEQ Table \* ARABIC </w:instrText>
      </w:r>
      <w:r w:rsidRPr="6A0AD366">
        <w:fldChar w:fldCharType="separate"/>
      </w:r>
      <w:r>
        <w:rPr>
          <w:noProof/>
        </w:rPr>
        <w:t>1</w:t>
      </w:r>
      <w:r w:rsidRPr="6A0AD366">
        <w:fldChar w:fldCharType="end"/>
      </w:r>
      <w:r>
        <w:rPr>
          <w:lang w:val="en-US"/>
        </w:rPr>
        <w:t xml:space="preserve"> </w:t>
      </w:r>
      <w:r w:rsidRPr="005E4E58">
        <w:rPr>
          <w:lang w:val="en-US"/>
        </w:rPr>
        <w:t>Triggering/Activation of CSI Reporting for the possible CSI-RS Configurations</w:t>
      </w:r>
      <w:r>
        <w:rPr>
          <w:lang w:val="en-US"/>
        </w:rPr>
        <w:t xml:space="preserve"> from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30"/>
        <w:gridCol w:w="2393"/>
        <w:gridCol w:w="2400"/>
      </w:tblGrid>
      <w:tr w:rsidR="006C0311" w:rsidRPr="0048482F" w14:paraId="08393170" w14:textId="77777777" w:rsidTr="15ADEE61">
        <w:tc>
          <w:tcPr>
            <w:tcW w:w="2406" w:type="dxa"/>
            <w:shd w:val="clear" w:color="auto" w:fill="auto"/>
          </w:tcPr>
          <w:p w14:paraId="4352BFA7" w14:textId="77777777" w:rsidR="006C0311" w:rsidRPr="0048482F" w:rsidRDefault="6A0AD366" w:rsidP="00C23B51">
            <w:pPr>
              <w:pStyle w:val="TAL"/>
            </w:pPr>
            <w:r>
              <w:t>CSI-RS Configuration</w:t>
            </w:r>
          </w:p>
        </w:tc>
        <w:tc>
          <w:tcPr>
            <w:tcW w:w="2430" w:type="dxa"/>
            <w:shd w:val="clear" w:color="auto" w:fill="auto"/>
          </w:tcPr>
          <w:p w14:paraId="588F50EB" w14:textId="77777777" w:rsidR="006C0311" w:rsidRPr="0048482F" w:rsidRDefault="6A0AD366" w:rsidP="00C23B51">
            <w:pPr>
              <w:pStyle w:val="TAL"/>
            </w:pPr>
            <w:r>
              <w:t>Periodic CSI Reporting</w:t>
            </w:r>
          </w:p>
        </w:tc>
        <w:tc>
          <w:tcPr>
            <w:tcW w:w="2393" w:type="dxa"/>
            <w:shd w:val="clear" w:color="auto" w:fill="auto"/>
          </w:tcPr>
          <w:p w14:paraId="0D202CC1" w14:textId="77777777" w:rsidR="006C0311" w:rsidRPr="0048482F" w:rsidRDefault="6A0AD366" w:rsidP="00C23B51">
            <w:pPr>
              <w:pStyle w:val="TAL"/>
            </w:pPr>
            <w:r>
              <w:t>Semi-Persistent CSI Reporting</w:t>
            </w:r>
          </w:p>
        </w:tc>
        <w:tc>
          <w:tcPr>
            <w:tcW w:w="2400" w:type="dxa"/>
            <w:shd w:val="clear" w:color="auto" w:fill="auto"/>
          </w:tcPr>
          <w:p w14:paraId="26619260" w14:textId="77777777" w:rsidR="006C0311" w:rsidRPr="0048482F" w:rsidRDefault="6A0AD366" w:rsidP="00C23B51">
            <w:pPr>
              <w:pStyle w:val="TAL"/>
            </w:pPr>
            <w:r>
              <w:t>Aperiodic CSI Reporting</w:t>
            </w:r>
          </w:p>
        </w:tc>
      </w:tr>
      <w:tr w:rsidR="006C0311" w:rsidRPr="0048482F" w14:paraId="40409712" w14:textId="77777777" w:rsidTr="15ADEE61">
        <w:tc>
          <w:tcPr>
            <w:tcW w:w="2406" w:type="dxa"/>
            <w:shd w:val="clear" w:color="auto" w:fill="auto"/>
          </w:tcPr>
          <w:p w14:paraId="152A50E2" w14:textId="77777777" w:rsidR="006C0311" w:rsidRPr="0048482F" w:rsidRDefault="6A0AD366" w:rsidP="00C23B51">
            <w:pPr>
              <w:pStyle w:val="TAL"/>
            </w:pPr>
            <w:r>
              <w:t>Periodic CSI-RS</w:t>
            </w:r>
          </w:p>
        </w:tc>
        <w:tc>
          <w:tcPr>
            <w:tcW w:w="2430" w:type="dxa"/>
            <w:shd w:val="clear" w:color="auto" w:fill="auto"/>
          </w:tcPr>
          <w:p w14:paraId="136DB49D" w14:textId="77777777" w:rsidR="006C0311" w:rsidRPr="0048482F" w:rsidRDefault="6A0AD366" w:rsidP="00C23B51">
            <w:pPr>
              <w:pStyle w:val="TAL"/>
            </w:pPr>
            <w:r>
              <w:t>No dynamic triggering/activation</w:t>
            </w:r>
          </w:p>
        </w:tc>
        <w:tc>
          <w:tcPr>
            <w:tcW w:w="2393" w:type="dxa"/>
            <w:shd w:val="clear" w:color="auto" w:fill="auto"/>
          </w:tcPr>
          <w:p w14:paraId="72B69B96" w14:textId="77777777" w:rsidR="006C0311" w:rsidRPr="0048482F" w:rsidRDefault="6A0AD366" w:rsidP="00C23B51">
            <w:pPr>
              <w:pStyle w:val="TAL"/>
            </w:pPr>
            <w:r>
              <w:t>For reporting on PUCCH: the UE receives an activation command [10, TS 38.321]; for reporting on PUSCH the UE receives triggering on DCI</w:t>
            </w:r>
          </w:p>
        </w:tc>
        <w:tc>
          <w:tcPr>
            <w:tcW w:w="2400" w:type="dxa"/>
            <w:shd w:val="clear" w:color="auto" w:fill="auto"/>
          </w:tcPr>
          <w:p w14:paraId="627BBE4E" w14:textId="77777777" w:rsidR="006C0311" w:rsidRPr="0048482F" w:rsidRDefault="15ADEE61" w:rsidP="00C23B51">
            <w:pPr>
              <w:pStyle w:val="TAL"/>
            </w:pPr>
            <w:r>
              <w:t>Triggered by DCI; additionally, activation command [10, TS 38.321] possible as defined in Subclause 5.2.1.5.2.</w:t>
            </w:r>
          </w:p>
        </w:tc>
      </w:tr>
      <w:tr w:rsidR="006C0311" w:rsidRPr="0048482F" w14:paraId="3358860F" w14:textId="77777777" w:rsidTr="15ADEE61">
        <w:tc>
          <w:tcPr>
            <w:tcW w:w="2406" w:type="dxa"/>
            <w:shd w:val="clear" w:color="auto" w:fill="auto"/>
          </w:tcPr>
          <w:p w14:paraId="08F05420" w14:textId="77777777" w:rsidR="006C0311" w:rsidRPr="0048482F" w:rsidRDefault="6A0AD366" w:rsidP="00C23B51">
            <w:pPr>
              <w:pStyle w:val="TAL"/>
            </w:pPr>
            <w:r>
              <w:t>Semi-Persistent CSI-RS</w:t>
            </w:r>
          </w:p>
        </w:tc>
        <w:tc>
          <w:tcPr>
            <w:tcW w:w="2430" w:type="dxa"/>
            <w:shd w:val="clear" w:color="auto" w:fill="auto"/>
          </w:tcPr>
          <w:p w14:paraId="06D80727" w14:textId="77777777" w:rsidR="006C0311" w:rsidRPr="0048482F" w:rsidRDefault="6A0AD366" w:rsidP="00C23B51">
            <w:pPr>
              <w:pStyle w:val="TAL"/>
            </w:pPr>
            <w:r>
              <w:t>Not Supported</w:t>
            </w:r>
          </w:p>
        </w:tc>
        <w:tc>
          <w:tcPr>
            <w:tcW w:w="2393" w:type="dxa"/>
            <w:shd w:val="clear" w:color="auto" w:fill="auto"/>
          </w:tcPr>
          <w:p w14:paraId="28970723" w14:textId="77777777" w:rsidR="006C0311" w:rsidRPr="0048482F" w:rsidRDefault="6A0AD366" w:rsidP="00C23B51">
            <w:pPr>
              <w:pStyle w:val="TAL"/>
            </w:pPr>
            <w:r>
              <w:t>For reporting on PUCCH, the UE receives an activation command [10, TS 38.321]; for reporting on PUSCH the UE receives triggering on DCI</w:t>
            </w:r>
          </w:p>
        </w:tc>
        <w:tc>
          <w:tcPr>
            <w:tcW w:w="2400" w:type="dxa"/>
            <w:shd w:val="clear" w:color="auto" w:fill="auto"/>
          </w:tcPr>
          <w:p w14:paraId="44F98462" w14:textId="77777777" w:rsidR="006C0311" w:rsidRPr="0048482F" w:rsidRDefault="15ADEE61" w:rsidP="00C23B51">
            <w:pPr>
              <w:pStyle w:val="TAL"/>
            </w:pPr>
            <w:r>
              <w:t>Triggered by DCI; additionally, activation command [10, TS 38.321] possible as defined in Subclause 5.2.1.5.2.</w:t>
            </w:r>
          </w:p>
        </w:tc>
      </w:tr>
      <w:tr w:rsidR="006C0311" w:rsidRPr="0048482F" w14:paraId="5C2520DB" w14:textId="77777777" w:rsidTr="15ADEE61">
        <w:tc>
          <w:tcPr>
            <w:tcW w:w="2406" w:type="dxa"/>
            <w:shd w:val="clear" w:color="auto" w:fill="auto"/>
          </w:tcPr>
          <w:p w14:paraId="661BBAD9" w14:textId="77777777" w:rsidR="006C0311" w:rsidRPr="0048482F" w:rsidRDefault="6A0AD366" w:rsidP="00C23B51">
            <w:pPr>
              <w:pStyle w:val="TAL"/>
            </w:pPr>
            <w:r>
              <w:t>Aperiodic CSI-RS</w:t>
            </w:r>
          </w:p>
        </w:tc>
        <w:tc>
          <w:tcPr>
            <w:tcW w:w="2430" w:type="dxa"/>
            <w:shd w:val="clear" w:color="auto" w:fill="auto"/>
          </w:tcPr>
          <w:p w14:paraId="50DC0906" w14:textId="77777777" w:rsidR="006C0311" w:rsidRPr="0048482F" w:rsidRDefault="6A0AD366" w:rsidP="00C23B51">
            <w:pPr>
              <w:pStyle w:val="TAL"/>
            </w:pPr>
            <w:r>
              <w:t>Not Supported</w:t>
            </w:r>
          </w:p>
        </w:tc>
        <w:tc>
          <w:tcPr>
            <w:tcW w:w="2393" w:type="dxa"/>
            <w:shd w:val="clear" w:color="auto" w:fill="auto"/>
          </w:tcPr>
          <w:p w14:paraId="2452FE21" w14:textId="77777777" w:rsidR="006C0311" w:rsidRPr="0048482F" w:rsidRDefault="6A0AD366" w:rsidP="00C23B51">
            <w:pPr>
              <w:pStyle w:val="TAL"/>
            </w:pPr>
            <w:r>
              <w:t>Not Supported</w:t>
            </w:r>
          </w:p>
        </w:tc>
        <w:tc>
          <w:tcPr>
            <w:tcW w:w="2400" w:type="dxa"/>
            <w:shd w:val="clear" w:color="auto" w:fill="auto"/>
          </w:tcPr>
          <w:p w14:paraId="1EEBEE63" w14:textId="77777777" w:rsidR="006C0311" w:rsidRPr="0048482F" w:rsidRDefault="15ADEE61" w:rsidP="00C23B51">
            <w:pPr>
              <w:pStyle w:val="TAL"/>
            </w:pPr>
            <w:r>
              <w:t>Triggered by DCI; additionally, activation command [10, TS 38.321] possible as defined in Subclause 5.2.1.5.2.</w:t>
            </w:r>
          </w:p>
        </w:tc>
      </w:tr>
    </w:tbl>
    <w:p w14:paraId="176A6A0C" w14:textId="77777777" w:rsidR="006C0311" w:rsidRDefault="006C0311" w:rsidP="006C0311"/>
    <w:p w14:paraId="687304D5" w14:textId="34F40AEB" w:rsidR="006C0311" w:rsidRPr="005A0B0A" w:rsidRDefault="15ADEE61" w:rsidP="15ADEE61">
      <w:pPr>
        <w:jc w:val="both"/>
        <w:rPr>
          <w:rFonts w:ascii="Times New Roman" w:hAnsi="Times New Roman" w:cs="Times New Roman"/>
          <w:sz w:val="20"/>
          <w:szCs w:val="20"/>
        </w:rPr>
      </w:pPr>
      <w:r w:rsidRPr="15ADEE61">
        <w:rPr>
          <w:rFonts w:ascii="Times New Roman" w:hAnsi="Times New Roman" w:cs="Times New Roman"/>
          <w:sz w:val="20"/>
          <w:szCs w:val="20"/>
        </w:rPr>
        <w:t xml:space="preserve">For fast acquisition of CSI, after the BWP switch, gNB may trigger an A-CSI report based on Aperiodic CSI-RS and IMR as illustrated in Figure </w:t>
      </w:r>
      <w:r w:rsidR="0019039A">
        <w:rPr>
          <w:rFonts w:ascii="Times New Roman" w:hAnsi="Times New Roman" w:cs="Times New Roman"/>
          <w:sz w:val="20"/>
          <w:szCs w:val="20"/>
        </w:rPr>
        <w:t>3</w:t>
      </w:r>
      <w:r w:rsidRPr="15ADEE61">
        <w:rPr>
          <w:rFonts w:ascii="Times New Roman" w:hAnsi="Times New Roman" w:cs="Times New Roman"/>
          <w:sz w:val="20"/>
          <w:szCs w:val="20"/>
        </w:rPr>
        <w:t xml:space="preserve">, where after the transition period (4 blue slots) triggered by DL assignment, a gNB triggers by a separate UL grant on the new BWP a CSI measurement in the same slot and CSI is reported on PUSCH triggered by the UL grant in the first UL slot after the switch (in this example). For BWP switch by UL grant, the CSI report can be triggered by the switching DCI itself, as shown in Figure </w:t>
      </w:r>
      <w:r w:rsidR="0019039A">
        <w:rPr>
          <w:rFonts w:ascii="Times New Roman" w:hAnsi="Times New Roman" w:cs="Times New Roman"/>
          <w:sz w:val="20"/>
          <w:szCs w:val="20"/>
        </w:rPr>
        <w:t>4</w:t>
      </w:r>
      <w:r w:rsidRPr="15ADEE61">
        <w:rPr>
          <w:rFonts w:ascii="Times New Roman" w:hAnsi="Times New Roman" w:cs="Times New Roman"/>
          <w:sz w:val="20"/>
          <w:szCs w:val="20"/>
        </w:rPr>
        <w:t>, gNB carefully configuring the “offset” of the CSI measurement and signaling of “K2” time domain allocation of PUSCH.</w:t>
      </w:r>
    </w:p>
    <w:p w14:paraId="1F8D3B3E" w14:textId="77777777" w:rsidR="006C0311" w:rsidRPr="005E4E58" w:rsidRDefault="006C0311" w:rsidP="006C0311"/>
    <w:p w14:paraId="08268787" w14:textId="77777777" w:rsidR="006C0311" w:rsidRDefault="006C0311" w:rsidP="006C0311">
      <w:pPr>
        <w:rPr>
          <w:lang w:val="en-GB"/>
        </w:rPr>
      </w:pPr>
    </w:p>
    <w:p w14:paraId="4929FCE4" w14:textId="77777777" w:rsidR="006C0311" w:rsidRDefault="006C0311" w:rsidP="006C0311">
      <w:pPr>
        <w:keepNext/>
      </w:pPr>
      <w:r>
        <w:object w:dxaOrig="11377" w:dyaOrig="2581" w14:anchorId="2F106B1B">
          <v:shape id="_x0000_i1031" type="#_x0000_t75" style="width:480pt;height:108pt" o:ole="">
            <v:imagedata r:id="rId27" o:title=""/>
          </v:shape>
          <o:OLEObject Type="Embed" ProgID="Visio.Drawing.15" ShapeID="_x0000_i1031" DrawAspect="Content" ObjectID="_1587570367" r:id="rId28"/>
        </w:object>
      </w:r>
    </w:p>
    <w:p w14:paraId="6AD78F2B" w14:textId="470C5B68" w:rsidR="006C0311" w:rsidRPr="00A82908" w:rsidRDefault="006C0311" w:rsidP="15ADEE61">
      <w:pPr>
        <w:pStyle w:val="Caption"/>
        <w:jc w:val="center"/>
        <w:rPr>
          <w:lang w:val="en-US"/>
        </w:rPr>
      </w:pPr>
      <w:r>
        <w:t>Figure</w:t>
      </w:r>
      <w:r w:rsidRPr="15ADEE61">
        <w:t xml:space="preserve"> </w:t>
      </w:r>
      <w:r w:rsidRPr="6A0AD366">
        <w:fldChar w:fldCharType="begin"/>
      </w:r>
      <w:r>
        <w:instrText xml:space="preserve"> SEQ Figure \* ARABIC </w:instrText>
      </w:r>
      <w:r w:rsidRPr="6A0AD366">
        <w:fldChar w:fldCharType="separate"/>
      </w:r>
      <w:r w:rsidR="0019039A">
        <w:rPr>
          <w:noProof/>
        </w:rPr>
        <w:t>3</w:t>
      </w:r>
      <w:r w:rsidRPr="6A0AD366">
        <w:fldChar w:fldCharType="end"/>
      </w:r>
      <w:r>
        <w:rPr>
          <w:lang w:val="en-US"/>
        </w:rPr>
        <w:t xml:space="preserve"> Fast acquisition of CSI in R15, BWP switch by DL assignment</w:t>
      </w:r>
    </w:p>
    <w:p w14:paraId="6A9C4461" w14:textId="77777777" w:rsidR="006C0311" w:rsidRDefault="006C0311" w:rsidP="006C0311">
      <w:pPr>
        <w:rPr>
          <w:lang w:val="en-GB"/>
        </w:rPr>
      </w:pPr>
    </w:p>
    <w:p w14:paraId="07F81C7A" w14:textId="77777777" w:rsidR="006C0311" w:rsidRDefault="006C0311" w:rsidP="006C0311">
      <w:pPr>
        <w:keepNext/>
      </w:pPr>
      <w:r>
        <w:object w:dxaOrig="11413" w:dyaOrig="2908" w14:anchorId="23E9B13E">
          <v:shape id="_x0000_i1032" type="#_x0000_t75" style="width:480pt;height:126pt" o:ole="">
            <v:imagedata r:id="rId29" o:title=""/>
          </v:shape>
          <o:OLEObject Type="Embed" ProgID="Visio.Drawing.11" ShapeID="_x0000_i1032" DrawAspect="Content" ObjectID="_1587570368" r:id="rId30"/>
        </w:object>
      </w:r>
    </w:p>
    <w:p w14:paraId="546922A0" w14:textId="05B6EF46" w:rsidR="006C0311" w:rsidRDefault="006C0311" w:rsidP="15ADEE61">
      <w:pPr>
        <w:pStyle w:val="Caption"/>
        <w:jc w:val="center"/>
        <w:rPr>
          <w:lang w:val="en-GB"/>
        </w:rPr>
      </w:pPr>
      <w:r>
        <w:t>Figure</w:t>
      </w:r>
      <w:r w:rsidRPr="15ADEE61">
        <w:t xml:space="preserve"> </w:t>
      </w:r>
      <w:r w:rsidRPr="6A0AD366">
        <w:fldChar w:fldCharType="begin"/>
      </w:r>
      <w:r>
        <w:instrText xml:space="preserve"> SEQ Figure \* ARABIC </w:instrText>
      </w:r>
      <w:r w:rsidRPr="6A0AD366">
        <w:fldChar w:fldCharType="separate"/>
      </w:r>
      <w:r w:rsidR="0019039A">
        <w:rPr>
          <w:noProof/>
        </w:rPr>
        <w:t>4</w:t>
      </w:r>
      <w:r w:rsidRPr="6A0AD366">
        <w:fldChar w:fldCharType="end"/>
      </w:r>
      <w:r w:rsidRPr="003463E5">
        <w:rPr>
          <w:lang w:val="en-US"/>
        </w:rPr>
        <w:t xml:space="preserve"> </w:t>
      </w:r>
      <w:r>
        <w:rPr>
          <w:lang w:val="en-US"/>
        </w:rPr>
        <w:t>Fast acquisition of CSI in R15, BWP switch by UL grant</w:t>
      </w:r>
    </w:p>
    <w:p w14:paraId="606237B4" w14:textId="77777777" w:rsidR="006C0311" w:rsidRDefault="006C0311" w:rsidP="006C0311">
      <w:pPr>
        <w:rPr>
          <w:lang w:val="en-GB"/>
        </w:rPr>
      </w:pPr>
    </w:p>
    <w:p w14:paraId="32FFDD97" w14:textId="46EC0E57" w:rsidR="006C0311" w:rsidRPr="005A0B0A" w:rsidRDefault="15ADEE61" w:rsidP="15ADEE61">
      <w:pPr>
        <w:jc w:val="both"/>
        <w:rPr>
          <w:rFonts w:ascii="Times New Roman" w:hAnsi="Times New Roman" w:cs="Times New Roman"/>
          <w:sz w:val="20"/>
          <w:szCs w:val="20"/>
          <w:lang w:val="en-GB"/>
        </w:rPr>
      </w:pPr>
      <w:r w:rsidRPr="15ADEE61">
        <w:rPr>
          <w:rFonts w:ascii="Times New Roman" w:hAnsi="Times New Roman" w:cs="Times New Roman"/>
          <w:sz w:val="20"/>
          <w:szCs w:val="20"/>
          <w:lang w:val="en-GB"/>
        </w:rPr>
        <w:lastRenderedPageBreak/>
        <w:t xml:space="preserve">In R15, a mandatory BWP feature is a support of one dedicated BWP activated by RRC. And the next implementation step would be the support of two properly nested dedicated BWPs switched by DCI (power saving scenario). A gNB operating this power-saving scenario may reuse the previously active BWP CSI to schedule data on the active BWP after the transition period. In addition, gNB can make use of mechanism shown in Figure </w:t>
      </w:r>
      <w:r w:rsidR="0019039A">
        <w:rPr>
          <w:rFonts w:ascii="Times New Roman" w:hAnsi="Times New Roman" w:cs="Times New Roman"/>
          <w:sz w:val="20"/>
          <w:szCs w:val="20"/>
          <w:lang w:val="en-GB"/>
        </w:rPr>
        <w:t>3</w:t>
      </w:r>
      <w:r w:rsidRPr="15ADEE61">
        <w:rPr>
          <w:rFonts w:ascii="Times New Roman" w:hAnsi="Times New Roman" w:cs="Times New Roman"/>
          <w:sz w:val="20"/>
          <w:szCs w:val="20"/>
          <w:lang w:val="en-GB"/>
        </w:rPr>
        <w:t xml:space="preserve"> and </w:t>
      </w:r>
      <w:r w:rsidR="0019039A">
        <w:rPr>
          <w:rFonts w:ascii="Times New Roman" w:hAnsi="Times New Roman" w:cs="Times New Roman"/>
          <w:sz w:val="20"/>
          <w:szCs w:val="20"/>
          <w:lang w:val="en-GB"/>
        </w:rPr>
        <w:t>4</w:t>
      </w:r>
      <w:r w:rsidRPr="15ADEE61">
        <w:rPr>
          <w:rFonts w:ascii="Times New Roman" w:hAnsi="Times New Roman" w:cs="Times New Roman"/>
          <w:sz w:val="20"/>
          <w:szCs w:val="20"/>
          <w:lang w:val="en-GB"/>
        </w:rPr>
        <w:t xml:space="preserve"> for fast CSI acquisition if necessary. Therefore, we think that no additional mechanism is required for fast CSI acquisition on the active BWP after switching transition period in R15. On the other hand, in R16 the benefits of fast CSI acquisition optimized for the BWP switching should be studied.  </w:t>
      </w:r>
    </w:p>
    <w:p w14:paraId="1CE4C499" w14:textId="77777777" w:rsidR="006C0311" w:rsidRPr="005A0B0A" w:rsidRDefault="6A0AD366" w:rsidP="6A0AD366">
      <w:pPr>
        <w:jc w:val="both"/>
        <w:rPr>
          <w:rFonts w:ascii="Times New Roman" w:hAnsi="Times New Roman" w:cs="Times New Roman"/>
          <w:sz w:val="20"/>
          <w:szCs w:val="20"/>
          <w:lang w:val="en-GB"/>
        </w:rPr>
      </w:pPr>
      <w:r w:rsidRPr="6A0AD366">
        <w:rPr>
          <w:rFonts w:ascii="Times New Roman" w:hAnsi="Times New Roman" w:cs="Times New Roman"/>
          <w:b/>
          <w:bCs/>
          <w:sz w:val="20"/>
          <w:szCs w:val="20"/>
          <w:lang w:val="en-GB"/>
        </w:rPr>
        <w:t>Observation-5: In R15, no additional mechanism is required for fast CSI acquisition on the active BWP after switching transition period. In R16, study the benefits of fast CSI acquisition optimized for the BWP switching.</w:t>
      </w:r>
      <w:r w:rsidRPr="6A0AD366">
        <w:rPr>
          <w:rFonts w:ascii="Times New Roman" w:hAnsi="Times New Roman" w:cs="Times New Roman"/>
          <w:sz w:val="20"/>
          <w:szCs w:val="20"/>
          <w:lang w:val="en-GB"/>
        </w:rPr>
        <w:t xml:space="preserve"> </w:t>
      </w:r>
    </w:p>
    <w:p w14:paraId="16E7C8AC" w14:textId="77777777" w:rsidR="00EA7690" w:rsidRDefault="00EA7690" w:rsidP="0036702F">
      <w:pPr>
        <w:jc w:val="both"/>
        <w:rPr>
          <w:rFonts w:ascii="Times New Roman" w:hAnsi="Times New Roman" w:cs="Times New Roman"/>
          <w:b/>
          <w:bCs/>
        </w:rPr>
      </w:pPr>
    </w:p>
    <w:sectPr w:rsidR="00EA7690" w:rsidSect="00D66C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A32B7" w14:textId="77777777" w:rsidR="002B69E4" w:rsidRDefault="002B69E4">
      <w:r>
        <w:separator/>
      </w:r>
    </w:p>
  </w:endnote>
  <w:endnote w:type="continuationSeparator" w:id="0">
    <w:p w14:paraId="06C6BBD5" w14:textId="77777777" w:rsidR="002B69E4" w:rsidRDefault="002B6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22F4C" w14:textId="77777777" w:rsidR="002B69E4" w:rsidRDefault="002B69E4">
      <w:r>
        <w:separator/>
      </w:r>
    </w:p>
  </w:footnote>
  <w:footnote w:type="continuationSeparator" w:id="0">
    <w:p w14:paraId="3BD99279" w14:textId="77777777" w:rsidR="002B69E4" w:rsidRDefault="002B6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2B552F"/>
    <w:multiLevelType w:val="hybridMultilevel"/>
    <w:tmpl w:val="6126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71AC3"/>
    <w:multiLevelType w:val="hybridMultilevel"/>
    <w:tmpl w:val="E5DCD21E"/>
    <w:lvl w:ilvl="0" w:tplc="7F52E520">
      <w:start w:val="1"/>
      <w:numFmt w:val="bullet"/>
      <w:lvlText w:val=""/>
      <w:lvlJc w:val="left"/>
      <w:pPr>
        <w:ind w:left="720" w:hanging="360"/>
      </w:pPr>
      <w:rPr>
        <w:rFonts w:ascii="Symbol" w:hAnsi="Symbol" w:hint="default"/>
      </w:rPr>
    </w:lvl>
    <w:lvl w:ilvl="1" w:tplc="B148B8DA">
      <w:start w:val="1"/>
      <w:numFmt w:val="bullet"/>
      <w:lvlText w:val="o"/>
      <w:lvlJc w:val="left"/>
      <w:pPr>
        <w:ind w:left="1440" w:hanging="360"/>
      </w:pPr>
      <w:rPr>
        <w:rFonts w:ascii="Courier New" w:hAnsi="Courier New" w:hint="default"/>
      </w:rPr>
    </w:lvl>
    <w:lvl w:ilvl="2" w:tplc="2FCACB12">
      <w:start w:val="1"/>
      <w:numFmt w:val="bullet"/>
      <w:lvlText w:val=""/>
      <w:lvlJc w:val="left"/>
      <w:pPr>
        <w:ind w:left="2160" w:hanging="360"/>
      </w:pPr>
      <w:rPr>
        <w:rFonts w:ascii="Wingdings" w:hAnsi="Wingdings" w:hint="default"/>
      </w:rPr>
    </w:lvl>
    <w:lvl w:ilvl="3" w:tplc="F0D0215C">
      <w:start w:val="1"/>
      <w:numFmt w:val="bullet"/>
      <w:lvlText w:val=""/>
      <w:lvlJc w:val="left"/>
      <w:pPr>
        <w:ind w:left="2880" w:hanging="360"/>
      </w:pPr>
      <w:rPr>
        <w:rFonts w:ascii="Symbol" w:hAnsi="Symbol" w:hint="default"/>
      </w:rPr>
    </w:lvl>
    <w:lvl w:ilvl="4" w:tplc="1616AAC2">
      <w:start w:val="1"/>
      <w:numFmt w:val="bullet"/>
      <w:lvlText w:val="o"/>
      <w:lvlJc w:val="left"/>
      <w:pPr>
        <w:ind w:left="3600" w:hanging="360"/>
      </w:pPr>
      <w:rPr>
        <w:rFonts w:ascii="Courier New" w:hAnsi="Courier New" w:hint="default"/>
      </w:rPr>
    </w:lvl>
    <w:lvl w:ilvl="5" w:tplc="7988F2A4">
      <w:start w:val="1"/>
      <w:numFmt w:val="bullet"/>
      <w:lvlText w:val=""/>
      <w:lvlJc w:val="left"/>
      <w:pPr>
        <w:ind w:left="4320" w:hanging="360"/>
      </w:pPr>
      <w:rPr>
        <w:rFonts w:ascii="Wingdings" w:hAnsi="Wingdings" w:hint="default"/>
      </w:rPr>
    </w:lvl>
    <w:lvl w:ilvl="6" w:tplc="386255EE">
      <w:start w:val="1"/>
      <w:numFmt w:val="bullet"/>
      <w:lvlText w:val=""/>
      <w:lvlJc w:val="left"/>
      <w:pPr>
        <w:ind w:left="5040" w:hanging="360"/>
      </w:pPr>
      <w:rPr>
        <w:rFonts w:ascii="Symbol" w:hAnsi="Symbol" w:hint="default"/>
      </w:rPr>
    </w:lvl>
    <w:lvl w:ilvl="7" w:tplc="1302A100">
      <w:start w:val="1"/>
      <w:numFmt w:val="bullet"/>
      <w:lvlText w:val="o"/>
      <w:lvlJc w:val="left"/>
      <w:pPr>
        <w:ind w:left="5760" w:hanging="360"/>
      </w:pPr>
      <w:rPr>
        <w:rFonts w:ascii="Courier New" w:hAnsi="Courier New" w:hint="default"/>
      </w:rPr>
    </w:lvl>
    <w:lvl w:ilvl="8" w:tplc="EC4A705A">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50A347B"/>
    <w:multiLevelType w:val="hybridMultilevel"/>
    <w:tmpl w:val="1C229FE4"/>
    <w:lvl w:ilvl="0" w:tplc="93BAEFFE">
      <w:start w:val="1"/>
      <w:numFmt w:val="bullet"/>
      <w:lvlText w:val=""/>
      <w:lvlJc w:val="left"/>
      <w:pPr>
        <w:ind w:left="720" w:hanging="360"/>
      </w:pPr>
      <w:rPr>
        <w:rFonts w:ascii="Symbol" w:hAnsi="Symbol" w:hint="default"/>
      </w:rPr>
    </w:lvl>
    <w:lvl w:ilvl="1" w:tplc="8E6AE364">
      <w:start w:val="1"/>
      <w:numFmt w:val="bullet"/>
      <w:lvlText w:val="o"/>
      <w:lvlJc w:val="left"/>
      <w:pPr>
        <w:ind w:left="1440" w:hanging="360"/>
      </w:pPr>
      <w:rPr>
        <w:rFonts w:ascii="Courier New" w:hAnsi="Courier New" w:hint="default"/>
      </w:rPr>
    </w:lvl>
    <w:lvl w:ilvl="2" w:tplc="1F905100">
      <w:start w:val="1"/>
      <w:numFmt w:val="bullet"/>
      <w:lvlText w:val=""/>
      <w:lvlJc w:val="left"/>
      <w:pPr>
        <w:ind w:left="2160" w:hanging="360"/>
      </w:pPr>
      <w:rPr>
        <w:rFonts w:ascii="Wingdings" w:hAnsi="Wingdings" w:hint="default"/>
      </w:rPr>
    </w:lvl>
    <w:lvl w:ilvl="3" w:tplc="D834DF3A">
      <w:start w:val="1"/>
      <w:numFmt w:val="bullet"/>
      <w:lvlText w:val=""/>
      <w:lvlJc w:val="left"/>
      <w:pPr>
        <w:ind w:left="2880" w:hanging="360"/>
      </w:pPr>
      <w:rPr>
        <w:rFonts w:ascii="Symbol" w:hAnsi="Symbol" w:hint="default"/>
      </w:rPr>
    </w:lvl>
    <w:lvl w:ilvl="4" w:tplc="77EC328A">
      <w:start w:val="1"/>
      <w:numFmt w:val="bullet"/>
      <w:lvlText w:val="o"/>
      <w:lvlJc w:val="left"/>
      <w:pPr>
        <w:ind w:left="3600" w:hanging="360"/>
      </w:pPr>
      <w:rPr>
        <w:rFonts w:ascii="Courier New" w:hAnsi="Courier New" w:hint="default"/>
      </w:rPr>
    </w:lvl>
    <w:lvl w:ilvl="5" w:tplc="40F67F28">
      <w:start w:val="1"/>
      <w:numFmt w:val="bullet"/>
      <w:lvlText w:val=""/>
      <w:lvlJc w:val="left"/>
      <w:pPr>
        <w:ind w:left="4320" w:hanging="360"/>
      </w:pPr>
      <w:rPr>
        <w:rFonts w:ascii="Wingdings" w:hAnsi="Wingdings" w:hint="default"/>
      </w:rPr>
    </w:lvl>
    <w:lvl w:ilvl="6" w:tplc="87007D0C">
      <w:start w:val="1"/>
      <w:numFmt w:val="bullet"/>
      <w:lvlText w:val=""/>
      <w:lvlJc w:val="left"/>
      <w:pPr>
        <w:ind w:left="5040" w:hanging="360"/>
      </w:pPr>
      <w:rPr>
        <w:rFonts w:ascii="Symbol" w:hAnsi="Symbol" w:hint="default"/>
      </w:rPr>
    </w:lvl>
    <w:lvl w:ilvl="7" w:tplc="C5F4DF24">
      <w:start w:val="1"/>
      <w:numFmt w:val="bullet"/>
      <w:lvlText w:val="o"/>
      <w:lvlJc w:val="left"/>
      <w:pPr>
        <w:ind w:left="5760" w:hanging="360"/>
      </w:pPr>
      <w:rPr>
        <w:rFonts w:ascii="Courier New" w:hAnsi="Courier New" w:hint="default"/>
      </w:rPr>
    </w:lvl>
    <w:lvl w:ilvl="8" w:tplc="238645EE">
      <w:start w:val="1"/>
      <w:numFmt w:val="bullet"/>
      <w:lvlText w:val=""/>
      <w:lvlJc w:val="left"/>
      <w:pPr>
        <w:ind w:left="6480" w:hanging="360"/>
      </w:pPr>
      <w:rPr>
        <w:rFonts w:ascii="Wingdings" w:hAnsi="Wingdings" w:hint="default"/>
      </w:rPr>
    </w:lvl>
  </w:abstractNum>
  <w:abstractNum w:abstractNumId="9" w15:restartNumberingAfterBreak="0">
    <w:nsid w:val="260704BE"/>
    <w:multiLevelType w:val="hybridMultilevel"/>
    <w:tmpl w:val="1EB66BD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8AB733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1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15:restartNumberingAfterBreak="0">
    <w:nsid w:val="2BC96AD0"/>
    <w:multiLevelType w:val="hybridMultilevel"/>
    <w:tmpl w:val="107CB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15:restartNumberingAfterBreak="0">
    <w:nsid w:val="382B0A45"/>
    <w:multiLevelType w:val="hybridMultilevel"/>
    <w:tmpl w:val="42D8E96A"/>
    <w:lvl w:ilvl="0" w:tplc="49EEC234">
      <w:start w:val="1"/>
      <w:numFmt w:val="bullet"/>
      <w:lvlText w:val="•"/>
      <w:lvlJc w:val="left"/>
      <w:pPr>
        <w:tabs>
          <w:tab w:val="num" w:pos="720"/>
        </w:tabs>
        <w:ind w:left="720" w:hanging="360"/>
      </w:pPr>
      <w:rPr>
        <w:rFonts w:ascii="Arial" w:hAnsi="Arial" w:cs="Times New Roman" w:hint="default"/>
      </w:rPr>
    </w:lvl>
    <w:lvl w:ilvl="1" w:tplc="FBA8E7BE">
      <w:numFmt w:val="bullet"/>
      <w:lvlText w:val="•"/>
      <w:lvlJc w:val="left"/>
      <w:pPr>
        <w:tabs>
          <w:tab w:val="num" w:pos="1440"/>
        </w:tabs>
        <w:ind w:left="1440" w:hanging="360"/>
      </w:pPr>
      <w:rPr>
        <w:rFonts w:ascii="Arial" w:hAnsi="Arial" w:cs="Times New Roman" w:hint="default"/>
      </w:rPr>
    </w:lvl>
    <w:lvl w:ilvl="2" w:tplc="F1F847BE">
      <w:start w:val="1"/>
      <w:numFmt w:val="bullet"/>
      <w:lvlText w:val="•"/>
      <w:lvlJc w:val="left"/>
      <w:pPr>
        <w:tabs>
          <w:tab w:val="num" w:pos="2160"/>
        </w:tabs>
        <w:ind w:left="2160" w:hanging="360"/>
      </w:pPr>
      <w:rPr>
        <w:rFonts w:ascii="Arial" w:hAnsi="Arial" w:cs="Times New Roman" w:hint="default"/>
      </w:rPr>
    </w:lvl>
    <w:lvl w:ilvl="3" w:tplc="C5AC0A78">
      <w:start w:val="1"/>
      <w:numFmt w:val="bullet"/>
      <w:lvlText w:val="•"/>
      <w:lvlJc w:val="left"/>
      <w:pPr>
        <w:tabs>
          <w:tab w:val="num" w:pos="2880"/>
        </w:tabs>
        <w:ind w:left="2880" w:hanging="360"/>
      </w:pPr>
      <w:rPr>
        <w:rFonts w:ascii="Arial" w:hAnsi="Arial" w:cs="Times New Roman" w:hint="default"/>
      </w:rPr>
    </w:lvl>
    <w:lvl w:ilvl="4" w:tplc="1AF24064">
      <w:start w:val="1"/>
      <w:numFmt w:val="bullet"/>
      <w:lvlText w:val="•"/>
      <w:lvlJc w:val="left"/>
      <w:pPr>
        <w:tabs>
          <w:tab w:val="num" w:pos="3600"/>
        </w:tabs>
        <w:ind w:left="3600" w:hanging="360"/>
      </w:pPr>
      <w:rPr>
        <w:rFonts w:ascii="Arial" w:hAnsi="Arial" w:cs="Times New Roman" w:hint="default"/>
      </w:rPr>
    </w:lvl>
    <w:lvl w:ilvl="5" w:tplc="B6822BEC">
      <w:start w:val="1"/>
      <w:numFmt w:val="bullet"/>
      <w:lvlText w:val="•"/>
      <w:lvlJc w:val="left"/>
      <w:pPr>
        <w:tabs>
          <w:tab w:val="num" w:pos="4320"/>
        </w:tabs>
        <w:ind w:left="4320" w:hanging="360"/>
      </w:pPr>
      <w:rPr>
        <w:rFonts w:ascii="Arial" w:hAnsi="Arial" w:cs="Times New Roman" w:hint="default"/>
      </w:rPr>
    </w:lvl>
    <w:lvl w:ilvl="6" w:tplc="42B2FA42">
      <w:start w:val="1"/>
      <w:numFmt w:val="bullet"/>
      <w:lvlText w:val="•"/>
      <w:lvlJc w:val="left"/>
      <w:pPr>
        <w:tabs>
          <w:tab w:val="num" w:pos="5040"/>
        </w:tabs>
        <w:ind w:left="5040" w:hanging="360"/>
      </w:pPr>
      <w:rPr>
        <w:rFonts w:ascii="Arial" w:hAnsi="Arial" w:cs="Times New Roman" w:hint="default"/>
      </w:rPr>
    </w:lvl>
    <w:lvl w:ilvl="7" w:tplc="800CD13C">
      <w:start w:val="1"/>
      <w:numFmt w:val="bullet"/>
      <w:lvlText w:val="•"/>
      <w:lvlJc w:val="left"/>
      <w:pPr>
        <w:tabs>
          <w:tab w:val="num" w:pos="5760"/>
        </w:tabs>
        <w:ind w:left="5760" w:hanging="360"/>
      </w:pPr>
      <w:rPr>
        <w:rFonts w:ascii="Arial" w:hAnsi="Arial" w:cs="Times New Roman" w:hint="default"/>
      </w:rPr>
    </w:lvl>
    <w:lvl w:ilvl="8" w:tplc="6CD46C5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2933B91"/>
    <w:multiLevelType w:val="hybridMultilevel"/>
    <w:tmpl w:val="B8D415D0"/>
    <w:lvl w:ilvl="0" w:tplc="3698AE50">
      <w:start w:val="1"/>
      <w:numFmt w:val="bullet"/>
      <w:lvlText w:val=""/>
      <w:lvlJc w:val="left"/>
      <w:pPr>
        <w:ind w:left="720" w:hanging="360"/>
      </w:pPr>
      <w:rPr>
        <w:rFonts w:ascii="Symbol" w:hAnsi="Symbol" w:hint="default"/>
      </w:rPr>
    </w:lvl>
    <w:lvl w:ilvl="1" w:tplc="C8A606EC">
      <w:start w:val="1"/>
      <w:numFmt w:val="bullet"/>
      <w:lvlText w:val="o"/>
      <w:lvlJc w:val="left"/>
      <w:pPr>
        <w:ind w:left="1440" w:hanging="360"/>
      </w:pPr>
      <w:rPr>
        <w:rFonts w:ascii="Courier New" w:hAnsi="Courier New" w:hint="default"/>
      </w:rPr>
    </w:lvl>
    <w:lvl w:ilvl="2" w:tplc="DDF815DC">
      <w:start w:val="1"/>
      <w:numFmt w:val="bullet"/>
      <w:lvlText w:val=""/>
      <w:lvlJc w:val="left"/>
      <w:pPr>
        <w:ind w:left="2160" w:hanging="360"/>
      </w:pPr>
      <w:rPr>
        <w:rFonts w:ascii="Wingdings" w:hAnsi="Wingdings" w:hint="default"/>
      </w:rPr>
    </w:lvl>
    <w:lvl w:ilvl="3" w:tplc="D76607E6">
      <w:start w:val="1"/>
      <w:numFmt w:val="bullet"/>
      <w:lvlText w:val=""/>
      <w:lvlJc w:val="left"/>
      <w:pPr>
        <w:ind w:left="2880" w:hanging="360"/>
      </w:pPr>
      <w:rPr>
        <w:rFonts w:ascii="Symbol" w:hAnsi="Symbol" w:hint="default"/>
      </w:rPr>
    </w:lvl>
    <w:lvl w:ilvl="4" w:tplc="7BF25C4C">
      <w:start w:val="1"/>
      <w:numFmt w:val="bullet"/>
      <w:lvlText w:val="o"/>
      <w:lvlJc w:val="left"/>
      <w:pPr>
        <w:ind w:left="3600" w:hanging="360"/>
      </w:pPr>
      <w:rPr>
        <w:rFonts w:ascii="Courier New" w:hAnsi="Courier New" w:hint="default"/>
      </w:rPr>
    </w:lvl>
    <w:lvl w:ilvl="5" w:tplc="4F7A62EA">
      <w:start w:val="1"/>
      <w:numFmt w:val="bullet"/>
      <w:lvlText w:val=""/>
      <w:lvlJc w:val="left"/>
      <w:pPr>
        <w:ind w:left="4320" w:hanging="360"/>
      </w:pPr>
      <w:rPr>
        <w:rFonts w:ascii="Wingdings" w:hAnsi="Wingdings" w:hint="default"/>
      </w:rPr>
    </w:lvl>
    <w:lvl w:ilvl="6" w:tplc="264807E8">
      <w:start w:val="1"/>
      <w:numFmt w:val="bullet"/>
      <w:lvlText w:val=""/>
      <w:lvlJc w:val="left"/>
      <w:pPr>
        <w:ind w:left="5040" w:hanging="360"/>
      </w:pPr>
      <w:rPr>
        <w:rFonts w:ascii="Symbol" w:hAnsi="Symbol" w:hint="default"/>
      </w:rPr>
    </w:lvl>
    <w:lvl w:ilvl="7" w:tplc="A07EAB98">
      <w:start w:val="1"/>
      <w:numFmt w:val="bullet"/>
      <w:lvlText w:val="o"/>
      <w:lvlJc w:val="left"/>
      <w:pPr>
        <w:ind w:left="5760" w:hanging="360"/>
      </w:pPr>
      <w:rPr>
        <w:rFonts w:ascii="Courier New" w:hAnsi="Courier New" w:hint="default"/>
      </w:rPr>
    </w:lvl>
    <w:lvl w:ilvl="8" w:tplc="93AEF24A">
      <w:start w:val="1"/>
      <w:numFmt w:val="bullet"/>
      <w:lvlText w:val=""/>
      <w:lvlJc w:val="left"/>
      <w:pPr>
        <w:ind w:left="6480" w:hanging="360"/>
      </w:pPr>
      <w:rPr>
        <w:rFonts w:ascii="Wingdings" w:hAnsi="Wingdings" w:hint="default"/>
      </w:rPr>
    </w:lvl>
  </w:abstractNum>
  <w:abstractNum w:abstractNumId="16"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1278C"/>
    <w:multiLevelType w:val="hybridMultilevel"/>
    <w:tmpl w:val="E29E4CA4"/>
    <w:lvl w:ilvl="0" w:tplc="9F400BEC">
      <w:start w:val="1"/>
      <w:numFmt w:val="bullet"/>
      <w:lvlText w:val=""/>
      <w:lvlJc w:val="left"/>
      <w:pPr>
        <w:ind w:left="720" w:hanging="360"/>
      </w:pPr>
      <w:rPr>
        <w:rFonts w:ascii="Symbol" w:hAnsi="Symbol" w:hint="default"/>
      </w:rPr>
    </w:lvl>
    <w:lvl w:ilvl="1" w:tplc="B72A3DC6">
      <w:start w:val="1"/>
      <w:numFmt w:val="bullet"/>
      <w:lvlText w:val=""/>
      <w:lvlJc w:val="left"/>
      <w:pPr>
        <w:ind w:left="1440" w:hanging="360"/>
      </w:pPr>
      <w:rPr>
        <w:rFonts w:ascii="Symbol" w:hAnsi="Symbol" w:hint="default"/>
      </w:rPr>
    </w:lvl>
    <w:lvl w:ilvl="2" w:tplc="32649D24">
      <w:start w:val="1"/>
      <w:numFmt w:val="bullet"/>
      <w:lvlText w:val=""/>
      <w:lvlJc w:val="left"/>
      <w:pPr>
        <w:ind w:left="2160" w:hanging="360"/>
      </w:pPr>
      <w:rPr>
        <w:rFonts w:ascii="Wingdings" w:hAnsi="Wingdings" w:hint="default"/>
      </w:rPr>
    </w:lvl>
    <w:lvl w:ilvl="3" w:tplc="1E5C379E">
      <w:start w:val="1"/>
      <w:numFmt w:val="bullet"/>
      <w:lvlText w:val=""/>
      <w:lvlJc w:val="left"/>
      <w:pPr>
        <w:ind w:left="2880" w:hanging="360"/>
      </w:pPr>
      <w:rPr>
        <w:rFonts w:ascii="Symbol" w:hAnsi="Symbol" w:hint="default"/>
      </w:rPr>
    </w:lvl>
    <w:lvl w:ilvl="4" w:tplc="124EC208">
      <w:start w:val="1"/>
      <w:numFmt w:val="bullet"/>
      <w:lvlText w:val="o"/>
      <w:lvlJc w:val="left"/>
      <w:pPr>
        <w:ind w:left="3600" w:hanging="360"/>
      </w:pPr>
      <w:rPr>
        <w:rFonts w:ascii="Courier New" w:hAnsi="Courier New" w:hint="default"/>
      </w:rPr>
    </w:lvl>
    <w:lvl w:ilvl="5" w:tplc="3F40CC8E">
      <w:start w:val="1"/>
      <w:numFmt w:val="bullet"/>
      <w:lvlText w:val=""/>
      <w:lvlJc w:val="left"/>
      <w:pPr>
        <w:ind w:left="4320" w:hanging="360"/>
      </w:pPr>
      <w:rPr>
        <w:rFonts w:ascii="Wingdings" w:hAnsi="Wingdings" w:hint="default"/>
      </w:rPr>
    </w:lvl>
    <w:lvl w:ilvl="6" w:tplc="05387CC4">
      <w:start w:val="1"/>
      <w:numFmt w:val="bullet"/>
      <w:lvlText w:val=""/>
      <w:lvlJc w:val="left"/>
      <w:pPr>
        <w:ind w:left="5040" w:hanging="360"/>
      </w:pPr>
      <w:rPr>
        <w:rFonts w:ascii="Symbol" w:hAnsi="Symbol" w:hint="default"/>
      </w:rPr>
    </w:lvl>
    <w:lvl w:ilvl="7" w:tplc="D124053C">
      <w:start w:val="1"/>
      <w:numFmt w:val="bullet"/>
      <w:lvlText w:val="o"/>
      <w:lvlJc w:val="left"/>
      <w:pPr>
        <w:ind w:left="5760" w:hanging="360"/>
      </w:pPr>
      <w:rPr>
        <w:rFonts w:ascii="Courier New" w:hAnsi="Courier New" w:hint="default"/>
      </w:rPr>
    </w:lvl>
    <w:lvl w:ilvl="8" w:tplc="214CE0E2">
      <w:start w:val="1"/>
      <w:numFmt w:val="bullet"/>
      <w:lvlText w:val=""/>
      <w:lvlJc w:val="left"/>
      <w:pPr>
        <w:ind w:left="6480" w:hanging="360"/>
      </w:pPr>
      <w:rPr>
        <w:rFonts w:ascii="Wingdings" w:hAnsi="Wingdings" w:hint="default"/>
      </w:rPr>
    </w:lvl>
  </w:abstractNum>
  <w:abstractNum w:abstractNumId="18" w15:restartNumberingAfterBreak="0">
    <w:nsid w:val="4EC6353C"/>
    <w:multiLevelType w:val="hybridMultilevel"/>
    <w:tmpl w:val="986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DED236B"/>
    <w:multiLevelType w:val="multilevel"/>
    <w:tmpl w:val="095ED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C4507A"/>
    <w:multiLevelType w:val="hybridMultilevel"/>
    <w:tmpl w:val="421460EC"/>
    <w:lvl w:ilvl="0" w:tplc="C1740BD0">
      <w:start w:val="1"/>
      <w:numFmt w:val="bullet"/>
      <w:lvlText w:val=""/>
      <w:lvlJc w:val="left"/>
      <w:pPr>
        <w:ind w:left="720" w:hanging="360"/>
      </w:pPr>
      <w:rPr>
        <w:rFonts w:ascii="Symbol" w:hAnsi="Symbol" w:hint="default"/>
      </w:rPr>
    </w:lvl>
    <w:lvl w:ilvl="1" w:tplc="9C423A8A">
      <w:start w:val="1"/>
      <w:numFmt w:val="bullet"/>
      <w:lvlText w:val=""/>
      <w:lvlJc w:val="left"/>
      <w:pPr>
        <w:ind w:left="1440" w:hanging="360"/>
      </w:pPr>
      <w:rPr>
        <w:rFonts w:ascii="Symbol" w:hAnsi="Symbol" w:hint="default"/>
      </w:rPr>
    </w:lvl>
    <w:lvl w:ilvl="2" w:tplc="2DE888F2">
      <w:start w:val="1"/>
      <w:numFmt w:val="bullet"/>
      <w:lvlText w:val=""/>
      <w:lvlJc w:val="left"/>
      <w:pPr>
        <w:ind w:left="2160" w:hanging="360"/>
      </w:pPr>
      <w:rPr>
        <w:rFonts w:ascii="Wingdings" w:hAnsi="Wingdings" w:hint="default"/>
      </w:rPr>
    </w:lvl>
    <w:lvl w:ilvl="3" w:tplc="48D68CAE">
      <w:start w:val="1"/>
      <w:numFmt w:val="bullet"/>
      <w:lvlText w:val=""/>
      <w:lvlJc w:val="left"/>
      <w:pPr>
        <w:ind w:left="2880" w:hanging="360"/>
      </w:pPr>
      <w:rPr>
        <w:rFonts w:ascii="Symbol" w:hAnsi="Symbol" w:hint="default"/>
      </w:rPr>
    </w:lvl>
    <w:lvl w:ilvl="4" w:tplc="8656167A">
      <w:start w:val="1"/>
      <w:numFmt w:val="bullet"/>
      <w:lvlText w:val="o"/>
      <w:lvlJc w:val="left"/>
      <w:pPr>
        <w:ind w:left="3600" w:hanging="360"/>
      </w:pPr>
      <w:rPr>
        <w:rFonts w:ascii="Courier New" w:hAnsi="Courier New" w:hint="default"/>
      </w:rPr>
    </w:lvl>
    <w:lvl w:ilvl="5" w:tplc="A84AA330">
      <w:start w:val="1"/>
      <w:numFmt w:val="bullet"/>
      <w:lvlText w:val=""/>
      <w:lvlJc w:val="left"/>
      <w:pPr>
        <w:ind w:left="4320" w:hanging="360"/>
      </w:pPr>
      <w:rPr>
        <w:rFonts w:ascii="Wingdings" w:hAnsi="Wingdings" w:hint="default"/>
      </w:rPr>
    </w:lvl>
    <w:lvl w:ilvl="6" w:tplc="EC6459B4">
      <w:start w:val="1"/>
      <w:numFmt w:val="bullet"/>
      <w:lvlText w:val=""/>
      <w:lvlJc w:val="left"/>
      <w:pPr>
        <w:ind w:left="5040" w:hanging="360"/>
      </w:pPr>
      <w:rPr>
        <w:rFonts w:ascii="Symbol" w:hAnsi="Symbol" w:hint="default"/>
      </w:rPr>
    </w:lvl>
    <w:lvl w:ilvl="7" w:tplc="D39A72D4">
      <w:start w:val="1"/>
      <w:numFmt w:val="bullet"/>
      <w:lvlText w:val="o"/>
      <w:lvlJc w:val="left"/>
      <w:pPr>
        <w:ind w:left="5760" w:hanging="360"/>
      </w:pPr>
      <w:rPr>
        <w:rFonts w:ascii="Courier New" w:hAnsi="Courier New" w:hint="default"/>
      </w:rPr>
    </w:lvl>
    <w:lvl w:ilvl="8" w:tplc="C624C82A">
      <w:start w:val="1"/>
      <w:numFmt w:val="bullet"/>
      <w:lvlText w:val=""/>
      <w:lvlJc w:val="left"/>
      <w:pPr>
        <w:ind w:left="6480" w:hanging="360"/>
      </w:pPr>
      <w:rPr>
        <w:rFonts w:ascii="Wingdings" w:hAnsi="Wingdings" w:hint="default"/>
      </w:rPr>
    </w:lvl>
  </w:abstractNum>
  <w:abstractNum w:abstractNumId="23"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634D54A9"/>
    <w:multiLevelType w:val="hybridMultilevel"/>
    <w:tmpl w:val="4BEC1334"/>
    <w:lvl w:ilvl="0" w:tplc="F0B4CE10">
      <w:start w:val="1"/>
      <w:numFmt w:val="bullet"/>
      <w:lvlText w:val=""/>
      <w:lvlJc w:val="left"/>
      <w:pPr>
        <w:ind w:left="720" w:hanging="360"/>
      </w:pPr>
      <w:rPr>
        <w:rFonts w:ascii="Symbol" w:hAnsi="Symbol" w:hint="default"/>
      </w:rPr>
    </w:lvl>
    <w:lvl w:ilvl="1" w:tplc="F95CFEF2">
      <w:start w:val="1"/>
      <w:numFmt w:val="bullet"/>
      <w:lvlText w:val="o"/>
      <w:lvlJc w:val="left"/>
      <w:pPr>
        <w:ind w:left="1440" w:hanging="360"/>
      </w:pPr>
      <w:rPr>
        <w:rFonts w:ascii="Courier New" w:hAnsi="Courier New" w:hint="default"/>
      </w:rPr>
    </w:lvl>
    <w:lvl w:ilvl="2" w:tplc="3FFC238A">
      <w:start w:val="1"/>
      <w:numFmt w:val="bullet"/>
      <w:lvlText w:val=""/>
      <w:lvlJc w:val="left"/>
      <w:pPr>
        <w:ind w:left="2160" w:hanging="360"/>
      </w:pPr>
      <w:rPr>
        <w:rFonts w:ascii="Wingdings" w:hAnsi="Wingdings" w:hint="default"/>
      </w:rPr>
    </w:lvl>
    <w:lvl w:ilvl="3" w:tplc="D2164E4E">
      <w:start w:val="1"/>
      <w:numFmt w:val="bullet"/>
      <w:lvlText w:val=""/>
      <w:lvlJc w:val="left"/>
      <w:pPr>
        <w:ind w:left="2880" w:hanging="360"/>
      </w:pPr>
      <w:rPr>
        <w:rFonts w:ascii="Symbol" w:hAnsi="Symbol" w:hint="default"/>
      </w:rPr>
    </w:lvl>
    <w:lvl w:ilvl="4" w:tplc="907A32CA">
      <w:start w:val="1"/>
      <w:numFmt w:val="bullet"/>
      <w:lvlText w:val="o"/>
      <w:lvlJc w:val="left"/>
      <w:pPr>
        <w:ind w:left="3600" w:hanging="360"/>
      </w:pPr>
      <w:rPr>
        <w:rFonts w:ascii="Courier New" w:hAnsi="Courier New" w:hint="default"/>
      </w:rPr>
    </w:lvl>
    <w:lvl w:ilvl="5" w:tplc="016CD05C">
      <w:start w:val="1"/>
      <w:numFmt w:val="bullet"/>
      <w:lvlText w:val=""/>
      <w:lvlJc w:val="left"/>
      <w:pPr>
        <w:ind w:left="4320" w:hanging="360"/>
      </w:pPr>
      <w:rPr>
        <w:rFonts w:ascii="Wingdings" w:hAnsi="Wingdings" w:hint="default"/>
      </w:rPr>
    </w:lvl>
    <w:lvl w:ilvl="6" w:tplc="D54A04D0">
      <w:start w:val="1"/>
      <w:numFmt w:val="bullet"/>
      <w:lvlText w:val=""/>
      <w:lvlJc w:val="left"/>
      <w:pPr>
        <w:ind w:left="5040" w:hanging="360"/>
      </w:pPr>
      <w:rPr>
        <w:rFonts w:ascii="Symbol" w:hAnsi="Symbol" w:hint="default"/>
      </w:rPr>
    </w:lvl>
    <w:lvl w:ilvl="7" w:tplc="F782BA28">
      <w:start w:val="1"/>
      <w:numFmt w:val="bullet"/>
      <w:lvlText w:val="o"/>
      <w:lvlJc w:val="left"/>
      <w:pPr>
        <w:ind w:left="5760" w:hanging="360"/>
      </w:pPr>
      <w:rPr>
        <w:rFonts w:ascii="Courier New" w:hAnsi="Courier New" w:hint="default"/>
      </w:rPr>
    </w:lvl>
    <w:lvl w:ilvl="8" w:tplc="07DE2BBC">
      <w:start w:val="1"/>
      <w:numFmt w:val="bullet"/>
      <w:lvlText w:val=""/>
      <w:lvlJc w:val="left"/>
      <w:pPr>
        <w:ind w:left="6480" w:hanging="360"/>
      </w:pPr>
      <w:rPr>
        <w:rFonts w:ascii="Wingdings" w:hAnsi="Wingdings" w:hint="default"/>
      </w:rPr>
    </w:lvl>
  </w:abstractNum>
  <w:abstractNum w:abstractNumId="25" w15:restartNumberingAfterBreak="0">
    <w:nsid w:val="63B5708D"/>
    <w:multiLevelType w:val="hybridMultilevel"/>
    <w:tmpl w:val="2A44FE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6F80CBC"/>
    <w:multiLevelType w:val="hybridMultilevel"/>
    <w:tmpl w:val="8FF63F4A"/>
    <w:lvl w:ilvl="0" w:tplc="8C14716C">
      <w:start w:val="1"/>
      <w:numFmt w:val="bullet"/>
      <w:lvlText w:val=""/>
      <w:lvlJc w:val="left"/>
      <w:pPr>
        <w:tabs>
          <w:tab w:val="num" w:pos="720"/>
        </w:tabs>
        <w:ind w:left="720" w:hanging="360"/>
      </w:pPr>
      <w:rPr>
        <w:rFonts w:ascii="Symbol" w:hAnsi="Symbol" w:hint="default"/>
      </w:rPr>
    </w:lvl>
    <w:lvl w:ilvl="1" w:tplc="DF348498">
      <w:numFmt w:val="bullet"/>
      <w:lvlText w:val="o"/>
      <w:lvlJc w:val="left"/>
      <w:pPr>
        <w:tabs>
          <w:tab w:val="num" w:pos="1440"/>
        </w:tabs>
        <w:ind w:left="1440" w:hanging="360"/>
      </w:pPr>
      <w:rPr>
        <w:rFonts w:ascii="Courier New" w:hAnsi="Courier New" w:hint="default"/>
      </w:rPr>
    </w:lvl>
    <w:lvl w:ilvl="2" w:tplc="28F25884">
      <w:numFmt w:val="bullet"/>
      <w:lvlText w:val=""/>
      <w:lvlJc w:val="left"/>
      <w:pPr>
        <w:tabs>
          <w:tab w:val="num" w:pos="2160"/>
        </w:tabs>
        <w:ind w:left="2160" w:hanging="360"/>
      </w:pPr>
      <w:rPr>
        <w:rFonts w:ascii="Wingdings" w:hAnsi="Wingdings" w:hint="default"/>
      </w:rPr>
    </w:lvl>
    <w:lvl w:ilvl="3" w:tplc="48EE3AB0" w:tentative="1">
      <w:start w:val="1"/>
      <w:numFmt w:val="bullet"/>
      <w:lvlText w:val=""/>
      <w:lvlJc w:val="left"/>
      <w:pPr>
        <w:tabs>
          <w:tab w:val="num" w:pos="2880"/>
        </w:tabs>
        <w:ind w:left="2880" w:hanging="360"/>
      </w:pPr>
      <w:rPr>
        <w:rFonts w:ascii="Symbol" w:hAnsi="Symbol" w:hint="default"/>
      </w:rPr>
    </w:lvl>
    <w:lvl w:ilvl="4" w:tplc="C4F43C10" w:tentative="1">
      <w:start w:val="1"/>
      <w:numFmt w:val="bullet"/>
      <w:lvlText w:val=""/>
      <w:lvlJc w:val="left"/>
      <w:pPr>
        <w:tabs>
          <w:tab w:val="num" w:pos="3600"/>
        </w:tabs>
        <w:ind w:left="3600" w:hanging="360"/>
      </w:pPr>
      <w:rPr>
        <w:rFonts w:ascii="Symbol" w:hAnsi="Symbol" w:hint="default"/>
      </w:rPr>
    </w:lvl>
    <w:lvl w:ilvl="5" w:tplc="79ECC51E" w:tentative="1">
      <w:start w:val="1"/>
      <w:numFmt w:val="bullet"/>
      <w:lvlText w:val=""/>
      <w:lvlJc w:val="left"/>
      <w:pPr>
        <w:tabs>
          <w:tab w:val="num" w:pos="4320"/>
        </w:tabs>
        <w:ind w:left="4320" w:hanging="360"/>
      </w:pPr>
      <w:rPr>
        <w:rFonts w:ascii="Symbol" w:hAnsi="Symbol" w:hint="default"/>
      </w:rPr>
    </w:lvl>
    <w:lvl w:ilvl="6" w:tplc="BFC80268" w:tentative="1">
      <w:start w:val="1"/>
      <w:numFmt w:val="bullet"/>
      <w:lvlText w:val=""/>
      <w:lvlJc w:val="left"/>
      <w:pPr>
        <w:tabs>
          <w:tab w:val="num" w:pos="5040"/>
        </w:tabs>
        <w:ind w:left="5040" w:hanging="360"/>
      </w:pPr>
      <w:rPr>
        <w:rFonts w:ascii="Symbol" w:hAnsi="Symbol" w:hint="default"/>
      </w:rPr>
    </w:lvl>
    <w:lvl w:ilvl="7" w:tplc="C07854EC" w:tentative="1">
      <w:start w:val="1"/>
      <w:numFmt w:val="bullet"/>
      <w:lvlText w:val=""/>
      <w:lvlJc w:val="left"/>
      <w:pPr>
        <w:tabs>
          <w:tab w:val="num" w:pos="5760"/>
        </w:tabs>
        <w:ind w:left="5760" w:hanging="360"/>
      </w:pPr>
      <w:rPr>
        <w:rFonts w:ascii="Symbol" w:hAnsi="Symbol" w:hint="default"/>
      </w:rPr>
    </w:lvl>
    <w:lvl w:ilvl="8" w:tplc="35E4ED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858546F"/>
    <w:multiLevelType w:val="hybridMultilevel"/>
    <w:tmpl w:val="A2922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D0F63"/>
    <w:multiLevelType w:val="hybridMultilevel"/>
    <w:tmpl w:val="FA1CC7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9" w15:restartNumberingAfterBreak="0">
    <w:nsid w:val="6CE85468"/>
    <w:multiLevelType w:val="hybridMultilevel"/>
    <w:tmpl w:val="C71E7C2A"/>
    <w:lvl w:ilvl="0" w:tplc="D748A7BE">
      <w:start w:val="1"/>
      <w:numFmt w:val="bullet"/>
      <w:lvlText w:val=""/>
      <w:lvlJc w:val="left"/>
      <w:pPr>
        <w:ind w:left="720" w:hanging="360"/>
      </w:pPr>
      <w:rPr>
        <w:rFonts w:ascii="Symbol" w:hAnsi="Symbol" w:hint="default"/>
      </w:rPr>
    </w:lvl>
    <w:lvl w:ilvl="1" w:tplc="C0867150">
      <w:start w:val="1"/>
      <w:numFmt w:val="bullet"/>
      <w:lvlText w:val=""/>
      <w:lvlJc w:val="left"/>
      <w:pPr>
        <w:ind w:left="1440" w:hanging="360"/>
      </w:pPr>
      <w:rPr>
        <w:rFonts w:ascii="Symbol" w:hAnsi="Symbol" w:hint="default"/>
      </w:rPr>
    </w:lvl>
    <w:lvl w:ilvl="2" w:tplc="74C40D14">
      <w:start w:val="1"/>
      <w:numFmt w:val="bullet"/>
      <w:lvlText w:val=""/>
      <w:lvlJc w:val="left"/>
      <w:pPr>
        <w:ind w:left="2160" w:hanging="360"/>
      </w:pPr>
      <w:rPr>
        <w:rFonts w:ascii="Wingdings" w:hAnsi="Wingdings" w:hint="default"/>
      </w:rPr>
    </w:lvl>
    <w:lvl w:ilvl="3" w:tplc="095C6D66">
      <w:start w:val="1"/>
      <w:numFmt w:val="bullet"/>
      <w:lvlText w:val=""/>
      <w:lvlJc w:val="left"/>
      <w:pPr>
        <w:ind w:left="2880" w:hanging="360"/>
      </w:pPr>
      <w:rPr>
        <w:rFonts w:ascii="Symbol" w:hAnsi="Symbol" w:hint="default"/>
      </w:rPr>
    </w:lvl>
    <w:lvl w:ilvl="4" w:tplc="5BA07D90">
      <w:start w:val="1"/>
      <w:numFmt w:val="bullet"/>
      <w:lvlText w:val="o"/>
      <w:lvlJc w:val="left"/>
      <w:pPr>
        <w:ind w:left="3600" w:hanging="360"/>
      </w:pPr>
      <w:rPr>
        <w:rFonts w:ascii="Courier New" w:hAnsi="Courier New" w:hint="default"/>
      </w:rPr>
    </w:lvl>
    <w:lvl w:ilvl="5" w:tplc="6E1A3424">
      <w:start w:val="1"/>
      <w:numFmt w:val="bullet"/>
      <w:lvlText w:val=""/>
      <w:lvlJc w:val="left"/>
      <w:pPr>
        <w:ind w:left="4320" w:hanging="360"/>
      </w:pPr>
      <w:rPr>
        <w:rFonts w:ascii="Wingdings" w:hAnsi="Wingdings" w:hint="default"/>
      </w:rPr>
    </w:lvl>
    <w:lvl w:ilvl="6" w:tplc="D7FED6F2">
      <w:start w:val="1"/>
      <w:numFmt w:val="bullet"/>
      <w:lvlText w:val=""/>
      <w:lvlJc w:val="left"/>
      <w:pPr>
        <w:ind w:left="5040" w:hanging="360"/>
      </w:pPr>
      <w:rPr>
        <w:rFonts w:ascii="Symbol" w:hAnsi="Symbol" w:hint="default"/>
      </w:rPr>
    </w:lvl>
    <w:lvl w:ilvl="7" w:tplc="B302C0DE">
      <w:start w:val="1"/>
      <w:numFmt w:val="bullet"/>
      <w:lvlText w:val="o"/>
      <w:lvlJc w:val="left"/>
      <w:pPr>
        <w:ind w:left="5760" w:hanging="360"/>
      </w:pPr>
      <w:rPr>
        <w:rFonts w:ascii="Courier New" w:hAnsi="Courier New" w:hint="default"/>
      </w:rPr>
    </w:lvl>
    <w:lvl w:ilvl="8" w:tplc="B02C2474">
      <w:start w:val="1"/>
      <w:numFmt w:val="bullet"/>
      <w:lvlText w:val=""/>
      <w:lvlJc w:val="left"/>
      <w:pPr>
        <w:ind w:left="6480" w:hanging="360"/>
      </w:pPr>
      <w:rPr>
        <w:rFonts w:ascii="Wingdings" w:hAnsi="Wingdings" w:hint="default"/>
      </w:rPr>
    </w:lvl>
  </w:abstractNum>
  <w:abstractNum w:abstractNumId="30" w15:restartNumberingAfterBreak="0">
    <w:nsid w:val="6D95343E"/>
    <w:multiLevelType w:val="hybridMultilevel"/>
    <w:tmpl w:val="AB707EE2"/>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num w:numId="1">
    <w:abstractNumId w:val="29"/>
  </w:num>
  <w:num w:numId="2">
    <w:abstractNumId w:val="22"/>
  </w:num>
  <w:num w:numId="3">
    <w:abstractNumId w:val="15"/>
  </w:num>
  <w:num w:numId="4">
    <w:abstractNumId w:val="24"/>
  </w:num>
  <w:num w:numId="5">
    <w:abstractNumId w:val="8"/>
  </w:num>
  <w:num w:numId="6">
    <w:abstractNumId w:val="5"/>
  </w:num>
  <w:num w:numId="7">
    <w:abstractNumId w:val="17"/>
  </w:num>
  <w:num w:numId="8">
    <w:abstractNumId w:val="0"/>
  </w:num>
  <w:num w:numId="9">
    <w:abstractNumId w:val="6"/>
  </w:num>
  <w:num w:numId="10">
    <w:abstractNumId w:val="20"/>
  </w:num>
  <w:num w:numId="11">
    <w:abstractNumId w:val="9"/>
  </w:num>
  <w:num w:numId="12">
    <w:abstractNumId w:val="28"/>
  </w:num>
  <w:num w:numId="13">
    <w:abstractNumId w:val="16"/>
  </w:num>
  <w:num w:numId="14">
    <w:abstractNumId w:val="10"/>
  </w:num>
  <w:num w:numId="15">
    <w:abstractNumId w:val="2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num>
  <w:num w:numId="23">
    <w:abstractNumId w:val="25"/>
  </w:num>
  <w:num w:numId="24">
    <w:abstractNumId w:val="1"/>
  </w:num>
  <w:num w:numId="25">
    <w:abstractNumId w:val="27"/>
  </w:num>
  <w:num w:numId="26">
    <w:abstractNumId w:val="26"/>
  </w:num>
  <w:num w:numId="27">
    <w:abstractNumId w:val="14"/>
  </w:num>
  <w:num w:numId="28">
    <w:abstractNumId w:val="23"/>
  </w:num>
  <w:num w:numId="29">
    <w:abstractNumId w:val="10"/>
  </w:num>
  <w:num w:numId="30">
    <w:abstractNumId w:val="11"/>
  </w:num>
  <w:num w:numId="31">
    <w:abstractNumId w:val="2"/>
  </w:num>
  <w:num w:numId="32">
    <w:abstractNumId w:val="3"/>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3"/>
  </w:num>
  <w:num w:numId="36">
    <w:abstractNumId w:val="10"/>
  </w:num>
  <w:num w:numId="37">
    <w:abstractNumId w:val="10"/>
  </w:num>
  <w:num w:numId="3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2523"/>
    <w:rsid w:val="000332E5"/>
    <w:rsid w:val="00033356"/>
    <w:rsid w:val="0003396B"/>
    <w:rsid w:val="00033EBA"/>
    <w:rsid w:val="000348B5"/>
    <w:rsid w:val="00034CBF"/>
    <w:rsid w:val="0003525C"/>
    <w:rsid w:val="00035B64"/>
    <w:rsid w:val="00036747"/>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3284"/>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1CD"/>
    <w:rsid w:val="00132744"/>
    <w:rsid w:val="00133784"/>
    <w:rsid w:val="00133AC7"/>
    <w:rsid w:val="0013470B"/>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25ED"/>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3DA"/>
    <w:rsid w:val="001A1940"/>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5722"/>
    <w:rsid w:val="001D6019"/>
    <w:rsid w:val="001D6678"/>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370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813"/>
    <w:rsid w:val="002B2A9E"/>
    <w:rsid w:val="002B3667"/>
    <w:rsid w:val="002B377C"/>
    <w:rsid w:val="002B39EE"/>
    <w:rsid w:val="002B3A79"/>
    <w:rsid w:val="002B49C4"/>
    <w:rsid w:val="002B4D11"/>
    <w:rsid w:val="002B50EA"/>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1214"/>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70E"/>
    <w:rsid w:val="00360E66"/>
    <w:rsid w:val="00361031"/>
    <w:rsid w:val="00361310"/>
    <w:rsid w:val="0036140A"/>
    <w:rsid w:val="00361795"/>
    <w:rsid w:val="00361A67"/>
    <w:rsid w:val="00362676"/>
    <w:rsid w:val="00362DE1"/>
    <w:rsid w:val="00362FAA"/>
    <w:rsid w:val="00363231"/>
    <w:rsid w:val="00363D73"/>
    <w:rsid w:val="003642A6"/>
    <w:rsid w:val="00364BBC"/>
    <w:rsid w:val="00364BDE"/>
    <w:rsid w:val="00364D63"/>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101E"/>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92"/>
    <w:rsid w:val="003926C2"/>
    <w:rsid w:val="00392CB1"/>
    <w:rsid w:val="003935EC"/>
    <w:rsid w:val="003937E5"/>
    <w:rsid w:val="003938BD"/>
    <w:rsid w:val="00393A1E"/>
    <w:rsid w:val="00393C4F"/>
    <w:rsid w:val="0039496A"/>
    <w:rsid w:val="0039581F"/>
    <w:rsid w:val="00395FD5"/>
    <w:rsid w:val="0039629A"/>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A9"/>
    <w:rsid w:val="003B4060"/>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D9D"/>
    <w:rsid w:val="003C7E86"/>
    <w:rsid w:val="003D005E"/>
    <w:rsid w:val="003D00A3"/>
    <w:rsid w:val="003D04E2"/>
    <w:rsid w:val="003D0B27"/>
    <w:rsid w:val="003D0CCD"/>
    <w:rsid w:val="003D1076"/>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3A83"/>
    <w:rsid w:val="004C3ED6"/>
    <w:rsid w:val="004C4B8F"/>
    <w:rsid w:val="004C4F58"/>
    <w:rsid w:val="004C5E0E"/>
    <w:rsid w:val="004C606D"/>
    <w:rsid w:val="004C7056"/>
    <w:rsid w:val="004C7072"/>
    <w:rsid w:val="004C795A"/>
    <w:rsid w:val="004D006C"/>
    <w:rsid w:val="004D04BC"/>
    <w:rsid w:val="004D09C7"/>
    <w:rsid w:val="004D0A0D"/>
    <w:rsid w:val="004D183A"/>
    <w:rsid w:val="004D18A5"/>
    <w:rsid w:val="004D2744"/>
    <w:rsid w:val="004D28E9"/>
    <w:rsid w:val="004D2D21"/>
    <w:rsid w:val="004D2EAC"/>
    <w:rsid w:val="004D2F84"/>
    <w:rsid w:val="004D3DCF"/>
    <w:rsid w:val="004D464A"/>
    <w:rsid w:val="004D52C0"/>
    <w:rsid w:val="004D5F47"/>
    <w:rsid w:val="004D61FE"/>
    <w:rsid w:val="004D6321"/>
    <w:rsid w:val="004D6C29"/>
    <w:rsid w:val="004D7858"/>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1344"/>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842"/>
    <w:rsid w:val="005D49C0"/>
    <w:rsid w:val="005D49DA"/>
    <w:rsid w:val="005D67F8"/>
    <w:rsid w:val="005D6AFC"/>
    <w:rsid w:val="005D712D"/>
    <w:rsid w:val="005D718D"/>
    <w:rsid w:val="005D79C5"/>
    <w:rsid w:val="005D7DE6"/>
    <w:rsid w:val="005D7F2A"/>
    <w:rsid w:val="005E165C"/>
    <w:rsid w:val="005E2732"/>
    <w:rsid w:val="005E39F8"/>
    <w:rsid w:val="005E3F9F"/>
    <w:rsid w:val="005E4E58"/>
    <w:rsid w:val="005E4F2B"/>
    <w:rsid w:val="005F04A6"/>
    <w:rsid w:val="005F085D"/>
    <w:rsid w:val="005F0A0B"/>
    <w:rsid w:val="005F0D07"/>
    <w:rsid w:val="005F0E4E"/>
    <w:rsid w:val="005F30A0"/>
    <w:rsid w:val="005F366E"/>
    <w:rsid w:val="005F3814"/>
    <w:rsid w:val="005F4C1E"/>
    <w:rsid w:val="005F5B47"/>
    <w:rsid w:val="005F60D1"/>
    <w:rsid w:val="005F67A4"/>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5EF"/>
    <w:rsid w:val="006139EF"/>
    <w:rsid w:val="0061415E"/>
    <w:rsid w:val="00614CD1"/>
    <w:rsid w:val="00614FCF"/>
    <w:rsid w:val="00615C6B"/>
    <w:rsid w:val="00616060"/>
    <w:rsid w:val="00616221"/>
    <w:rsid w:val="00616928"/>
    <w:rsid w:val="00616D9A"/>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945"/>
    <w:rsid w:val="00662B01"/>
    <w:rsid w:val="00662B75"/>
    <w:rsid w:val="00662DC9"/>
    <w:rsid w:val="00663245"/>
    <w:rsid w:val="00664540"/>
    <w:rsid w:val="00664AF1"/>
    <w:rsid w:val="00664C81"/>
    <w:rsid w:val="00664F8B"/>
    <w:rsid w:val="006652BE"/>
    <w:rsid w:val="00666086"/>
    <w:rsid w:val="00667501"/>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76E"/>
    <w:rsid w:val="007D7A91"/>
    <w:rsid w:val="007D7DB7"/>
    <w:rsid w:val="007E0435"/>
    <w:rsid w:val="007E1881"/>
    <w:rsid w:val="007E212C"/>
    <w:rsid w:val="007E3704"/>
    <w:rsid w:val="007E4062"/>
    <w:rsid w:val="007E4656"/>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EA2"/>
    <w:rsid w:val="008D2946"/>
    <w:rsid w:val="008D3617"/>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3660"/>
    <w:rsid w:val="009E3A62"/>
    <w:rsid w:val="009E41D5"/>
    <w:rsid w:val="009E4210"/>
    <w:rsid w:val="009E45BC"/>
    <w:rsid w:val="009E4A05"/>
    <w:rsid w:val="009E4B10"/>
    <w:rsid w:val="009E4C52"/>
    <w:rsid w:val="009E53C2"/>
    <w:rsid w:val="009E55ED"/>
    <w:rsid w:val="009E5646"/>
    <w:rsid w:val="009E5848"/>
    <w:rsid w:val="009E5976"/>
    <w:rsid w:val="009E5AF5"/>
    <w:rsid w:val="009E5D35"/>
    <w:rsid w:val="009E5E17"/>
    <w:rsid w:val="009E63B9"/>
    <w:rsid w:val="009E658B"/>
    <w:rsid w:val="009E70D9"/>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371"/>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F03F1"/>
    <w:rsid w:val="00AF1890"/>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214"/>
    <w:rsid w:val="00B0254E"/>
    <w:rsid w:val="00B026C5"/>
    <w:rsid w:val="00B02D45"/>
    <w:rsid w:val="00B03534"/>
    <w:rsid w:val="00B037B6"/>
    <w:rsid w:val="00B03816"/>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0F6"/>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90B"/>
    <w:rsid w:val="00CB6E3B"/>
    <w:rsid w:val="00CB6F5D"/>
    <w:rsid w:val="00CB70F6"/>
    <w:rsid w:val="00CB74BD"/>
    <w:rsid w:val="00CC06DF"/>
    <w:rsid w:val="00CC0D2F"/>
    <w:rsid w:val="00CC0E6B"/>
    <w:rsid w:val="00CC17D6"/>
    <w:rsid w:val="00CC23E5"/>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C12"/>
    <w:rsid w:val="00D510E2"/>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D0A"/>
    <w:rsid w:val="00D63597"/>
    <w:rsid w:val="00D64318"/>
    <w:rsid w:val="00D6443E"/>
    <w:rsid w:val="00D64472"/>
    <w:rsid w:val="00D65228"/>
    <w:rsid w:val="00D653DA"/>
    <w:rsid w:val="00D655F5"/>
    <w:rsid w:val="00D66089"/>
    <w:rsid w:val="00D66C19"/>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AFB"/>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51C"/>
    <w:rsid w:val="00E30565"/>
    <w:rsid w:val="00E308C5"/>
    <w:rsid w:val="00E30BDE"/>
    <w:rsid w:val="00E31280"/>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F55"/>
    <w:rsid w:val="00E57BAF"/>
    <w:rsid w:val="00E60E21"/>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314"/>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DEF"/>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D98"/>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59A"/>
    <w:rsid w:val="00FE5CE0"/>
    <w:rsid w:val="00FE6B28"/>
    <w:rsid w:val="00FE6F2E"/>
    <w:rsid w:val="00FE78AD"/>
    <w:rsid w:val="00FE7B8E"/>
    <w:rsid w:val="00FE7C7C"/>
    <w:rsid w:val="00FF076B"/>
    <w:rsid w:val="00FF16F2"/>
    <w:rsid w:val="00FF201A"/>
    <w:rsid w:val="00FF2CDC"/>
    <w:rsid w:val="00FF4222"/>
    <w:rsid w:val="00FF450D"/>
    <w:rsid w:val="00FF453D"/>
    <w:rsid w:val="00FF50A6"/>
    <w:rsid w:val="00FF5B20"/>
    <w:rsid w:val="00FF5CD0"/>
    <w:rsid w:val="00FF74A8"/>
    <w:rsid w:val="00FF76A8"/>
    <w:rsid w:val="00FF789A"/>
    <w:rsid w:val="00FF789C"/>
    <w:rsid w:val="00FF7E3B"/>
    <w:rsid w:val="00FF7F32"/>
    <w:rsid w:val="0792F314"/>
    <w:rsid w:val="0E072D09"/>
    <w:rsid w:val="1035D4ED"/>
    <w:rsid w:val="144AD2CC"/>
    <w:rsid w:val="15ADEE61"/>
    <w:rsid w:val="19E5CB94"/>
    <w:rsid w:val="2B4C71B4"/>
    <w:rsid w:val="2D0A3676"/>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184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B618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184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9"/>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10"/>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image" Target="media/image7.emf"/><Relationship Id="rId30"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5AIRPNAIUNRU-1830940522-3230</_dlc_DocId>
    <_dlc_DocIdUrl xmlns="71c5aaf6-e6ce-465b-b873-5148d2a4c105">
      <Url>https://nokia.sharepoint.com/sites/c5g/5gradio/_layouts/15/DocIdRedir.aspx?ID=5AIRPNAIUNRU-1830940522-3230</Url>
      <Description>5AIRPNAIUNRU-1830940522-3230</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9C644E64-9BFA-4CFB-8DA9-A00EF5AAD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7.xml><?xml version="1.0" encoding="utf-8"?>
<ds:datastoreItem xmlns:ds="http://schemas.openxmlformats.org/officeDocument/2006/customXml" ds:itemID="{BF1F0449-C236-4DF4-B9D9-8AC5A04C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Karol Schober</cp:lastModifiedBy>
  <cp:revision>44</cp:revision>
  <dcterms:created xsi:type="dcterms:W3CDTF">2018-02-16T13:26:00Z</dcterms:created>
  <dcterms:modified xsi:type="dcterms:W3CDTF">2018-05-11T15:58:00Z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61748d97-4dd7-436f-a64a-a5bdee9b56f4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