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7ACA0" w14:textId="71BD2783" w:rsidR="000B4207" w:rsidRPr="000B4207" w:rsidRDefault="006B05B5" w:rsidP="16512788">
      <w:pPr>
        <w:tabs>
          <w:tab w:val="center" w:pos="4536"/>
          <w:tab w:val="right" w:pos="9356"/>
          <w:tab w:val="right" w:pos="9639"/>
        </w:tabs>
        <w:spacing w:after="0" w:line="259" w:lineRule="auto"/>
        <w:rPr>
          <w:rFonts w:ascii="Arial" w:hAnsi="Arial" w:cs="Arial"/>
          <w:b/>
          <w:bCs/>
          <w:sz w:val="24"/>
          <w:szCs w:val="24"/>
        </w:rPr>
      </w:pPr>
      <w:r>
        <w:rPr>
          <w:rFonts w:ascii="Arial" w:hAnsi="Arial" w:cs="Arial"/>
          <w:b/>
          <w:bCs/>
          <w:sz w:val="24"/>
          <w:szCs w:val="24"/>
        </w:rPr>
        <w:t>3GPP TSG RAN WG1 Meeting 91</w:t>
      </w:r>
      <w:r w:rsidR="000B4207" w:rsidRPr="000B4207">
        <w:rPr>
          <w:rFonts w:ascii="Arial" w:eastAsia="MS Mincho" w:hAnsi="Arial" w:cs="Arial"/>
          <w:b/>
          <w:bCs/>
          <w:sz w:val="24"/>
          <w:lang w:eastAsia="ja-JP"/>
        </w:rPr>
        <w:tab/>
      </w:r>
      <w:r w:rsidR="000B4207" w:rsidRPr="141204DA">
        <w:rPr>
          <w:rFonts w:ascii="Arial" w:hAnsi="Arial" w:cs="Arial"/>
          <w:b/>
          <w:bCs/>
          <w:sz w:val="24"/>
          <w:szCs w:val="24"/>
        </w:rPr>
        <w:t xml:space="preserve">           </w:t>
      </w:r>
      <w:r w:rsidR="000B4207">
        <w:rPr>
          <w:rFonts w:ascii="Arial" w:hAnsi="Arial" w:cs="Arial"/>
          <w:b/>
          <w:bCs/>
          <w:sz w:val="24"/>
        </w:rPr>
        <w:tab/>
      </w:r>
      <w:r w:rsidR="000B4207" w:rsidRPr="141204DA">
        <w:rPr>
          <w:rFonts w:ascii="Arial" w:hAnsi="Arial" w:cs="Arial"/>
          <w:b/>
          <w:bCs/>
          <w:sz w:val="24"/>
          <w:szCs w:val="24"/>
        </w:rPr>
        <w:t>R1-</w:t>
      </w:r>
      <w:r w:rsidR="00633C83" w:rsidRPr="00633C83">
        <w:rPr>
          <w:rFonts w:ascii="Arial" w:hAnsi="Arial" w:cs="Arial"/>
          <w:b/>
          <w:bCs/>
          <w:sz w:val="24"/>
          <w:szCs w:val="24"/>
        </w:rPr>
        <w:t>172</w:t>
      </w:r>
      <w:bookmarkStart w:id="0" w:name="_GoBack"/>
      <w:r w:rsidR="00633C83" w:rsidRPr="00633C83">
        <w:rPr>
          <w:rFonts w:ascii="Arial" w:hAnsi="Arial" w:cs="Arial"/>
          <w:b/>
          <w:bCs/>
          <w:sz w:val="24"/>
          <w:szCs w:val="24"/>
        </w:rPr>
        <w:t>0482</w:t>
      </w:r>
      <w:bookmarkEnd w:id="0"/>
    </w:p>
    <w:p w14:paraId="3D4EE5DD" w14:textId="7AB969E1" w:rsidR="000B4207" w:rsidRPr="000B4207" w:rsidRDefault="006B05B5" w:rsidP="16512788">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Reno, NV, USA, November 27</w:t>
      </w:r>
      <w:r w:rsidRPr="006B05B5">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w:t>
      </w:r>
      <w:r w:rsidR="16512788" w:rsidRPr="16512788">
        <w:rPr>
          <w:rFonts w:ascii="Arial" w:eastAsia="MS Mincho" w:hAnsi="Arial" w:cs="Arial"/>
          <w:b/>
          <w:bCs/>
          <w:sz w:val="24"/>
          <w:szCs w:val="24"/>
          <w:lang w:eastAsia="ja-JP"/>
        </w:rPr>
        <w:t xml:space="preserve">– </w:t>
      </w:r>
      <w:r>
        <w:rPr>
          <w:rFonts w:ascii="Arial" w:eastAsia="MS Mincho" w:hAnsi="Arial" w:cs="Arial"/>
          <w:b/>
          <w:bCs/>
          <w:sz w:val="24"/>
          <w:szCs w:val="24"/>
          <w:lang w:eastAsia="ja-JP"/>
        </w:rPr>
        <w:t>December 1</w:t>
      </w:r>
      <w:r w:rsidRPr="006B05B5">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xml:space="preserve"> 2017</w:t>
      </w:r>
    </w:p>
    <w:p w14:paraId="30E02940" w14:textId="77777777" w:rsidR="00CA26CE" w:rsidRPr="0016316A" w:rsidRDefault="00CA26CE" w:rsidP="00CA26CE">
      <w:pPr>
        <w:pStyle w:val="Header"/>
        <w:rPr>
          <w:bCs/>
          <w:noProof w:val="0"/>
          <w:sz w:val="24"/>
          <w:lang w:val="en-GB" w:eastAsia="ja-JP"/>
        </w:rPr>
      </w:pPr>
    </w:p>
    <w:p w14:paraId="30E02941" w14:textId="04F0744B"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633C83">
        <w:rPr>
          <w:rFonts w:cs="Arial"/>
          <w:b/>
          <w:bCs/>
          <w:sz w:val="24"/>
          <w:szCs w:val="24"/>
        </w:rPr>
        <w:t>.3.3.5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0D6D29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33C83" w:rsidRPr="00633C83">
        <w:rPr>
          <w:rFonts w:ascii="Arial" w:hAnsi="Arial" w:cs="Arial"/>
          <w:b/>
          <w:bCs/>
          <w:sz w:val="24"/>
          <w:szCs w:val="24"/>
        </w:rPr>
        <w:t xml:space="preserve">Limited buffer rate matching application details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126A303" w14:textId="219FDC51" w:rsidR="00ED1327" w:rsidRDefault="00A665BF" w:rsidP="00ED1327">
      <w:r>
        <w:t>RAN1#90bis and subsequent email discussion made the following agreements with regard to the usage of limited buffer rate matching, which still leave some open issues on under which conditions LBRM is used.</w:t>
      </w:r>
    </w:p>
    <w:p w14:paraId="780B02FD" w14:textId="77777777" w:rsidR="00A665BF" w:rsidRPr="00AC5E66" w:rsidRDefault="00A665BF" w:rsidP="00414030">
      <w:pPr>
        <w:spacing w:after="0"/>
        <w:rPr>
          <w:highlight w:val="green"/>
        </w:rPr>
      </w:pPr>
      <w:r w:rsidRPr="00AC5E66">
        <w:rPr>
          <w:highlight w:val="green"/>
        </w:rPr>
        <w:t>Agreements:</w:t>
      </w:r>
    </w:p>
    <w:p w14:paraId="597EAC47" w14:textId="77777777" w:rsidR="00A665BF" w:rsidRPr="00AC5E66" w:rsidRDefault="00A665BF" w:rsidP="00414030">
      <w:pPr>
        <w:numPr>
          <w:ilvl w:val="0"/>
          <w:numId w:val="40"/>
        </w:numPr>
        <w:overflowPunct/>
        <w:autoSpaceDE/>
        <w:autoSpaceDN/>
        <w:adjustRightInd/>
        <w:spacing w:after="0"/>
        <w:textAlignment w:val="auto"/>
      </w:pPr>
      <w:r>
        <w:t>For DL, lim</w:t>
      </w:r>
      <w:r w:rsidRPr="00AC5E66">
        <w:t>ited buffer rate matching (LBRM) is supported and is applied per HARQ process.</w:t>
      </w:r>
    </w:p>
    <w:p w14:paraId="6BA4101C" w14:textId="77777777" w:rsidR="00A665BF" w:rsidRPr="00AC5E66" w:rsidRDefault="00A665BF" w:rsidP="00414030">
      <w:pPr>
        <w:numPr>
          <w:ilvl w:val="1"/>
          <w:numId w:val="40"/>
        </w:numPr>
        <w:overflowPunct/>
        <w:autoSpaceDE/>
        <w:autoSpaceDN/>
        <w:adjustRightInd/>
        <w:spacing w:after="0"/>
        <w:textAlignment w:val="auto"/>
      </w:pPr>
      <w:r w:rsidRPr="00AC5E66">
        <w:t xml:space="preserve">NR limits transmit buffer corresponding to a largest TBS coded at rate </w:t>
      </w:r>
      <w:r w:rsidRPr="00D67C12">
        <w:t>R</w:t>
      </w:r>
      <w:r w:rsidRPr="00D67C12">
        <w:rPr>
          <w:vertAlign w:val="subscript"/>
        </w:rPr>
        <w:t>LBRM</w:t>
      </w:r>
      <w:r w:rsidRPr="00D67C12">
        <w:rPr>
          <w:sz w:val="24"/>
        </w:rPr>
        <w:t>.</w:t>
      </w:r>
    </w:p>
    <w:p w14:paraId="100AE6BB" w14:textId="77777777" w:rsidR="00A665BF" w:rsidRPr="00D67C12" w:rsidRDefault="00A665BF" w:rsidP="00414030">
      <w:pPr>
        <w:pStyle w:val="BodyText"/>
        <w:numPr>
          <w:ilvl w:val="1"/>
          <w:numId w:val="40"/>
        </w:numPr>
        <w:overflowPunct/>
        <w:autoSpaceDE/>
        <w:autoSpaceDN/>
        <w:adjustRightInd/>
        <w:spacing w:after="0"/>
        <w:jc w:val="both"/>
        <w:textAlignment w:val="auto"/>
        <w:rPr>
          <w:lang w:eastAsia="zh-CN"/>
        </w:rPr>
      </w:pPr>
      <w:r w:rsidRPr="00D67C12">
        <w:rPr>
          <w:lang w:eastAsia="zh-CN"/>
        </w:rPr>
        <w:t>R</w:t>
      </w:r>
      <w:r w:rsidRPr="00D67C12">
        <w:rPr>
          <w:vertAlign w:val="subscript"/>
          <w:lang w:eastAsia="zh-CN"/>
        </w:rPr>
        <w:t>LBRM</w:t>
      </w:r>
      <w:r w:rsidRPr="00D67C12">
        <w:rPr>
          <w:lang w:eastAsia="zh-CN"/>
        </w:rPr>
        <w:t xml:space="preserve"> =</w:t>
      </w:r>
      <w:r w:rsidRPr="009E7354">
        <w:rPr>
          <w:sz w:val="48"/>
          <w:lang w:eastAsia="zh-CN"/>
        </w:rPr>
        <w:t>½</w:t>
      </w:r>
      <w:r w:rsidRPr="00D67C12">
        <w:rPr>
          <w:lang w:eastAsia="zh-CN"/>
        </w:rPr>
        <w:t xml:space="preserve">  is supported. </w:t>
      </w:r>
    </w:p>
    <w:p w14:paraId="0D423E6C" w14:textId="77777777" w:rsidR="00A665BF" w:rsidRPr="007806AC" w:rsidRDefault="00A665BF" w:rsidP="00414030">
      <w:pPr>
        <w:numPr>
          <w:ilvl w:val="0"/>
          <w:numId w:val="41"/>
        </w:numPr>
        <w:overflowPunct/>
        <w:autoSpaceDE/>
        <w:autoSpaceDN/>
        <w:adjustRightInd/>
        <w:spacing w:after="0"/>
        <w:textAlignment w:val="auto"/>
      </w:pPr>
      <w:r w:rsidRPr="007806AC">
        <w:t>Largest TBS for LBRM for DL should at least take into account UE capability</w:t>
      </w:r>
    </w:p>
    <w:p w14:paraId="41616856" w14:textId="77777777" w:rsidR="00A665BF" w:rsidRPr="007806AC" w:rsidRDefault="00A665BF" w:rsidP="00414030">
      <w:pPr>
        <w:numPr>
          <w:ilvl w:val="1"/>
          <w:numId w:val="41"/>
        </w:numPr>
        <w:overflowPunct/>
        <w:autoSpaceDE/>
        <w:autoSpaceDN/>
        <w:adjustRightInd/>
        <w:spacing w:after="0"/>
        <w:textAlignment w:val="auto"/>
      </w:pPr>
      <w:r w:rsidRPr="007806AC">
        <w:t>Details FFS (e.g., based on UE signalling, gNB configuration w.r.t. highest mod order, etc.)</w:t>
      </w:r>
    </w:p>
    <w:p w14:paraId="50EC806F" w14:textId="77777777" w:rsidR="00A665BF" w:rsidRPr="00A07E8B" w:rsidRDefault="00A665BF" w:rsidP="00414030">
      <w:pPr>
        <w:numPr>
          <w:ilvl w:val="2"/>
          <w:numId w:val="41"/>
        </w:numPr>
        <w:overflowPunct/>
        <w:autoSpaceDE/>
        <w:autoSpaceDN/>
        <w:adjustRightInd/>
        <w:spacing w:after="0"/>
        <w:textAlignment w:val="auto"/>
      </w:pPr>
      <w:r w:rsidRPr="00A07E8B">
        <w:t>Note: this does not prevent the possibility of defining a single largest TBS used for LBRM in Rel-15</w:t>
      </w:r>
    </w:p>
    <w:p w14:paraId="76CD5123" w14:textId="39550F57" w:rsidR="00F86506" w:rsidRDefault="00A665BF" w:rsidP="00414030">
      <w:pPr>
        <w:numPr>
          <w:ilvl w:val="0"/>
          <w:numId w:val="42"/>
        </w:numPr>
        <w:overflowPunct/>
        <w:autoSpaceDE/>
        <w:autoSpaceDN/>
        <w:adjustRightInd/>
        <w:spacing w:before="100" w:beforeAutospacing="1" w:after="0"/>
        <w:textAlignment w:val="auto"/>
      </w:pPr>
      <w:r w:rsidRPr="00A665BF">
        <w:t>For DL LBRM, RLBRM is changed from 1/2 to 2/3.</w:t>
      </w:r>
    </w:p>
    <w:p w14:paraId="46F225B1" w14:textId="77777777" w:rsidR="00A665BF" w:rsidRDefault="00A665BF" w:rsidP="00414030">
      <w:pPr>
        <w:numPr>
          <w:ilvl w:val="0"/>
          <w:numId w:val="42"/>
        </w:numPr>
        <w:overflowPunct/>
        <w:autoSpaceDE/>
        <w:autoSpaceDN/>
        <w:adjustRightInd/>
        <w:spacing w:before="100" w:beforeAutospacing="1" w:after="0"/>
        <w:textAlignment w:val="auto"/>
        <w:rPr>
          <w:rFonts w:ascii="MS PGothic" w:hAnsi="MS PGothic" w:cs="Calibri"/>
        </w:rPr>
      </w:pPr>
      <w:r>
        <w:rPr>
          <w:rFonts w:hint="eastAsia"/>
        </w:rPr>
        <w:t xml:space="preserve">For uplink, </w:t>
      </w:r>
    </w:p>
    <w:p w14:paraId="529CD21D" w14:textId="77777777" w:rsidR="00A665BF" w:rsidRDefault="00A665BF" w:rsidP="00414030">
      <w:pPr>
        <w:numPr>
          <w:ilvl w:val="1"/>
          <w:numId w:val="42"/>
        </w:numPr>
        <w:overflowPunct/>
        <w:autoSpaceDE/>
        <w:autoSpaceDN/>
        <w:adjustRightInd/>
        <w:spacing w:before="100" w:beforeAutospacing="1" w:after="0"/>
        <w:textAlignment w:val="auto"/>
        <w:rPr>
          <w:rFonts w:hint="eastAsia"/>
        </w:rPr>
      </w:pPr>
      <w:r>
        <w:rPr>
          <w:rFonts w:hint="eastAsia"/>
        </w:rPr>
        <w:t xml:space="preserve">Full buffer rate-matching is supported </w:t>
      </w:r>
    </w:p>
    <w:p w14:paraId="65358211" w14:textId="77777777" w:rsidR="00A665BF" w:rsidRDefault="00A665BF" w:rsidP="00414030">
      <w:pPr>
        <w:numPr>
          <w:ilvl w:val="1"/>
          <w:numId w:val="42"/>
        </w:numPr>
        <w:overflowPunct/>
        <w:autoSpaceDE/>
        <w:autoSpaceDN/>
        <w:adjustRightInd/>
        <w:spacing w:before="100" w:beforeAutospacing="1" w:after="0"/>
        <w:textAlignment w:val="auto"/>
        <w:rPr>
          <w:rFonts w:ascii="MS PGothic" w:hAnsi="MS PGothic" w:cs="Calibri"/>
        </w:rPr>
      </w:pPr>
      <w:r>
        <w:rPr>
          <w:rFonts w:hint="eastAsia"/>
        </w:rPr>
        <w:t xml:space="preserve">Limited buffer rate-matching is also supported via RRC configuration and, when configured, is applied to all HARQ processes </w:t>
      </w:r>
    </w:p>
    <w:p w14:paraId="50CBB6B8" w14:textId="77777777" w:rsidR="00A665BF" w:rsidRDefault="00A665BF" w:rsidP="00414030">
      <w:pPr>
        <w:pStyle w:val="NormalWeb"/>
        <w:spacing w:before="0" w:beforeAutospacing="0" w:after="0" w:afterAutospacing="0"/>
        <w:ind w:left="1440"/>
        <w:rPr>
          <w:rFonts w:hint="eastAsia"/>
        </w:rPr>
      </w:pPr>
      <w:r>
        <w:rPr>
          <w:rFonts w:ascii="Wingdings" w:hAnsi="Wingdings"/>
          <w:sz w:val="20"/>
          <w:szCs w:val="20"/>
        </w:rPr>
        <w:t></w:t>
      </w:r>
      <w:r>
        <w:rPr>
          <w:rFonts w:ascii="Wingdings" w:hAnsi="Wingdings"/>
          <w:sz w:val="20"/>
          <w:szCs w:val="20"/>
        </w:rPr>
        <w:t></w:t>
      </w:r>
      <w:r>
        <w:rPr>
          <w:sz w:val="20"/>
          <w:szCs w:val="20"/>
        </w:rPr>
        <w:t> NR limits UL transmit buffer corresponding to a largest UL TBS coded at rate R</w:t>
      </w:r>
      <w:r>
        <w:rPr>
          <w:sz w:val="20"/>
          <w:szCs w:val="20"/>
          <w:vertAlign w:val="subscript"/>
        </w:rPr>
        <w:t>LBRM,UL</w:t>
      </w:r>
      <w:r>
        <w:rPr>
          <w:sz w:val="20"/>
          <w:szCs w:val="20"/>
        </w:rPr>
        <w:t xml:space="preserve"> </w:t>
      </w:r>
    </w:p>
    <w:p w14:paraId="322D83F1" w14:textId="77777777" w:rsidR="00A665BF" w:rsidRDefault="00A665BF" w:rsidP="00414030">
      <w:pPr>
        <w:pStyle w:val="NormalWeb"/>
        <w:spacing w:before="0" w:beforeAutospacing="0" w:after="0" w:afterAutospacing="0"/>
        <w:ind w:left="1440"/>
      </w:pPr>
      <w:r>
        <w:rPr>
          <w:rFonts w:ascii="Wingdings" w:hAnsi="Wingdings"/>
          <w:sz w:val="20"/>
          <w:szCs w:val="20"/>
        </w:rPr>
        <w:t></w:t>
      </w:r>
      <w:r>
        <w:rPr>
          <w:rFonts w:ascii="Wingdings" w:hAnsi="Wingdings"/>
          <w:sz w:val="20"/>
          <w:szCs w:val="20"/>
        </w:rPr>
        <w:t></w:t>
      </w:r>
      <w:r>
        <w:rPr>
          <w:sz w:val="20"/>
          <w:szCs w:val="20"/>
        </w:rPr>
        <w:t> R</w:t>
      </w:r>
      <w:r>
        <w:rPr>
          <w:sz w:val="20"/>
          <w:szCs w:val="20"/>
          <w:vertAlign w:val="subscript"/>
        </w:rPr>
        <w:t xml:space="preserve">LBRM, UL </w:t>
      </w:r>
      <w:r>
        <w:rPr>
          <w:sz w:val="20"/>
          <w:szCs w:val="20"/>
        </w:rPr>
        <w:t> = 2/3.</w:t>
      </w:r>
      <w:r>
        <w:t xml:space="preserve"> </w:t>
      </w:r>
    </w:p>
    <w:p w14:paraId="4EE990D6" w14:textId="3ED276C5" w:rsidR="00A665BF" w:rsidRPr="00ED1327" w:rsidRDefault="00A665BF" w:rsidP="00414030">
      <w:pPr>
        <w:pStyle w:val="NormalWeb"/>
        <w:spacing w:before="0" w:beforeAutospacing="0" w:after="0" w:afterAutospacing="0"/>
        <w:ind w:left="1440"/>
      </w:pPr>
      <w:r>
        <w:rPr>
          <w:rFonts w:ascii="Wingdings" w:hAnsi="Wingdings"/>
          <w:sz w:val="20"/>
          <w:szCs w:val="20"/>
        </w:rPr>
        <w:t></w:t>
      </w:r>
      <w:r>
        <w:rPr>
          <w:rFonts w:ascii="Wingdings" w:hAnsi="Wingdings"/>
          <w:sz w:val="20"/>
          <w:szCs w:val="20"/>
        </w:rPr>
        <w:t></w:t>
      </w:r>
      <w:r>
        <w:rPr>
          <w:sz w:val="20"/>
          <w:szCs w:val="20"/>
        </w:rPr>
        <w:t> Details FFS</w:t>
      </w:r>
      <w:r>
        <w:t xml:space="preserve"> </w:t>
      </w:r>
    </w:p>
    <w:p w14:paraId="30E0296E" w14:textId="0C2531FD" w:rsidR="004B23AD" w:rsidRDefault="008D4B8A" w:rsidP="004B23AD">
      <w:pPr>
        <w:pStyle w:val="Heading1"/>
        <w:rPr>
          <w:color w:val="000000"/>
        </w:rPr>
      </w:pPr>
      <w:r>
        <w:rPr>
          <w:color w:val="000000"/>
        </w:rPr>
        <w:t>2</w:t>
      </w:r>
      <w:r w:rsidR="004B23AD" w:rsidRPr="00A51522">
        <w:rPr>
          <w:color w:val="000000"/>
        </w:rPr>
        <w:tab/>
      </w:r>
      <w:r w:rsidR="00CE6134">
        <w:rPr>
          <w:color w:val="000000"/>
        </w:rPr>
        <w:t>Discussion</w:t>
      </w:r>
    </w:p>
    <w:p w14:paraId="0EAE584F" w14:textId="1037F123" w:rsidR="00CE6134" w:rsidRPr="00CE6134" w:rsidRDefault="00CE6134" w:rsidP="00A665BF">
      <w:pPr>
        <w:rPr>
          <w:u w:val="single"/>
        </w:rPr>
      </w:pPr>
      <w:r>
        <w:rPr>
          <w:u w:val="single"/>
        </w:rPr>
        <w:t>LBRM for downlink</w:t>
      </w:r>
    </w:p>
    <w:p w14:paraId="3915F5DE" w14:textId="09FB746E" w:rsidR="00A665BF" w:rsidRDefault="00A665BF" w:rsidP="00A665BF">
      <w:r>
        <w:t>As the device implementation needs to be dimensioned for the maximum TB size it uses, and thus it would appear natural that the LBRM would be applied so that the transmitter assumes that the receiver buffer is</w:t>
      </w:r>
      <w:r w:rsidR="00CE6134">
        <w:t xml:space="preserve"> capable of handling the maximum TB size supported by the UE with the code rate of 2/3, and that buffer size would be used to derive the lowest code rate that can be used for any TB size.</w:t>
      </w:r>
    </w:p>
    <w:p w14:paraId="595C916E" w14:textId="7F7D3507" w:rsidR="00A665BF" w:rsidRPr="00CE6134" w:rsidRDefault="00CE6134" w:rsidP="00A665BF">
      <w:pPr>
        <w:rPr>
          <w:i/>
        </w:rPr>
      </w:pPr>
      <w:r>
        <w:rPr>
          <w:b/>
          <w:i/>
        </w:rPr>
        <w:t xml:space="preserve">Proposal 1: </w:t>
      </w:r>
      <w:r w:rsidR="00F86506">
        <w:rPr>
          <w:i/>
        </w:rPr>
        <w:t>The</w:t>
      </w:r>
      <w:r w:rsidR="00B63F81">
        <w:rPr>
          <w:i/>
        </w:rPr>
        <w:t xml:space="preserve"> TBS for </w:t>
      </w:r>
      <w:r w:rsidR="00F86506">
        <w:rPr>
          <w:i/>
        </w:rPr>
        <w:t xml:space="preserve">used as the reference for the </w:t>
      </w:r>
      <w:r w:rsidR="00B63F81">
        <w:rPr>
          <w:i/>
        </w:rPr>
        <w:t xml:space="preserve">LBRM </w:t>
      </w:r>
      <w:r w:rsidR="00F86506">
        <w:rPr>
          <w:i/>
        </w:rPr>
        <w:t xml:space="preserve">usage </w:t>
      </w:r>
      <w:r w:rsidR="00B63F81">
        <w:rPr>
          <w:i/>
        </w:rPr>
        <w:t>is the</w:t>
      </w:r>
      <w:r>
        <w:rPr>
          <w:i/>
        </w:rPr>
        <w:t xml:space="preserve"> UE’s peak TB size capability derived from the UE capabilities signalled to the network</w:t>
      </w:r>
      <w:r w:rsidR="00F86506">
        <w:rPr>
          <w:i/>
        </w:rPr>
        <w:t>,</w:t>
      </w:r>
      <w:r w:rsidR="00B63F81">
        <w:rPr>
          <w:i/>
        </w:rPr>
        <w:t xml:space="preserve"> regardless of what the actual cell or UE </w:t>
      </w:r>
      <w:r w:rsidR="00414030">
        <w:rPr>
          <w:i/>
        </w:rPr>
        <w:t xml:space="preserve">link </w:t>
      </w:r>
      <w:r w:rsidR="00B63F81">
        <w:rPr>
          <w:i/>
        </w:rPr>
        <w:t>configuration is</w:t>
      </w:r>
      <w:r w:rsidR="00F86506">
        <w:rPr>
          <w:i/>
        </w:rPr>
        <w:t>.</w:t>
      </w:r>
    </w:p>
    <w:p w14:paraId="15E032FB" w14:textId="31968122" w:rsidR="00B63F81" w:rsidRDefault="00B63F81">
      <w:pPr>
        <w:overflowPunct/>
        <w:autoSpaceDE/>
        <w:autoSpaceDN/>
        <w:adjustRightInd/>
        <w:spacing w:after="0"/>
        <w:textAlignment w:val="auto"/>
      </w:pPr>
      <w:r>
        <w:br w:type="page"/>
      </w:r>
    </w:p>
    <w:p w14:paraId="75E4CB71" w14:textId="77777777" w:rsidR="00A7205E" w:rsidRDefault="00A7205E" w:rsidP="00A7205E"/>
    <w:p w14:paraId="10390495" w14:textId="7154B639" w:rsidR="00B63F81" w:rsidRDefault="00B63F81" w:rsidP="00A7205E">
      <w:pPr>
        <w:rPr>
          <w:u w:val="single"/>
        </w:rPr>
      </w:pPr>
      <w:r>
        <w:rPr>
          <w:u w:val="single"/>
        </w:rPr>
        <w:t>LBRM for uplink</w:t>
      </w:r>
    </w:p>
    <w:p w14:paraId="59DFAFBA" w14:textId="6ED0232A" w:rsidR="00B63F81" w:rsidRDefault="00B63F81" w:rsidP="00A7205E">
      <w:r>
        <w:t xml:space="preserve">Similar to the downlink, the uplink should allow for different implementations, but as the UE is not provided with the gNB capability the reference TBS corresponding to the largest UL TBS needs to be provided to the UE. There would need to be some boundaries. </w:t>
      </w:r>
    </w:p>
    <w:p w14:paraId="151B0AE9" w14:textId="3694536D" w:rsidR="00B63F81" w:rsidRDefault="00B63F81" w:rsidP="00B63F81">
      <w:pPr>
        <w:rPr>
          <w:i/>
        </w:rPr>
      </w:pPr>
      <w:r>
        <w:rPr>
          <w:b/>
          <w:i/>
        </w:rPr>
        <w:t xml:space="preserve">Proposal </w:t>
      </w:r>
      <w:r>
        <w:rPr>
          <w:b/>
          <w:i/>
        </w:rPr>
        <w:t>2</w:t>
      </w:r>
      <w:r>
        <w:rPr>
          <w:b/>
          <w:i/>
        </w:rPr>
        <w:t xml:space="preserve">: </w:t>
      </w:r>
      <w:r w:rsidR="00414030">
        <w:rPr>
          <w:i/>
        </w:rPr>
        <w:t>The UE can be</w:t>
      </w:r>
      <w:r w:rsidR="00F86506">
        <w:rPr>
          <w:i/>
        </w:rPr>
        <w:t xml:space="preserve"> configured with a reference TBS for LBRM</w:t>
      </w:r>
      <w:r w:rsidR="00EB35B9">
        <w:rPr>
          <w:i/>
        </w:rPr>
        <w:t>, if none is configured then no LBRM is applied</w:t>
      </w:r>
    </w:p>
    <w:p w14:paraId="26DF4AE1" w14:textId="77777777" w:rsidR="00771691" w:rsidRDefault="00771691" w:rsidP="00D42A6B"/>
    <w:p w14:paraId="130C1762" w14:textId="60F0FBB9" w:rsidR="00D42A6B" w:rsidRDefault="00D42A6B" w:rsidP="00D42A6B">
      <w:r w:rsidRPr="00EB35B9">
        <w:t xml:space="preserve">There </w:t>
      </w:r>
      <w:r w:rsidR="00EB35B9">
        <w:t xml:space="preserve">should be a </w:t>
      </w:r>
      <w:r w:rsidRPr="00EB35B9">
        <w:t>finite set of allowed reference T</w:t>
      </w:r>
      <w:r w:rsidR="00EB35B9" w:rsidRPr="00EB35B9">
        <w:t>BSs that are supported</w:t>
      </w:r>
      <w:r w:rsidR="00C3624F">
        <w:t>. The candidates can be calculated assuming different modulation order and MIMO support for full BW allocation of one slot.</w:t>
      </w:r>
    </w:p>
    <w:p w14:paraId="042D04A6" w14:textId="7576712D" w:rsidR="00414030" w:rsidRDefault="00414030" w:rsidP="00414030">
      <w:pPr>
        <w:rPr>
          <w:i/>
        </w:rPr>
      </w:pPr>
      <w:r>
        <w:rPr>
          <w:b/>
          <w:i/>
        </w:rPr>
        <w:t xml:space="preserve">Proposal </w:t>
      </w:r>
      <w:r>
        <w:rPr>
          <w:b/>
          <w:i/>
        </w:rPr>
        <w:t>3</w:t>
      </w:r>
      <w:r>
        <w:rPr>
          <w:b/>
          <w:i/>
        </w:rPr>
        <w:t xml:space="preserve">: </w:t>
      </w:r>
      <w:r>
        <w:rPr>
          <w:i/>
        </w:rPr>
        <w:t xml:space="preserve">The reference TBS values supported by the specifications are approximately the 7 provided in the table below. Exact </w:t>
      </w:r>
      <w:r w:rsidR="00172308">
        <w:rPr>
          <w:i/>
        </w:rPr>
        <w:t>values to be determined after the TBS determination has been decided.</w:t>
      </w:r>
      <w:r w:rsidR="00172308">
        <w:rPr>
          <w:i/>
        </w:rPr>
        <w:br/>
      </w:r>
    </w:p>
    <w:p w14:paraId="1A632621" w14:textId="7DACBCA5" w:rsidR="00771691" w:rsidRDefault="00771691" w:rsidP="00771691">
      <w:pPr>
        <w:pStyle w:val="Caption"/>
        <w:jc w:val="center"/>
        <w:rPr>
          <w:i/>
        </w:rPr>
      </w:pPr>
      <w:r>
        <w:t>Table: Approximate TB size</w:t>
      </w:r>
      <w:r w:rsidR="00414030">
        <w:t>s</w:t>
      </w:r>
      <w:r>
        <w:t xml:space="preserve"> for code rate of 2/3, 13 data symbols and </w:t>
      </w:r>
      <w:r w:rsidR="00172308">
        <w:t>273</w:t>
      </w:r>
      <w:r>
        <w:t xml:space="preserve"> PRBs</w:t>
      </w:r>
    </w:p>
    <w:tbl>
      <w:tblPr>
        <w:tblStyle w:val="TableGrid"/>
        <w:tblW w:w="0" w:type="auto"/>
        <w:tblInd w:w="1307" w:type="dxa"/>
        <w:tblLook w:val="04A0" w:firstRow="1" w:lastRow="0" w:firstColumn="1" w:lastColumn="0" w:noHBand="0" w:noVBand="1"/>
      </w:tblPr>
      <w:tblGrid>
        <w:gridCol w:w="1701"/>
        <w:gridCol w:w="1701"/>
        <w:gridCol w:w="1701"/>
        <w:gridCol w:w="1701"/>
      </w:tblGrid>
      <w:tr w:rsidR="00EB35B9" w14:paraId="5F2589D1" w14:textId="77777777" w:rsidTr="00771691">
        <w:tc>
          <w:tcPr>
            <w:tcW w:w="1701" w:type="dxa"/>
          </w:tcPr>
          <w:p w14:paraId="59B9FB27" w14:textId="77777777" w:rsidR="00EB35B9" w:rsidRPr="00EB35B9" w:rsidRDefault="00EB35B9" w:rsidP="00EB35B9">
            <w:pPr>
              <w:spacing w:after="0"/>
              <w:jc w:val="center"/>
              <w:rPr>
                <w:b/>
              </w:rPr>
            </w:pPr>
          </w:p>
        </w:tc>
        <w:tc>
          <w:tcPr>
            <w:tcW w:w="1701" w:type="dxa"/>
          </w:tcPr>
          <w:p w14:paraId="4EE4F623" w14:textId="77777777" w:rsidR="00EB35B9" w:rsidRPr="00EB35B9" w:rsidRDefault="00EB35B9" w:rsidP="00EB35B9">
            <w:pPr>
              <w:spacing w:after="0"/>
              <w:jc w:val="center"/>
              <w:rPr>
                <w:b/>
              </w:rPr>
            </w:pPr>
            <w:r w:rsidRPr="00EB35B9">
              <w:rPr>
                <w:b/>
              </w:rPr>
              <w:t>1 MIMO layer</w:t>
            </w:r>
          </w:p>
        </w:tc>
        <w:tc>
          <w:tcPr>
            <w:tcW w:w="1701" w:type="dxa"/>
          </w:tcPr>
          <w:p w14:paraId="40C376EE" w14:textId="77777777" w:rsidR="00EB35B9" w:rsidRPr="00EB35B9" w:rsidRDefault="00EB35B9" w:rsidP="00EB35B9">
            <w:pPr>
              <w:spacing w:after="0"/>
              <w:jc w:val="center"/>
              <w:rPr>
                <w:b/>
              </w:rPr>
            </w:pPr>
            <w:r w:rsidRPr="00EB35B9">
              <w:rPr>
                <w:b/>
              </w:rPr>
              <w:t>2 MIMO layers</w:t>
            </w:r>
          </w:p>
        </w:tc>
        <w:tc>
          <w:tcPr>
            <w:tcW w:w="1701" w:type="dxa"/>
          </w:tcPr>
          <w:p w14:paraId="25B6569D" w14:textId="77777777" w:rsidR="00EB35B9" w:rsidRPr="00EB35B9" w:rsidRDefault="00EB35B9" w:rsidP="00EB35B9">
            <w:pPr>
              <w:spacing w:after="0"/>
              <w:jc w:val="center"/>
              <w:rPr>
                <w:b/>
              </w:rPr>
            </w:pPr>
            <w:r w:rsidRPr="00EB35B9">
              <w:rPr>
                <w:b/>
              </w:rPr>
              <w:t>4 MIMO layers</w:t>
            </w:r>
          </w:p>
        </w:tc>
      </w:tr>
      <w:tr w:rsidR="00172308" w14:paraId="77DD19AB" w14:textId="77777777" w:rsidTr="00771691">
        <w:tc>
          <w:tcPr>
            <w:tcW w:w="1701" w:type="dxa"/>
          </w:tcPr>
          <w:p w14:paraId="3E250D63" w14:textId="77777777" w:rsidR="00172308" w:rsidRPr="00EB35B9" w:rsidRDefault="00172308" w:rsidP="00172308">
            <w:pPr>
              <w:spacing w:after="0"/>
              <w:jc w:val="center"/>
              <w:rPr>
                <w:b/>
              </w:rPr>
            </w:pPr>
            <w:r w:rsidRPr="00EB35B9">
              <w:rPr>
                <w:b/>
              </w:rPr>
              <w:t>16QAM</w:t>
            </w:r>
          </w:p>
        </w:tc>
        <w:tc>
          <w:tcPr>
            <w:tcW w:w="1701" w:type="dxa"/>
          </w:tcPr>
          <w:p w14:paraId="2E7F6F79" w14:textId="29411575" w:rsidR="00172308" w:rsidRPr="00172308" w:rsidRDefault="00172308" w:rsidP="00172308">
            <w:pPr>
              <w:spacing w:after="0"/>
              <w:jc w:val="center"/>
              <w:rPr>
                <w:b/>
              </w:rPr>
            </w:pPr>
            <w:r w:rsidRPr="00172308">
              <w:rPr>
                <w:b/>
              </w:rPr>
              <w:t>113568</w:t>
            </w:r>
          </w:p>
        </w:tc>
        <w:tc>
          <w:tcPr>
            <w:tcW w:w="1701" w:type="dxa"/>
          </w:tcPr>
          <w:p w14:paraId="69E44CFF" w14:textId="40E1000C" w:rsidR="00172308" w:rsidRPr="00EB35B9" w:rsidRDefault="00172308" w:rsidP="00172308">
            <w:pPr>
              <w:spacing w:after="0"/>
              <w:jc w:val="center"/>
            </w:pPr>
            <w:r w:rsidRPr="00265359">
              <w:t>227136</w:t>
            </w:r>
          </w:p>
        </w:tc>
        <w:tc>
          <w:tcPr>
            <w:tcW w:w="1701" w:type="dxa"/>
          </w:tcPr>
          <w:p w14:paraId="766ABCE2" w14:textId="12CB9E56" w:rsidR="00172308" w:rsidRPr="00EB35B9" w:rsidRDefault="00172308" w:rsidP="00172308">
            <w:pPr>
              <w:spacing w:after="0"/>
              <w:jc w:val="center"/>
            </w:pPr>
            <w:r w:rsidRPr="00265359">
              <w:t>454272</w:t>
            </w:r>
          </w:p>
        </w:tc>
      </w:tr>
      <w:tr w:rsidR="00172308" w14:paraId="7EB6F372" w14:textId="77777777" w:rsidTr="00771691">
        <w:tc>
          <w:tcPr>
            <w:tcW w:w="1701" w:type="dxa"/>
          </w:tcPr>
          <w:p w14:paraId="782EA0CA" w14:textId="77777777" w:rsidR="00172308" w:rsidRPr="00EB35B9" w:rsidRDefault="00172308" w:rsidP="00172308">
            <w:pPr>
              <w:spacing w:after="0"/>
              <w:jc w:val="center"/>
              <w:rPr>
                <w:b/>
              </w:rPr>
            </w:pPr>
            <w:r w:rsidRPr="00EB35B9">
              <w:rPr>
                <w:b/>
              </w:rPr>
              <w:t>64QAM</w:t>
            </w:r>
          </w:p>
        </w:tc>
        <w:tc>
          <w:tcPr>
            <w:tcW w:w="1701" w:type="dxa"/>
          </w:tcPr>
          <w:p w14:paraId="2FDB6656" w14:textId="2885F1C8" w:rsidR="00172308" w:rsidRPr="00172308" w:rsidRDefault="00172308" w:rsidP="00172308">
            <w:pPr>
              <w:spacing w:after="0"/>
              <w:jc w:val="center"/>
              <w:rPr>
                <w:b/>
              </w:rPr>
            </w:pPr>
            <w:r w:rsidRPr="00172308">
              <w:rPr>
                <w:b/>
              </w:rPr>
              <w:t>170352</w:t>
            </w:r>
          </w:p>
        </w:tc>
        <w:tc>
          <w:tcPr>
            <w:tcW w:w="1701" w:type="dxa"/>
          </w:tcPr>
          <w:p w14:paraId="0EF1BBF3" w14:textId="35994366" w:rsidR="00172308" w:rsidRPr="00172308" w:rsidRDefault="00172308" w:rsidP="00172308">
            <w:pPr>
              <w:spacing w:after="0"/>
              <w:jc w:val="center"/>
              <w:rPr>
                <w:b/>
              </w:rPr>
            </w:pPr>
            <w:r w:rsidRPr="00172308">
              <w:rPr>
                <w:b/>
              </w:rPr>
              <w:t>340704</w:t>
            </w:r>
          </w:p>
        </w:tc>
        <w:tc>
          <w:tcPr>
            <w:tcW w:w="1701" w:type="dxa"/>
          </w:tcPr>
          <w:p w14:paraId="6AC4106C" w14:textId="53BB6D4E" w:rsidR="00172308" w:rsidRPr="00172308" w:rsidRDefault="00172308" w:rsidP="00172308">
            <w:pPr>
              <w:spacing w:after="0"/>
              <w:jc w:val="center"/>
              <w:rPr>
                <w:b/>
              </w:rPr>
            </w:pPr>
            <w:r w:rsidRPr="00172308">
              <w:rPr>
                <w:b/>
              </w:rPr>
              <w:t>681408</w:t>
            </w:r>
          </w:p>
        </w:tc>
      </w:tr>
      <w:tr w:rsidR="00172308" w14:paraId="652B7F11" w14:textId="77777777" w:rsidTr="00771691">
        <w:tc>
          <w:tcPr>
            <w:tcW w:w="1701" w:type="dxa"/>
          </w:tcPr>
          <w:p w14:paraId="4BA6520D" w14:textId="77777777" w:rsidR="00172308" w:rsidRPr="00EB35B9" w:rsidRDefault="00172308" w:rsidP="00172308">
            <w:pPr>
              <w:spacing w:after="0"/>
              <w:jc w:val="center"/>
              <w:rPr>
                <w:b/>
              </w:rPr>
            </w:pPr>
            <w:r w:rsidRPr="00EB35B9">
              <w:rPr>
                <w:b/>
              </w:rPr>
              <w:t>256QAM</w:t>
            </w:r>
          </w:p>
        </w:tc>
        <w:tc>
          <w:tcPr>
            <w:tcW w:w="1701" w:type="dxa"/>
          </w:tcPr>
          <w:p w14:paraId="46A69D74" w14:textId="585D2D97" w:rsidR="00172308" w:rsidRPr="00172308" w:rsidRDefault="00172308" w:rsidP="00172308">
            <w:pPr>
              <w:spacing w:after="0"/>
              <w:jc w:val="center"/>
              <w:rPr>
                <w:b/>
              </w:rPr>
            </w:pPr>
            <w:r w:rsidRPr="00172308">
              <w:rPr>
                <w:b/>
              </w:rPr>
              <w:t>227136</w:t>
            </w:r>
          </w:p>
        </w:tc>
        <w:tc>
          <w:tcPr>
            <w:tcW w:w="1701" w:type="dxa"/>
          </w:tcPr>
          <w:p w14:paraId="00F35817" w14:textId="09AAD50C" w:rsidR="00172308" w:rsidRPr="00172308" w:rsidRDefault="00172308" w:rsidP="00172308">
            <w:pPr>
              <w:spacing w:after="0"/>
              <w:jc w:val="center"/>
              <w:rPr>
                <w:b/>
              </w:rPr>
            </w:pPr>
            <w:r w:rsidRPr="00172308">
              <w:rPr>
                <w:b/>
              </w:rPr>
              <w:t>454272</w:t>
            </w:r>
          </w:p>
        </w:tc>
        <w:tc>
          <w:tcPr>
            <w:tcW w:w="1701" w:type="dxa"/>
          </w:tcPr>
          <w:p w14:paraId="128721E1" w14:textId="79BBE301" w:rsidR="00172308" w:rsidRPr="00172308" w:rsidRDefault="00172308" w:rsidP="00172308">
            <w:pPr>
              <w:spacing w:after="0"/>
              <w:jc w:val="center"/>
              <w:rPr>
                <w:b/>
              </w:rPr>
            </w:pPr>
            <w:r w:rsidRPr="00172308">
              <w:rPr>
                <w:b/>
              </w:rPr>
              <w:t>908544</w:t>
            </w:r>
          </w:p>
        </w:tc>
      </w:tr>
    </w:tbl>
    <w:p w14:paraId="20000A62" w14:textId="4151F2AD" w:rsidR="00EB35B9" w:rsidRDefault="00EB35B9" w:rsidP="00D42A6B">
      <w:pPr>
        <w:rPr>
          <w:i/>
        </w:rPr>
      </w:pPr>
    </w:p>
    <w:p w14:paraId="7FD7BD32" w14:textId="77777777" w:rsidR="00771691" w:rsidRPr="00771691" w:rsidRDefault="00771691" w:rsidP="00D42A6B"/>
    <w:sectPr w:rsidR="00771691" w:rsidRPr="0077169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3B99B" w14:textId="77777777" w:rsidR="00293F82" w:rsidRDefault="00293F82">
      <w:r>
        <w:separator/>
      </w:r>
    </w:p>
  </w:endnote>
  <w:endnote w:type="continuationSeparator" w:id="0">
    <w:p w14:paraId="0CDC924F" w14:textId="77777777" w:rsidR="00293F82" w:rsidRDefault="0029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00000000"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A9603" w14:textId="77777777" w:rsidR="00293F82" w:rsidRDefault="00293F82">
      <w:r>
        <w:separator/>
      </w:r>
    </w:p>
  </w:footnote>
  <w:footnote w:type="continuationSeparator" w:id="0">
    <w:p w14:paraId="01EC8B16" w14:textId="77777777" w:rsidR="00293F82" w:rsidRDefault="00293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38041A"/>
    <w:multiLevelType w:val="hybridMultilevel"/>
    <w:tmpl w:val="736466D2"/>
    <w:lvl w:ilvl="0" w:tplc="3710F2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A6EA6"/>
    <w:multiLevelType w:val="hybridMultilevel"/>
    <w:tmpl w:val="7BFCD8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06A98"/>
    <w:multiLevelType w:val="hybridMultilevel"/>
    <w:tmpl w:val="40B28190"/>
    <w:lvl w:ilvl="0" w:tplc="489293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D0E5E47"/>
    <w:multiLevelType w:val="hybridMultilevel"/>
    <w:tmpl w:val="F746C664"/>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9" w15:restartNumberingAfterBreak="0">
    <w:nsid w:val="24021B51"/>
    <w:multiLevelType w:val="hybridMultilevel"/>
    <w:tmpl w:val="657482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1"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15C15B1"/>
    <w:multiLevelType w:val="multilevel"/>
    <w:tmpl w:val="A54498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BF3FEB"/>
    <w:multiLevelType w:val="hybridMultilevel"/>
    <w:tmpl w:val="B0206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D55E1B"/>
    <w:multiLevelType w:val="hybridMultilevel"/>
    <w:tmpl w:val="EC2E3F2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15"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cs="Times New Roman" w:hint="default"/>
      </w:rPr>
    </w:lvl>
    <w:lvl w:ilvl="1" w:tplc="8D72E040">
      <w:start w:val="2048"/>
      <w:numFmt w:val="bullet"/>
      <w:lvlText w:val="–"/>
      <w:lvlJc w:val="left"/>
      <w:pPr>
        <w:tabs>
          <w:tab w:val="num" w:pos="1440"/>
        </w:tabs>
        <w:ind w:left="1440" w:hanging="360"/>
      </w:pPr>
      <w:rPr>
        <w:rFonts w:ascii="Arial" w:hAnsi="Arial" w:cs="Times New Roman" w:hint="default"/>
      </w:rPr>
    </w:lvl>
    <w:lvl w:ilvl="2" w:tplc="933262FA">
      <w:start w:val="2048"/>
      <w:numFmt w:val="bullet"/>
      <w:lvlText w:val="•"/>
      <w:lvlJc w:val="left"/>
      <w:pPr>
        <w:tabs>
          <w:tab w:val="num" w:pos="2160"/>
        </w:tabs>
        <w:ind w:left="2160" w:hanging="360"/>
      </w:pPr>
      <w:rPr>
        <w:rFonts w:ascii="Arial" w:hAnsi="Arial" w:cs="Times New Roman" w:hint="default"/>
      </w:rPr>
    </w:lvl>
    <w:lvl w:ilvl="3" w:tplc="8444C034">
      <w:start w:val="1"/>
      <w:numFmt w:val="bullet"/>
      <w:lvlText w:val="•"/>
      <w:lvlJc w:val="left"/>
      <w:pPr>
        <w:tabs>
          <w:tab w:val="num" w:pos="2880"/>
        </w:tabs>
        <w:ind w:left="2880" w:hanging="360"/>
      </w:pPr>
      <w:rPr>
        <w:rFonts w:ascii="Arial" w:hAnsi="Arial" w:cs="Times New Roman" w:hint="default"/>
      </w:rPr>
    </w:lvl>
    <w:lvl w:ilvl="4" w:tplc="2F94D188">
      <w:start w:val="1"/>
      <w:numFmt w:val="bullet"/>
      <w:lvlText w:val="•"/>
      <w:lvlJc w:val="left"/>
      <w:pPr>
        <w:tabs>
          <w:tab w:val="num" w:pos="3600"/>
        </w:tabs>
        <w:ind w:left="3600" w:hanging="360"/>
      </w:pPr>
      <w:rPr>
        <w:rFonts w:ascii="Arial" w:hAnsi="Arial" w:cs="Times New Roman" w:hint="default"/>
      </w:rPr>
    </w:lvl>
    <w:lvl w:ilvl="5" w:tplc="F664F9EE">
      <w:start w:val="1"/>
      <w:numFmt w:val="bullet"/>
      <w:lvlText w:val="•"/>
      <w:lvlJc w:val="left"/>
      <w:pPr>
        <w:tabs>
          <w:tab w:val="num" w:pos="4320"/>
        </w:tabs>
        <w:ind w:left="4320" w:hanging="360"/>
      </w:pPr>
      <w:rPr>
        <w:rFonts w:ascii="Arial" w:hAnsi="Arial" w:cs="Times New Roman" w:hint="default"/>
      </w:rPr>
    </w:lvl>
    <w:lvl w:ilvl="6" w:tplc="CAFE124C">
      <w:start w:val="1"/>
      <w:numFmt w:val="bullet"/>
      <w:lvlText w:val="•"/>
      <w:lvlJc w:val="left"/>
      <w:pPr>
        <w:tabs>
          <w:tab w:val="num" w:pos="5040"/>
        </w:tabs>
        <w:ind w:left="5040" w:hanging="360"/>
      </w:pPr>
      <w:rPr>
        <w:rFonts w:ascii="Arial" w:hAnsi="Arial" w:cs="Times New Roman" w:hint="default"/>
      </w:rPr>
    </w:lvl>
    <w:lvl w:ilvl="7" w:tplc="4D80A0F8">
      <w:start w:val="1"/>
      <w:numFmt w:val="bullet"/>
      <w:lvlText w:val="•"/>
      <w:lvlJc w:val="left"/>
      <w:pPr>
        <w:tabs>
          <w:tab w:val="num" w:pos="5760"/>
        </w:tabs>
        <w:ind w:left="5760" w:hanging="360"/>
      </w:pPr>
      <w:rPr>
        <w:rFonts w:ascii="Arial" w:hAnsi="Arial" w:cs="Times New Roman" w:hint="default"/>
      </w:rPr>
    </w:lvl>
    <w:lvl w:ilvl="8" w:tplc="FCBA18E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C684C25"/>
    <w:multiLevelType w:val="hybridMultilevel"/>
    <w:tmpl w:val="9BB0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0"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D8711A"/>
    <w:multiLevelType w:val="hybridMultilevel"/>
    <w:tmpl w:val="7ECE0C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3" w15:restartNumberingAfterBreak="0">
    <w:nsid w:val="74D320CF"/>
    <w:multiLevelType w:val="hybridMultilevel"/>
    <w:tmpl w:val="C6D09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C26874"/>
    <w:multiLevelType w:val="multilevel"/>
    <w:tmpl w:val="01BE2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B167AF"/>
    <w:multiLevelType w:val="hybridMultilevel"/>
    <w:tmpl w:val="E5AA4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051F02"/>
    <w:multiLevelType w:val="hybridMultilevel"/>
    <w:tmpl w:val="7BFCD8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start w:val="1"/>
      <w:numFmt w:val="bullet"/>
      <w:lvlText w:val=""/>
      <w:lvlJc w:val="left"/>
      <w:pPr>
        <w:ind w:left="3000" w:hanging="420"/>
      </w:pPr>
      <w:rPr>
        <w:rFonts w:ascii="Wingdings" w:hAnsi="Wingdings" w:hint="default"/>
      </w:rPr>
    </w:lvl>
    <w:lvl w:ilvl="2" w:tplc="04090005">
      <w:start w:val="1"/>
      <w:numFmt w:val="bullet"/>
      <w:lvlText w:val=""/>
      <w:lvlJc w:val="left"/>
      <w:pPr>
        <w:ind w:left="3420" w:hanging="420"/>
      </w:pPr>
      <w:rPr>
        <w:rFonts w:ascii="Wingdings" w:hAnsi="Wingdings" w:hint="default"/>
      </w:rPr>
    </w:lvl>
    <w:lvl w:ilvl="3" w:tplc="04090001">
      <w:start w:val="1"/>
      <w:numFmt w:val="bullet"/>
      <w:lvlText w:val=""/>
      <w:lvlJc w:val="left"/>
      <w:pPr>
        <w:ind w:left="3840" w:hanging="420"/>
      </w:pPr>
      <w:rPr>
        <w:rFonts w:ascii="Wingdings" w:hAnsi="Wingdings" w:hint="default"/>
      </w:rPr>
    </w:lvl>
    <w:lvl w:ilvl="4" w:tplc="04090003">
      <w:start w:val="1"/>
      <w:numFmt w:val="bullet"/>
      <w:lvlText w:val=""/>
      <w:lvlJc w:val="left"/>
      <w:pPr>
        <w:ind w:left="4260" w:hanging="420"/>
      </w:pPr>
      <w:rPr>
        <w:rFonts w:ascii="Wingdings" w:hAnsi="Wingdings" w:hint="default"/>
      </w:rPr>
    </w:lvl>
    <w:lvl w:ilvl="5" w:tplc="04090005">
      <w:start w:val="1"/>
      <w:numFmt w:val="bullet"/>
      <w:lvlText w:val=""/>
      <w:lvlJc w:val="left"/>
      <w:pPr>
        <w:ind w:left="4680" w:hanging="420"/>
      </w:pPr>
      <w:rPr>
        <w:rFonts w:ascii="Wingdings" w:hAnsi="Wingdings" w:hint="default"/>
      </w:rPr>
    </w:lvl>
    <w:lvl w:ilvl="6" w:tplc="04090001">
      <w:start w:val="1"/>
      <w:numFmt w:val="bullet"/>
      <w:lvlText w:val=""/>
      <w:lvlJc w:val="left"/>
      <w:pPr>
        <w:ind w:left="5100" w:hanging="420"/>
      </w:pPr>
      <w:rPr>
        <w:rFonts w:ascii="Wingdings" w:hAnsi="Wingdings" w:hint="default"/>
      </w:rPr>
    </w:lvl>
    <w:lvl w:ilvl="7" w:tplc="04090003">
      <w:start w:val="1"/>
      <w:numFmt w:val="bullet"/>
      <w:lvlText w:val=""/>
      <w:lvlJc w:val="left"/>
      <w:pPr>
        <w:ind w:left="5520" w:hanging="420"/>
      </w:pPr>
      <w:rPr>
        <w:rFonts w:ascii="Wingdings" w:hAnsi="Wingdings" w:hint="default"/>
      </w:rPr>
    </w:lvl>
    <w:lvl w:ilvl="8" w:tplc="04090005">
      <w:start w:val="1"/>
      <w:numFmt w:val="bullet"/>
      <w:lvlText w:val=""/>
      <w:lvlJc w:val="left"/>
      <w:pPr>
        <w:ind w:left="5940" w:hanging="420"/>
      </w:pPr>
      <w:rPr>
        <w:rFonts w:ascii="Wingdings" w:hAnsi="Wingdings" w:hint="default"/>
      </w:rPr>
    </w:lvl>
  </w:abstractNum>
  <w:abstractNum w:abstractNumId="28" w15:restartNumberingAfterBreak="0">
    <w:nsid w:val="7FD5575F"/>
    <w:multiLevelType w:val="hybridMultilevel"/>
    <w:tmpl w:val="2514CC3A"/>
    <w:lvl w:ilvl="0" w:tplc="50ECCF36">
      <w:start w:val="1"/>
      <w:numFmt w:val="bullet"/>
      <w:lvlText w:val="•"/>
      <w:lvlJc w:val="left"/>
      <w:pPr>
        <w:tabs>
          <w:tab w:val="num" w:pos="720"/>
        </w:tabs>
        <w:ind w:left="720" w:hanging="360"/>
      </w:pPr>
      <w:rPr>
        <w:rFonts w:ascii="Arial" w:hAnsi="Arial" w:hint="default"/>
      </w:rPr>
    </w:lvl>
    <w:lvl w:ilvl="1" w:tplc="F6363B14">
      <w:start w:val="1"/>
      <w:numFmt w:val="bullet"/>
      <w:lvlText w:val="•"/>
      <w:lvlJc w:val="left"/>
      <w:pPr>
        <w:tabs>
          <w:tab w:val="num" w:pos="1440"/>
        </w:tabs>
        <w:ind w:left="1440" w:hanging="360"/>
      </w:pPr>
      <w:rPr>
        <w:rFonts w:ascii="Arial" w:hAnsi="Arial" w:hint="default"/>
      </w:rPr>
    </w:lvl>
    <w:lvl w:ilvl="2" w:tplc="E8F815F0">
      <w:start w:val="1"/>
      <w:numFmt w:val="bullet"/>
      <w:lvlText w:val="•"/>
      <w:lvlJc w:val="left"/>
      <w:pPr>
        <w:tabs>
          <w:tab w:val="num" w:pos="2160"/>
        </w:tabs>
        <w:ind w:left="2160" w:hanging="360"/>
      </w:pPr>
      <w:rPr>
        <w:rFonts w:ascii="Arial" w:hAnsi="Arial" w:hint="default"/>
      </w:rPr>
    </w:lvl>
    <w:lvl w:ilvl="3" w:tplc="02666046">
      <w:numFmt w:val="bullet"/>
      <w:lvlText w:val="•"/>
      <w:lvlJc w:val="left"/>
      <w:pPr>
        <w:tabs>
          <w:tab w:val="num" w:pos="2880"/>
        </w:tabs>
        <w:ind w:left="2880" w:hanging="360"/>
      </w:pPr>
      <w:rPr>
        <w:rFonts w:ascii="Arial" w:hAnsi="Arial" w:hint="default"/>
      </w:rPr>
    </w:lvl>
    <w:lvl w:ilvl="4" w:tplc="FAA2DDA2" w:tentative="1">
      <w:start w:val="1"/>
      <w:numFmt w:val="bullet"/>
      <w:lvlText w:val="•"/>
      <w:lvlJc w:val="left"/>
      <w:pPr>
        <w:tabs>
          <w:tab w:val="num" w:pos="3600"/>
        </w:tabs>
        <w:ind w:left="3600" w:hanging="360"/>
      </w:pPr>
      <w:rPr>
        <w:rFonts w:ascii="Arial" w:hAnsi="Arial" w:hint="default"/>
      </w:rPr>
    </w:lvl>
    <w:lvl w:ilvl="5" w:tplc="24ECBFBE" w:tentative="1">
      <w:start w:val="1"/>
      <w:numFmt w:val="bullet"/>
      <w:lvlText w:val="•"/>
      <w:lvlJc w:val="left"/>
      <w:pPr>
        <w:tabs>
          <w:tab w:val="num" w:pos="4320"/>
        </w:tabs>
        <w:ind w:left="4320" w:hanging="360"/>
      </w:pPr>
      <w:rPr>
        <w:rFonts w:ascii="Arial" w:hAnsi="Arial" w:hint="default"/>
      </w:rPr>
    </w:lvl>
    <w:lvl w:ilvl="6" w:tplc="55589800" w:tentative="1">
      <w:start w:val="1"/>
      <w:numFmt w:val="bullet"/>
      <w:lvlText w:val="•"/>
      <w:lvlJc w:val="left"/>
      <w:pPr>
        <w:tabs>
          <w:tab w:val="num" w:pos="5040"/>
        </w:tabs>
        <w:ind w:left="5040" w:hanging="360"/>
      </w:pPr>
      <w:rPr>
        <w:rFonts w:ascii="Arial" w:hAnsi="Arial" w:hint="default"/>
      </w:rPr>
    </w:lvl>
    <w:lvl w:ilvl="7" w:tplc="DD9A1AC2" w:tentative="1">
      <w:start w:val="1"/>
      <w:numFmt w:val="bullet"/>
      <w:lvlText w:val="•"/>
      <w:lvlJc w:val="left"/>
      <w:pPr>
        <w:tabs>
          <w:tab w:val="num" w:pos="5760"/>
        </w:tabs>
        <w:ind w:left="5760" w:hanging="360"/>
      </w:pPr>
      <w:rPr>
        <w:rFonts w:ascii="Arial" w:hAnsi="Arial" w:hint="default"/>
      </w:rPr>
    </w:lvl>
    <w:lvl w:ilvl="8" w:tplc="0994D4B2"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0"/>
  </w:num>
  <w:num w:numId="3">
    <w:abstractNumId w:val="4"/>
  </w:num>
  <w:num w:numId="4">
    <w:abstractNumId w:val="1"/>
  </w:num>
  <w:num w:numId="5">
    <w:abstractNumId w:val="5"/>
  </w:num>
  <w:num w:numId="6">
    <w:abstractNumId w:val="16"/>
  </w:num>
  <w:num w:numId="7">
    <w:abstractNumId w:val="9"/>
  </w:num>
  <w:num w:numId="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3"/>
  </w:num>
  <w:num w:numId="11">
    <w:abstractNumId w:val="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5"/>
  </w:num>
  <w:num w:numId="15">
    <w:abstractNumId w:val="28"/>
  </w:num>
  <w:num w:numId="16">
    <w:abstractNumId w:val="6"/>
  </w:num>
  <w:num w:numId="17">
    <w:abstractNumId w:val="1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7"/>
  </w:num>
  <w:num w:numId="33">
    <w:abstractNumId w:val="22"/>
  </w:num>
  <w:num w:numId="34">
    <w:abstractNumId w:val="26"/>
  </w:num>
  <w:num w:numId="35">
    <w:abstractNumId w:val="2"/>
  </w:num>
  <w:num w:numId="36">
    <w:abstractNumId w:val="13"/>
  </w:num>
  <w:num w:numId="37">
    <w:abstractNumId w:val="21"/>
  </w:num>
  <w:num w:numId="38">
    <w:abstractNumId w:val="23"/>
  </w:num>
  <w:num w:numId="39">
    <w:abstractNumId w:val="25"/>
  </w:num>
  <w:num w:numId="40">
    <w:abstractNumId w:val="19"/>
  </w:num>
  <w:num w:numId="41">
    <w:abstractNumId w:val="8"/>
  </w:num>
  <w:num w:numId="42">
    <w:abstractNumId w:val="24"/>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17FB"/>
    <w:rsid w:val="000719BF"/>
    <w:rsid w:val="0007208A"/>
    <w:rsid w:val="00072BBA"/>
    <w:rsid w:val="00072FF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207"/>
    <w:rsid w:val="000B4B1B"/>
    <w:rsid w:val="000B50C3"/>
    <w:rsid w:val="000B5AC9"/>
    <w:rsid w:val="000B5F0A"/>
    <w:rsid w:val="000C1D59"/>
    <w:rsid w:val="000C2B0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5BFD"/>
    <w:rsid w:val="00156ABA"/>
    <w:rsid w:val="00157390"/>
    <w:rsid w:val="00160998"/>
    <w:rsid w:val="00160CD6"/>
    <w:rsid w:val="00160F5F"/>
    <w:rsid w:val="00162308"/>
    <w:rsid w:val="0016316A"/>
    <w:rsid w:val="0016381F"/>
    <w:rsid w:val="00163D1D"/>
    <w:rsid w:val="00164171"/>
    <w:rsid w:val="00164E58"/>
    <w:rsid w:val="00165033"/>
    <w:rsid w:val="001670EA"/>
    <w:rsid w:val="001674A0"/>
    <w:rsid w:val="00170A50"/>
    <w:rsid w:val="00172308"/>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5296"/>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599"/>
    <w:rsid w:val="00204A2A"/>
    <w:rsid w:val="00204B22"/>
    <w:rsid w:val="00204B3A"/>
    <w:rsid w:val="0020535A"/>
    <w:rsid w:val="002055CB"/>
    <w:rsid w:val="002059EF"/>
    <w:rsid w:val="00205BDB"/>
    <w:rsid w:val="00206955"/>
    <w:rsid w:val="00210309"/>
    <w:rsid w:val="00211519"/>
    <w:rsid w:val="0021224B"/>
    <w:rsid w:val="00212FB8"/>
    <w:rsid w:val="00213709"/>
    <w:rsid w:val="002149AF"/>
    <w:rsid w:val="00214A86"/>
    <w:rsid w:val="00215AAA"/>
    <w:rsid w:val="0021683C"/>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08F"/>
    <w:rsid w:val="00233403"/>
    <w:rsid w:val="00233440"/>
    <w:rsid w:val="00233D0E"/>
    <w:rsid w:val="00236450"/>
    <w:rsid w:val="0023765A"/>
    <w:rsid w:val="00237921"/>
    <w:rsid w:val="00240342"/>
    <w:rsid w:val="00241311"/>
    <w:rsid w:val="002418E8"/>
    <w:rsid w:val="00242E22"/>
    <w:rsid w:val="0024336B"/>
    <w:rsid w:val="00244194"/>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24C2"/>
    <w:rsid w:val="00284E32"/>
    <w:rsid w:val="002851EB"/>
    <w:rsid w:val="00285510"/>
    <w:rsid w:val="00285BD1"/>
    <w:rsid w:val="00285DE2"/>
    <w:rsid w:val="0028616D"/>
    <w:rsid w:val="00286965"/>
    <w:rsid w:val="0029136E"/>
    <w:rsid w:val="00292399"/>
    <w:rsid w:val="00293F82"/>
    <w:rsid w:val="00294445"/>
    <w:rsid w:val="00294B4D"/>
    <w:rsid w:val="0029537E"/>
    <w:rsid w:val="002960D5"/>
    <w:rsid w:val="00297926"/>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70F"/>
    <w:rsid w:val="002C7CFF"/>
    <w:rsid w:val="002D0BC6"/>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2491"/>
    <w:rsid w:val="003935B0"/>
    <w:rsid w:val="00393E44"/>
    <w:rsid w:val="00394301"/>
    <w:rsid w:val="0039747B"/>
    <w:rsid w:val="00397AB6"/>
    <w:rsid w:val="00397ACA"/>
    <w:rsid w:val="003A10C3"/>
    <w:rsid w:val="003A4A40"/>
    <w:rsid w:val="003A4C7C"/>
    <w:rsid w:val="003A5611"/>
    <w:rsid w:val="003A5844"/>
    <w:rsid w:val="003A597F"/>
    <w:rsid w:val="003A71A8"/>
    <w:rsid w:val="003A71D2"/>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50B9"/>
    <w:rsid w:val="003E64A9"/>
    <w:rsid w:val="003E7905"/>
    <w:rsid w:val="003F0336"/>
    <w:rsid w:val="003F5547"/>
    <w:rsid w:val="003F5C40"/>
    <w:rsid w:val="003F6E12"/>
    <w:rsid w:val="003F6F8B"/>
    <w:rsid w:val="003F75ED"/>
    <w:rsid w:val="004002B7"/>
    <w:rsid w:val="00400F31"/>
    <w:rsid w:val="004023BA"/>
    <w:rsid w:val="00406B4D"/>
    <w:rsid w:val="00414030"/>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28EE"/>
    <w:rsid w:val="00433EBE"/>
    <w:rsid w:val="00434406"/>
    <w:rsid w:val="00440FED"/>
    <w:rsid w:val="00441B92"/>
    <w:rsid w:val="00443A9F"/>
    <w:rsid w:val="0044474B"/>
    <w:rsid w:val="00445FF7"/>
    <w:rsid w:val="004508A8"/>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0E82"/>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10CD"/>
    <w:rsid w:val="004E2892"/>
    <w:rsid w:val="004E362B"/>
    <w:rsid w:val="004E3681"/>
    <w:rsid w:val="004E3D74"/>
    <w:rsid w:val="004E784B"/>
    <w:rsid w:val="004F0224"/>
    <w:rsid w:val="004F0DB4"/>
    <w:rsid w:val="004F0E04"/>
    <w:rsid w:val="004F1CD3"/>
    <w:rsid w:val="004F1EBC"/>
    <w:rsid w:val="004F20E8"/>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107E"/>
    <w:rsid w:val="005312CB"/>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2CDA"/>
    <w:rsid w:val="0059331A"/>
    <w:rsid w:val="00593A72"/>
    <w:rsid w:val="00595C2C"/>
    <w:rsid w:val="00596BBA"/>
    <w:rsid w:val="00597386"/>
    <w:rsid w:val="005975C4"/>
    <w:rsid w:val="00597ED8"/>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4302"/>
    <w:rsid w:val="005D5A20"/>
    <w:rsid w:val="005D786C"/>
    <w:rsid w:val="005E00E5"/>
    <w:rsid w:val="005E049F"/>
    <w:rsid w:val="005E0BB6"/>
    <w:rsid w:val="005E3073"/>
    <w:rsid w:val="005E316A"/>
    <w:rsid w:val="005E7088"/>
    <w:rsid w:val="005E7E1B"/>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DE1"/>
    <w:rsid w:val="006060C2"/>
    <w:rsid w:val="00606A26"/>
    <w:rsid w:val="00607D81"/>
    <w:rsid w:val="00610747"/>
    <w:rsid w:val="00610E03"/>
    <w:rsid w:val="0061176E"/>
    <w:rsid w:val="00614CD1"/>
    <w:rsid w:val="006151F2"/>
    <w:rsid w:val="0061567B"/>
    <w:rsid w:val="00615AC8"/>
    <w:rsid w:val="0062152A"/>
    <w:rsid w:val="00623583"/>
    <w:rsid w:val="0062462F"/>
    <w:rsid w:val="00624BA1"/>
    <w:rsid w:val="0062661B"/>
    <w:rsid w:val="00630118"/>
    <w:rsid w:val="00630514"/>
    <w:rsid w:val="006310AE"/>
    <w:rsid w:val="00631762"/>
    <w:rsid w:val="00632196"/>
    <w:rsid w:val="00632BA2"/>
    <w:rsid w:val="00633BF2"/>
    <w:rsid w:val="00633C83"/>
    <w:rsid w:val="00633F67"/>
    <w:rsid w:val="006345C3"/>
    <w:rsid w:val="0063530F"/>
    <w:rsid w:val="006362F9"/>
    <w:rsid w:val="006369A9"/>
    <w:rsid w:val="006373CD"/>
    <w:rsid w:val="00641283"/>
    <w:rsid w:val="006413CF"/>
    <w:rsid w:val="0064165D"/>
    <w:rsid w:val="00642E8C"/>
    <w:rsid w:val="006433BD"/>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41AE"/>
    <w:rsid w:val="006A4856"/>
    <w:rsid w:val="006A5474"/>
    <w:rsid w:val="006A564B"/>
    <w:rsid w:val="006B05B5"/>
    <w:rsid w:val="006B1545"/>
    <w:rsid w:val="006B23B9"/>
    <w:rsid w:val="006B2DA7"/>
    <w:rsid w:val="006B2F4D"/>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3893"/>
    <w:rsid w:val="00734A05"/>
    <w:rsid w:val="00735C6F"/>
    <w:rsid w:val="00742A6A"/>
    <w:rsid w:val="00742B44"/>
    <w:rsid w:val="007472D5"/>
    <w:rsid w:val="00753BB5"/>
    <w:rsid w:val="00755E4A"/>
    <w:rsid w:val="00756832"/>
    <w:rsid w:val="007626D0"/>
    <w:rsid w:val="007651CA"/>
    <w:rsid w:val="00767519"/>
    <w:rsid w:val="007704E1"/>
    <w:rsid w:val="00770E5C"/>
    <w:rsid w:val="00771691"/>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1DDB"/>
    <w:rsid w:val="00792CEE"/>
    <w:rsid w:val="007936A8"/>
    <w:rsid w:val="007962B4"/>
    <w:rsid w:val="00796F15"/>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C44"/>
    <w:rsid w:val="007D1972"/>
    <w:rsid w:val="007D1F33"/>
    <w:rsid w:val="007D3307"/>
    <w:rsid w:val="007D5E27"/>
    <w:rsid w:val="007D6F64"/>
    <w:rsid w:val="007E1782"/>
    <w:rsid w:val="007E25AB"/>
    <w:rsid w:val="007E44FC"/>
    <w:rsid w:val="007E5AC2"/>
    <w:rsid w:val="007E79C5"/>
    <w:rsid w:val="007F2845"/>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350F"/>
    <w:rsid w:val="00834358"/>
    <w:rsid w:val="008346BD"/>
    <w:rsid w:val="00834923"/>
    <w:rsid w:val="008359EB"/>
    <w:rsid w:val="00836B7A"/>
    <w:rsid w:val="00837B90"/>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57D3"/>
    <w:rsid w:val="00896414"/>
    <w:rsid w:val="0089716F"/>
    <w:rsid w:val="008A0F54"/>
    <w:rsid w:val="008A16F9"/>
    <w:rsid w:val="008A1D3E"/>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603A"/>
    <w:rsid w:val="008C71C8"/>
    <w:rsid w:val="008D167D"/>
    <w:rsid w:val="008D492A"/>
    <w:rsid w:val="008D4B58"/>
    <w:rsid w:val="008D4B7F"/>
    <w:rsid w:val="008D4B8A"/>
    <w:rsid w:val="008D6541"/>
    <w:rsid w:val="008D7D7B"/>
    <w:rsid w:val="008E0F52"/>
    <w:rsid w:val="008E2316"/>
    <w:rsid w:val="008E3063"/>
    <w:rsid w:val="008E34BE"/>
    <w:rsid w:val="008E3AA8"/>
    <w:rsid w:val="008E42CE"/>
    <w:rsid w:val="008E42F4"/>
    <w:rsid w:val="008E4333"/>
    <w:rsid w:val="008E4A31"/>
    <w:rsid w:val="008E5657"/>
    <w:rsid w:val="008E5E51"/>
    <w:rsid w:val="008F00DB"/>
    <w:rsid w:val="008F1264"/>
    <w:rsid w:val="008F2908"/>
    <w:rsid w:val="008F47C6"/>
    <w:rsid w:val="008F6349"/>
    <w:rsid w:val="008F6647"/>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1E7D"/>
    <w:rsid w:val="009120A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3A36"/>
    <w:rsid w:val="009643DA"/>
    <w:rsid w:val="0096485F"/>
    <w:rsid w:val="00967354"/>
    <w:rsid w:val="00971592"/>
    <w:rsid w:val="00971DDF"/>
    <w:rsid w:val="0097225C"/>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D19BC"/>
    <w:rsid w:val="009D2348"/>
    <w:rsid w:val="009D2EA8"/>
    <w:rsid w:val="009D2F0C"/>
    <w:rsid w:val="009D3578"/>
    <w:rsid w:val="009D3A5F"/>
    <w:rsid w:val="009D5193"/>
    <w:rsid w:val="009D5C32"/>
    <w:rsid w:val="009D5C56"/>
    <w:rsid w:val="009D6472"/>
    <w:rsid w:val="009D79F4"/>
    <w:rsid w:val="009E126D"/>
    <w:rsid w:val="009E33D7"/>
    <w:rsid w:val="009E3CD1"/>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91B"/>
    <w:rsid w:val="00A50A48"/>
    <w:rsid w:val="00A51180"/>
    <w:rsid w:val="00A51242"/>
    <w:rsid w:val="00A51522"/>
    <w:rsid w:val="00A51573"/>
    <w:rsid w:val="00A51A5E"/>
    <w:rsid w:val="00A52895"/>
    <w:rsid w:val="00A539A5"/>
    <w:rsid w:val="00A53DA0"/>
    <w:rsid w:val="00A5404D"/>
    <w:rsid w:val="00A555A7"/>
    <w:rsid w:val="00A5765D"/>
    <w:rsid w:val="00A579BD"/>
    <w:rsid w:val="00A607CB"/>
    <w:rsid w:val="00A6351F"/>
    <w:rsid w:val="00A63809"/>
    <w:rsid w:val="00A64278"/>
    <w:rsid w:val="00A6519F"/>
    <w:rsid w:val="00A65A70"/>
    <w:rsid w:val="00A665BF"/>
    <w:rsid w:val="00A66F36"/>
    <w:rsid w:val="00A676D9"/>
    <w:rsid w:val="00A67EFC"/>
    <w:rsid w:val="00A7031E"/>
    <w:rsid w:val="00A71140"/>
    <w:rsid w:val="00A7205E"/>
    <w:rsid w:val="00A74692"/>
    <w:rsid w:val="00A75A52"/>
    <w:rsid w:val="00A7618B"/>
    <w:rsid w:val="00A7640B"/>
    <w:rsid w:val="00A7778B"/>
    <w:rsid w:val="00A803BC"/>
    <w:rsid w:val="00A80969"/>
    <w:rsid w:val="00A85798"/>
    <w:rsid w:val="00A8609D"/>
    <w:rsid w:val="00A86EA7"/>
    <w:rsid w:val="00A9124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3A15"/>
    <w:rsid w:val="00AB4ECC"/>
    <w:rsid w:val="00AB4F0F"/>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5A99"/>
    <w:rsid w:val="00AD69FF"/>
    <w:rsid w:val="00AD702B"/>
    <w:rsid w:val="00AD72E6"/>
    <w:rsid w:val="00AD7C95"/>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48D0"/>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25CC"/>
    <w:rsid w:val="00B63337"/>
    <w:rsid w:val="00B6369F"/>
    <w:rsid w:val="00B639D7"/>
    <w:rsid w:val="00B63F81"/>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3E2B"/>
    <w:rsid w:val="00BB5D1C"/>
    <w:rsid w:val="00BB6552"/>
    <w:rsid w:val="00BB6B9B"/>
    <w:rsid w:val="00BB754F"/>
    <w:rsid w:val="00BC0058"/>
    <w:rsid w:val="00BC07D4"/>
    <w:rsid w:val="00BC0A5D"/>
    <w:rsid w:val="00BC0BE3"/>
    <w:rsid w:val="00BC1AD9"/>
    <w:rsid w:val="00BC32E7"/>
    <w:rsid w:val="00BC4F81"/>
    <w:rsid w:val="00BC5670"/>
    <w:rsid w:val="00BC58B9"/>
    <w:rsid w:val="00BD3056"/>
    <w:rsid w:val="00BD3846"/>
    <w:rsid w:val="00BD3E68"/>
    <w:rsid w:val="00BD4E05"/>
    <w:rsid w:val="00BD598A"/>
    <w:rsid w:val="00BD5C7A"/>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4C53"/>
    <w:rsid w:val="00C15D8E"/>
    <w:rsid w:val="00C17012"/>
    <w:rsid w:val="00C178FB"/>
    <w:rsid w:val="00C17DF9"/>
    <w:rsid w:val="00C20ACC"/>
    <w:rsid w:val="00C22B28"/>
    <w:rsid w:val="00C257B7"/>
    <w:rsid w:val="00C272E8"/>
    <w:rsid w:val="00C31FAA"/>
    <w:rsid w:val="00C33359"/>
    <w:rsid w:val="00C348D6"/>
    <w:rsid w:val="00C3624F"/>
    <w:rsid w:val="00C365E7"/>
    <w:rsid w:val="00C36E34"/>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F35"/>
    <w:rsid w:val="00C55566"/>
    <w:rsid w:val="00C57A01"/>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937"/>
    <w:rsid w:val="00C77CA4"/>
    <w:rsid w:val="00C77D26"/>
    <w:rsid w:val="00C80BDF"/>
    <w:rsid w:val="00C815DF"/>
    <w:rsid w:val="00C82FEE"/>
    <w:rsid w:val="00C84D39"/>
    <w:rsid w:val="00C85277"/>
    <w:rsid w:val="00C85806"/>
    <w:rsid w:val="00C85D76"/>
    <w:rsid w:val="00C873AC"/>
    <w:rsid w:val="00C87DA6"/>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134"/>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B6E"/>
    <w:rsid w:val="00D3232B"/>
    <w:rsid w:val="00D3239F"/>
    <w:rsid w:val="00D324A4"/>
    <w:rsid w:val="00D3250C"/>
    <w:rsid w:val="00D328F6"/>
    <w:rsid w:val="00D345D4"/>
    <w:rsid w:val="00D3462C"/>
    <w:rsid w:val="00D35198"/>
    <w:rsid w:val="00D3584B"/>
    <w:rsid w:val="00D35A85"/>
    <w:rsid w:val="00D36964"/>
    <w:rsid w:val="00D4081B"/>
    <w:rsid w:val="00D413C3"/>
    <w:rsid w:val="00D42240"/>
    <w:rsid w:val="00D427C3"/>
    <w:rsid w:val="00D42A6B"/>
    <w:rsid w:val="00D42EB8"/>
    <w:rsid w:val="00D43D3C"/>
    <w:rsid w:val="00D43E0B"/>
    <w:rsid w:val="00D44932"/>
    <w:rsid w:val="00D46111"/>
    <w:rsid w:val="00D4662F"/>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E06"/>
    <w:rsid w:val="00DB6A80"/>
    <w:rsid w:val="00DB6C06"/>
    <w:rsid w:val="00DB7B06"/>
    <w:rsid w:val="00DC318A"/>
    <w:rsid w:val="00DC3A9D"/>
    <w:rsid w:val="00DC5584"/>
    <w:rsid w:val="00DC6C1E"/>
    <w:rsid w:val="00DC7255"/>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28F"/>
    <w:rsid w:val="00E27791"/>
    <w:rsid w:val="00E30F2D"/>
    <w:rsid w:val="00E319DB"/>
    <w:rsid w:val="00E31AFC"/>
    <w:rsid w:val="00E3250F"/>
    <w:rsid w:val="00E3409E"/>
    <w:rsid w:val="00E34F76"/>
    <w:rsid w:val="00E37BE5"/>
    <w:rsid w:val="00E41A27"/>
    <w:rsid w:val="00E41AB4"/>
    <w:rsid w:val="00E44906"/>
    <w:rsid w:val="00E45C77"/>
    <w:rsid w:val="00E4608B"/>
    <w:rsid w:val="00E46D7F"/>
    <w:rsid w:val="00E501D3"/>
    <w:rsid w:val="00E53A01"/>
    <w:rsid w:val="00E564C4"/>
    <w:rsid w:val="00E567C9"/>
    <w:rsid w:val="00E604C4"/>
    <w:rsid w:val="00E60809"/>
    <w:rsid w:val="00E61300"/>
    <w:rsid w:val="00E635B9"/>
    <w:rsid w:val="00E65D15"/>
    <w:rsid w:val="00E66CD8"/>
    <w:rsid w:val="00E67802"/>
    <w:rsid w:val="00E67EE5"/>
    <w:rsid w:val="00E7013A"/>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A29"/>
    <w:rsid w:val="00E96B28"/>
    <w:rsid w:val="00E96FE6"/>
    <w:rsid w:val="00EA1059"/>
    <w:rsid w:val="00EA1D43"/>
    <w:rsid w:val="00EA4EC9"/>
    <w:rsid w:val="00EA568E"/>
    <w:rsid w:val="00EA5E0F"/>
    <w:rsid w:val="00EA6FE4"/>
    <w:rsid w:val="00EA798D"/>
    <w:rsid w:val="00EA7F4C"/>
    <w:rsid w:val="00EB1D47"/>
    <w:rsid w:val="00EB2146"/>
    <w:rsid w:val="00EB2317"/>
    <w:rsid w:val="00EB26C6"/>
    <w:rsid w:val="00EB279B"/>
    <w:rsid w:val="00EB2ABB"/>
    <w:rsid w:val="00EB2B18"/>
    <w:rsid w:val="00EB35B9"/>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DB"/>
    <w:rsid w:val="00F4065A"/>
    <w:rsid w:val="00F4275C"/>
    <w:rsid w:val="00F45693"/>
    <w:rsid w:val="00F52339"/>
    <w:rsid w:val="00F5277A"/>
    <w:rsid w:val="00F532E8"/>
    <w:rsid w:val="00F537FF"/>
    <w:rsid w:val="00F54E36"/>
    <w:rsid w:val="00F560FE"/>
    <w:rsid w:val="00F60CD6"/>
    <w:rsid w:val="00F6111C"/>
    <w:rsid w:val="00F614C0"/>
    <w:rsid w:val="00F61647"/>
    <w:rsid w:val="00F657CF"/>
    <w:rsid w:val="00F65808"/>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6506"/>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22D7"/>
    <w:rsid w:val="00FB2379"/>
    <w:rsid w:val="00FB3CB7"/>
    <w:rsid w:val="00FB4B8A"/>
    <w:rsid w:val="00FB5152"/>
    <w:rsid w:val="00FB5F8F"/>
    <w:rsid w:val="00FB680E"/>
    <w:rsid w:val="00FB7A0B"/>
    <w:rsid w:val="00FC0065"/>
    <w:rsid w:val="00FC062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15163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5AIRPNAIUNRU-1830940522-2066</_dlc_DocId>
    <_dlc_DocIdUrl xmlns="71c5aaf6-e6ce-465b-b873-5148d2a4c105">
      <Url>https://nokia.sharepoint.com/sites/c5g/5gradio/_layouts/15/DocIdRedir.aspx?ID=5AIRPNAIUNRU-1830940522-2066</Url>
      <Description>5AIRPNAIUNRU-1830940522-2066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1DE02A-14DA-473E-A291-85F5C4E1D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 Ranta-aho</cp:lastModifiedBy>
  <cp:revision>2</cp:revision>
  <cp:lastPrinted>2016-06-20T11:35:00Z</cp:lastPrinted>
  <dcterms:created xsi:type="dcterms:W3CDTF">2017-11-17T19:23:00Z</dcterms:created>
  <dcterms:modified xsi:type="dcterms:W3CDTF">2017-11-17T19:23:00Z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2369054a-0353-4923-8fb3-27b467eff610</vt:lpwstr>
  </property>
</Properties>
</file>