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C5AE5" w14:textId="43696BEB" w:rsidR="00111D0B" w:rsidRPr="00CE0424" w:rsidRDefault="00111D0B" w:rsidP="00111D0B">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Pr>
          <w:lang w:val="en-US"/>
        </w:rPr>
        <w:t>90</w:t>
      </w:r>
      <w:r w:rsidRPr="00CE0424">
        <w:tab/>
      </w:r>
      <w:r w:rsidR="00C476E3" w:rsidRPr="00C476E3">
        <w:rPr>
          <w:sz w:val="32"/>
          <w:szCs w:val="32"/>
        </w:rPr>
        <w:t>R1-1712896</w:t>
      </w:r>
    </w:p>
    <w:p w14:paraId="61D7E2E0" w14:textId="77777777" w:rsidR="00111D0B" w:rsidRDefault="00111D0B" w:rsidP="00111D0B">
      <w:pPr>
        <w:pStyle w:val="3GPPHeader"/>
      </w:pPr>
      <w:r>
        <w:t>Prague, Czech Republic,</w:t>
      </w:r>
      <w:r w:rsidRPr="000A1D33">
        <w:t xml:space="preserve"> </w:t>
      </w:r>
      <w:r>
        <w:t>21</w:t>
      </w:r>
      <w:r w:rsidRPr="00496C8C">
        <w:rPr>
          <w:vertAlign w:val="superscript"/>
        </w:rPr>
        <w:t>st</w:t>
      </w:r>
      <w:r>
        <w:t xml:space="preserve"> –</w:t>
      </w:r>
      <w:r w:rsidRPr="000A1D33">
        <w:t xml:space="preserve"> </w:t>
      </w:r>
      <w:r>
        <w:t>25</w:t>
      </w:r>
      <w:r w:rsidRPr="008E3A50">
        <w:rPr>
          <w:vertAlign w:val="superscript"/>
        </w:rPr>
        <w:t>th</w:t>
      </w:r>
      <w:r>
        <w:t xml:space="preserve"> August</w:t>
      </w:r>
      <w:r w:rsidRPr="000A1D33">
        <w:t xml:space="preserve"> 2017</w:t>
      </w:r>
      <w:bookmarkEnd w:id="0"/>
      <w:bookmarkEnd w:id="1"/>
      <w:bookmarkEnd w:id="2"/>
      <w:bookmarkEnd w:id="3"/>
      <w:bookmarkEnd w:id="4"/>
    </w:p>
    <w:p w14:paraId="3227837E" w14:textId="77777777" w:rsidR="00111D0B" w:rsidRPr="00CE0424" w:rsidRDefault="00111D0B" w:rsidP="00111D0B">
      <w:pPr>
        <w:pStyle w:val="3GPPHeader"/>
      </w:pPr>
    </w:p>
    <w:p w14:paraId="7ED36C7B" w14:textId="0C5AE217" w:rsidR="00B71E1F" w:rsidRPr="00F55C39" w:rsidRDefault="00111D0B" w:rsidP="00111D0B">
      <w:pPr>
        <w:pStyle w:val="3GPPHeader"/>
        <w:rPr>
          <w:sz w:val="22"/>
          <w:szCs w:val="22"/>
          <w:lang w:val="en-US"/>
        </w:rPr>
      </w:pPr>
      <w:r w:rsidRPr="00F55C39">
        <w:rPr>
          <w:sz w:val="22"/>
          <w:szCs w:val="22"/>
          <w:lang w:val="en-US"/>
        </w:rPr>
        <w:t>Agenda Item:</w:t>
      </w:r>
      <w:r w:rsidRPr="00F55C39">
        <w:rPr>
          <w:sz w:val="22"/>
          <w:szCs w:val="22"/>
          <w:lang w:val="en-US"/>
        </w:rPr>
        <w:tab/>
      </w:r>
      <w:r w:rsidR="00F55C39">
        <w:rPr>
          <w:sz w:val="22"/>
          <w:szCs w:val="22"/>
          <w:lang w:val="en-US"/>
        </w:rPr>
        <w:t>5.2.1.2.2.3</w:t>
      </w:r>
    </w:p>
    <w:p w14:paraId="6ED27999"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1B8FDB85" w14:textId="186F3FEF" w:rsidR="00E90E49" w:rsidRPr="00CE0424" w:rsidRDefault="003D3C45" w:rsidP="00311702">
      <w:pPr>
        <w:pStyle w:val="3GPPHeader"/>
        <w:rPr>
          <w:sz w:val="22"/>
          <w:szCs w:val="22"/>
        </w:rPr>
      </w:pPr>
      <w:r>
        <w:rPr>
          <w:sz w:val="22"/>
          <w:szCs w:val="22"/>
        </w:rPr>
        <w:t>Title:</w:t>
      </w:r>
      <w:r w:rsidR="00E90E49" w:rsidRPr="00CE0424">
        <w:rPr>
          <w:sz w:val="22"/>
          <w:szCs w:val="22"/>
        </w:rPr>
        <w:tab/>
      </w:r>
      <w:r w:rsidR="006E7CF4" w:rsidRPr="006E7CF4">
        <w:rPr>
          <w:sz w:val="22"/>
          <w:szCs w:val="22"/>
        </w:rPr>
        <w:t>Search space for sTTI</w:t>
      </w:r>
    </w:p>
    <w:p w14:paraId="78E53762" w14:textId="77777777" w:rsidR="00E90E49" w:rsidRPr="00CE0424" w:rsidRDefault="00E90E49" w:rsidP="00D546FF">
      <w:pPr>
        <w:pStyle w:val="3GPPHeader"/>
        <w:rPr>
          <w:sz w:val="22"/>
          <w:szCs w:val="22"/>
        </w:rPr>
      </w:pPr>
      <w:r w:rsidRPr="001B501F">
        <w:rPr>
          <w:sz w:val="22"/>
          <w:szCs w:val="22"/>
        </w:rPr>
        <w:t>Document for:</w:t>
      </w:r>
      <w:r w:rsidRPr="001B501F">
        <w:rPr>
          <w:sz w:val="22"/>
          <w:szCs w:val="22"/>
        </w:rPr>
        <w:tab/>
      </w:r>
      <w:r w:rsidRPr="00FF1171">
        <w:rPr>
          <w:sz w:val="22"/>
          <w:szCs w:val="22"/>
        </w:rPr>
        <w:t>Discussion, Decision</w:t>
      </w:r>
    </w:p>
    <w:p w14:paraId="0C8AA20A" w14:textId="77777777" w:rsidR="00E90E49" w:rsidRPr="00CE0424" w:rsidRDefault="00E90E49" w:rsidP="00E90E49"/>
    <w:p w14:paraId="3D7721CA" w14:textId="77777777" w:rsidR="00E30225" w:rsidRPr="00CE0424" w:rsidRDefault="00E30225" w:rsidP="00E30225">
      <w:pPr>
        <w:pStyle w:val="Heading1"/>
      </w:pPr>
      <w:r w:rsidRPr="00CE0424">
        <w:t>Introduction</w:t>
      </w:r>
    </w:p>
    <w:p w14:paraId="7F69CD2D" w14:textId="77777777" w:rsidR="00342466" w:rsidRDefault="00342466" w:rsidP="00342466">
      <w:pPr>
        <w:pStyle w:val="BodyText"/>
        <w:rPr>
          <w:lang w:val="en-US"/>
        </w:rPr>
      </w:pPr>
      <w:r>
        <w:rPr>
          <w:lang w:val="en-US"/>
        </w:rPr>
        <w:t xml:space="preserve">In RAN1#86 the following was agreed in </w:t>
      </w:r>
      <w:r>
        <w:rPr>
          <w:lang w:val="en-US"/>
        </w:rPr>
        <w:fldChar w:fldCharType="begin"/>
      </w:r>
      <w:r>
        <w:rPr>
          <w:lang w:val="en-US"/>
        </w:rPr>
        <w:instrText xml:space="preserve"> REF _Ref462744559 \r \h </w:instrText>
      </w:r>
      <w:r>
        <w:rPr>
          <w:lang w:val="en-US"/>
        </w:rPr>
      </w:r>
      <w:r>
        <w:rPr>
          <w:lang w:val="en-US"/>
        </w:rPr>
        <w:fldChar w:fldCharType="separate"/>
      </w:r>
      <w:r>
        <w:rPr>
          <w:lang w:val="en-US"/>
        </w:rPr>
        <w:t>[2]</w:t>
      </w:r>
      <w:r>
        <w:rPr>
          <w:lang w:val="en-US"/>
        </w:rPr>
        <w:fldChar w:fldCharType="end"/>
      </w:r>
      <w:r>
        <w:rPr>
          <w:lang w:val="en-US"/>
        </w:rPr>
        <w:t>:</w:t>
      </w:r>
    </w:p>
    <w:p w14:paraId="18F12C3D" w14:textId="77777777" w:rsidR="00342466" w:rsidRPr="00BD35E3" w:rsidRDefault="00342466" w:rsidP="00342466">
      <w:pPr>
        <w:pStyle w:val="BodyText"/>
        <w:numPr>
          <w:ilvl w:val="0"/>
          <w:numId w:val="27"/>
        </w:numPr>
        <w:rPr>
          <w:lang w:val="en-US"/>
        </w:rPr>
      </w:pPr>
      <w:r w:rsidRPr="00BD35E3">
        <w:rPr>
          <w:lang w:val="en-US"/>
        </w:rPr>
        <w:t>Legacy PDCCH can be used to transmit sDCI (DCI for sPDSCH and/or sPUSCH) .</w:t>
      </w:r>
    </w:p>
    <w:p w14:paraId="773AE16B" w14:textId="77777777" w:rsidR="00342466" w:rsidRPr="00BD35E3" w:rsidRDefault="00342466" w:rsidP="00342466">
      <w:pPr>
        <w:pStyle w:val="BodyText"/>
        <w:numPr>
          <w:ilvl w:val="0"/>
          <w:numId w:val="27"/>
        </w:numPr>
        <w:rPr>
          <w:lang w:val="en-US"/>
        </w:rPr>
      </w:pPr>
      <w:r w:rsidRPr="00BD35E3">
        <w:rPr>
          <w:lang w:val="en-US"/>
        </w:rPr>
        <w:t>QPSK is used for sPDCCH.</w:t>
      </w:r>
    </w:p>
    <w:p w14:paraId="28E6CE18" w14:textId="77777777" w:rsidR="00342466" w:rsidRPr="00BD35E3" w:rsidRDefault="00342466" w:rsidP="00342466">
      <w:pPr>
        <w:pStyle w:val="BodyText"/>
        <w:numPr>
          <w:ilvl w:val="0"/>
          <w:numId w:val="27"/>
        </w:numPr>
        <w:rPr>
          <w:lang w:val="en-US"/>
        </w:rPr>
      </w:pPr>
      <w:r w:rsidRPr="00BD35E3">
        <w:t>Tail biting convolutional coding is used for sPDCCH.</w:t>
      </w:r>
    </w:p>
    <w:p w14:paraId="397D2AE3" w14:textId="77777777" w:rsidR="00342466" w:rsidRPr="00BD35E3" w:rsidRDefault="00342466" w:rsidP="00342466">
      <w:pPr>
        <w:pStyle w:val="BodyText"/>
        <w:numPr>
          <w:ilvl w:val="0"/>
          <w:numId w:val="27"/>
        </w:numPr>
        <w:rPr>
          <w:lang w:val="sv-SE"/>
        </w:rPr>
      </w:pPr>
      <w:r w:rsidRPr="00BD35E3">
        <w:rPr>
          <w:lang w:val="en-US"/>
        </w:rPr>
        <w:t xml:space="preserve">For CRS-based sPDCCH, </w:t>
      </w:r>
    </w:p>
    <w:p w14:paraId="11E31AD6" w14:textId="77777777" w:rsidR="00342466" w:rsidRPr="00BD35E3" w:rsidRDefault="00342466" w:rsidP="00342466">
      <w:pPr>
        <w:pStyle w:val="BodyText"/>
        <w:numPr>
          <w:ilvl w:val="1"/>
          <w:numId w:val="27"/>
        </w:numPr>
        <w:rPr>
          <w:lang w:val="sv-SE"/>
        </w:rPr>
      </w:pPr>
      <w:r w:rsidRPr="00BD35E3">
        <w:rPr>
          <w:lang w:val="en-US"/>
        </w:rPr>
        <w:t>In time domain,</w:t>
      </w:r>
    </w:p>
    <w:p w14:paraId="50894B73" w14:textId="77777777" w:rsidR="00342466" w:rsidRPr="00BD35E3" w:rsidRDefault="00342466" w:rsidP="00342466">
      <w:pPr>
        <w:pStyle w:val="BodyText"/>
        <w:numPr>
          <w:ilvl w:val="2"/>
          <w:numId w:val="27"/>
        </w:numPr>
        <w:rPr>
          <w:lang w:val="en-US"/>
        </w:rPr>
      </w:pPr>
      <w:r w:rsidRPr="00BD35E3">
        <w:t>sPDCCH is transmitted from the first OFDM symbol within an sTTI</w:t>
      </w:r>
    </w:p>
    <w:p w14:paraId="3E204E19" w14:textId="77777777" w:rsidR="00342466" w:rsidRPr="00BD35E3" w:rsidRDefault="00342466" w:rsidP="00342466">
      <w:pPr>
        <w:pStyle w:val="BodyText"/>
        <w:numPr>
          <w:ilvl w:val="3"/>
          <w:numId w:val="27"/>
        </w:numPr>
        <w:rPr>
          <w:lang w:val="en-US"/>
        </w:rPr>
      </w:pPr>
      <w:r w:rsidRPr="00BD35E3">
        <w:t>sPDCCH is not mapped to the PDCCH region.</w:t>
      </w:r>
    </w:p>
    <w:p w14:paraId="7860EE52" w14:textId="77777777" w:rsidR="00342466" w:rsidRPr="00BD35E3" w:rsidRDefault="00342466" w:rsidP="00342466">
      <w:pPr>
        <w:pStyle w:val="BodyText"/>
        <w:numPr>
          <w:ilvl w:val="3"/>
          <w:numId w:val="27"/>
        </w:numPr>
        <w:rPr>
          <w:lang w:val="en-US"/>
        </w:rPr>
      </w:pPr>
      <w:r w:rsidRPr="00BD35E3">
        <w:t>FFS number of OFDM symbols of the sPDCCH</w:t>
      </w:r>
    </w:p>
    <w:p w14:paraId="39A3A671" w14:textId="77777777" w:rsidR="00342466" w:rsidRPr="00BD35E3" w:rsidRDefault="00342466" w:rsidP="00342466">
      <w:pPr>
        <w:pStyle w:val="BodyText"/>
        <w:numPr>
          <w:ilvl w:val="1"/>
          <w:numId w:val="27"/>
        </w:numPr>
        <w:rPr>
          <w:lang w:val="en-US"/>
        </w:rPr>
      </w:pPr>
      <w:r w:rsidRPr="00BD35E3">
        <w:rPr>
          <w:lang w:val="en-US"/>
        </w:rPr>
        <w:t xml:space="preserve">Frequency resource for sPDCCH can be informed by eNB. </w:t>
      </w:r>
    </w:p>
    <w:p w14:paraId="56351132" w14:textId="77777777" w:rsidR="00342466" w:rsidRDefault="00342466" w:rsidP="00342466">
      <w:pPr>
        <w:pStyle w:val="BodyText"/>
        <w:rPr>
          <w:lang w:val="en-US"/>
        </w:rPr>
      </w:pPr>
      <w:r>
        <w:rPr>
          <w:lang w:val="en-US"/>
        </w:rPr>
        <w:t>In RAN1#88bis the following agreements and working assumptions were defined:</w:t>
      </w:r>
    </w:p>
    <w:p w14:paraId="4CE18454" w14:textId="77777777" w:rsidR="00342466" w:rsidRDefault="00342466" w:rsidP="00342466">
      <w:pPr>
        <w:numPr>
          <w:ilvl w:val="0"/>
          <w:numId w:val="28"/>
        </w:numPr>
        <w:rPr>
          <w:lang w:val="en-US"/>
        </w:rPr>
      </w:pPr>
      <w:r>
        <w:rPr>
          <w:lang w:val="en-US"/>
        </w:rPr>
        <w:t>Agreements:</w:t>
      </w:r>
    </w:p>
    <w:p w14:paraId="029E6A34" w14:textId="77777777" w:rsidR="00342466" w:rsidRDefault="00342466" w:rsidP="00342466">
      <w:pPr>
        <w:numPr>
          <w:ilvl w:val="1"/>
          <w:numId w:val="28"/>
        </w:numPr>
        <w:rPr>
          <w:lang w:val="en-US"/>
        </w:rPr>
      </w:pPr>
      <w:r w:rsidRPr="006C7046">
        <w:rPr>
          <w:lang w:val="en-US"/>
        </w:rPr>
        <w:t>An sREG consists of 1 RB within 1 OFDM symbol including REs</w:t>
      </w:r>
      <w:r>
        <w:rPr>
          <w:lang w:val="en-US"/>
        </w:rPr>
        <w:t xml:space="preserve"> for CRS and/or DMRS applied to </w:t>
      </w:r>
      <w:r w:rsidRPr="006C7046">
        <w:rPr>
          <w:lang w:val="en-US"/>
        </w:rPr>
        <w:t>DMRS based sPDCCH</w:t>
      </w:r>
    </w:p>
    <w:p w14:paraId="125CFEA5" w14:textId="77777777" w:rsidR="00342466" w:rsidRPr="00F73152" w:rsidRDefault="00342466" w:rsidP="00342466">
      <w:pPr>
        <w:numPr>
          <w:ilvl w:val="1"/>
          <w:numId w:val="28"/>
        </w:numPr>
        <w:rPr>
          <w:lang w:val="en-US"/>
        </w:rPr>
      </w:pPr>
      <w:r w:rsidRPr="00F73152">
        <w:rPr>
          <w:lang w:val="en-US"/>
        </w:rPr>
        <w:t>The number of OFDM symbols per RB set for CRS based sPDCCH for 2/3-symbol sTTI is 1 or 2 configured by higher layer</w:t>
      </w:r>
    </w:p>
    <w:p w14:paraId="14A1CACD" w14:textId="77777777" w:rsidR="00342466" w:rsidRPr="00F73152" w:rsidRDefault="00342466" w:rsidP="00342466">
      <w:pPr>
        <w:numPr>
          <w:ilvl w:val="2"/>
          <w:numId w:val="28"/>
        </w:numPr>
        <w:rPr>
          <w:lang w:val="en-US"/>
        </w:rPr>
      </w:pPr>
      <w:r w:rsidRPr="00F73152">
        <w:rPr>
          <w:lang w:val="en-US"/>
        </w:rPr>
        <w:t xml:space="preserve">FFS: </w:t>
      </w:r>
    </w:p>
    <w:p w14:paraId="1DEDD033" w14:textId="77777777" w:rsidR="00342466" w:rsidRPr="00F73152" w:rsidRDefault="00342466" w:rsidP="00342466">
      <w:pPr>
        <w:numPr>
          <w:ilvl w:val="3"/>
          <w:numId w:val="28"/>
        </w:numPr>
        <w:rPr>
          <w:lang w:val="en-US"/>
        </w:rPr>
      </w:pPr>
      <w:r w:rsidRPr="00F73152">
        <w:rPr>
          <w:lang w:val="en-US"/>
        </w:rPr>
        <w:t>UE capability on:</w:t>
      </w:r>
      <w:r>
        <w:rPr>
          <w:lang w:val="en-US"/>
        </w:rPr>
        <w:t xml:space="preserve"> T</w:t>
      </w:r>
      <w:r w:rsidRPr="00F73152">
        <w:rPr>
          <w:lang w:val="en-US"/>
        </w:rPr>
        <w:t xml:space="preserve">he HARQ Ack/UL grant timing dependent on the number of configured symbols for CRS based sPDCCH </w:t>
      </w:r>
    </w:p>
    <w:p w14:paraId="4758F112" w14:textId="77777777" w:rsidR="00342466" w:rsidRPr="00F73152" w:rsidRDefault="00342466" w:rsidP="00342466">
      <w:pPr>
        <w:numPr>
          <w:ilvl w:val="1"/>
          <w:numId w:val="28"/>
        </w:numPr>
        <w:rPr>
          <w:lang w:val="en-US"/>
        </w:rPr>
      </w:pPr>
      <w:r w:rsidRPr="00F73152">
        <w:rPr>
          <w:lang w:val="en-US"/>
        </w:rPr>
        <w:t>The number of OFDM symbols per RB set for CRS based sPDCCH for 1-slot sTTI is 1 or 2 configured by higher layer.</w:t>
      </w:r>
    </w:p>
    <w:p w14:paraId="3A251063" w14:textId="77777777" w:rsidR="00342466" w:rsidRPr="00F73152" w:rsidRDefault="00342466" w:rsidP="00342466">
      <w:pPr>
        <w:numPr>
          <w:ilvl w:val="2"/>
          <w:numId w:val="28"/>
        </w:numPr>
        <w:rPr>
          <w:lang w:val="en-US"/>
        </w:rPr>
      </w:pPr>
      <w:r w:rsidRPr="00F73152">
        <w:rPr>
          <w:lang w:val="en-US"/>
        </w:rPr>
        <w:t>FFS: 3 OFDM symbols</w:t>
      </w:r>
    </w:p>
    <w:p w14:paraId="3AF27F6E" w14:textId="77777777" w:rsidR="00342466" w:rsidRPr="006C7046" w:rsidRDefault="00342466" w:rsidP="00342466">
      <w:pPr>
        <w:numPr>
          <w:ilvl w:val="1"/>
          <w:numId w:val="28"/>
        </w:numPr>
        <w:rPr>
          <w:lang w:val="en-US"/>
        </w:rPr>
      </w:pPr>
      <w:r w:rsidRPr="00F73152">
        <w:rPr>
          <w:lang w:val="en-US"/>
        </w:rPr>
        <w:t>RAN1 will not pursue CDM-F based DMRS pattern for sPDCCH</w:t>
      </w:r>
    </w:p>
    <w:p w14:paraId="040F7429" w14:textId="77777777" w:rsidR="00342466" w:rsidRDefault="00342466" w:rsidP="00342466">
      <w:pPr>
        <w:pStyle w:val="BodyText"/>
        <w:numPr>
          <w:ilvl w:val="0"/>
          <w:numId w:val="28"/>
        </w:numPr>
        <w:rPr>
          <w:lang w:val="en-US"/>
        </w:rPr>
      </w:pPr>
      <w:r>
        <w:rPr>
          <w:lang w:val="en-US"/>
        </w:rPr>
        <w:t>Working assumptions:</w:t>
      </w:r>
    </w:p>
    <w:p w14:paraId="5FE7EA29" w14:textId="77777777" w:rsidR="00342466" w:rsidRDefault="00342466" w:rsidP="00342466">
      <w:pPr>
        <w:pStyle w:val="BodyText"/>
        <w:numPr>
          <w:ilvl w:val="1"/>
          <w:numId w:val="28"/>
        </w:numPr>
        <w:rPr>
          <w:lang w:val="en-US"/>
        </w:rPr>
      </w:pPr>
      <w:r w:rsidRPr="006C7046">
        <w:rPr>
          <w:lang w:val="en-US"/>
        </w:rPr>
        <w:t>An sREG consists of 1 RB within 1 OFDM symbol including REs for CRS and/or DMRS applied to CRS based sPDCCH</w:t>
      </w:r>
      <w:r>
        <w:rPr>
          <w:lang w:val="en-US"/>
        </w:rPr>
        <w:t xml:space="preserve"> (</w:t>
      </w:r>
      <w:r w:rsidRPr="006C7046">
        <w:rPr>
          <w:lang w:val="en-US"/>
        </w:rPr>
        <w:t>To be confirmed by RAN1#89</w:t>
      </w:r>
      <w:r>
        <w:rPr>
          <w:lang w:val="en-US"/>
        </w:rPr>
        <w:t>)</w:t>
      </w:r>
    </w:p>
    <w:p w14:paraId="5F0F199C" w14:textId="77777777" w:rsidR="00342466" w:rsidRPr="00F73152" w:rsidRDefault="00342466" w:rsidP="00342466">
      <w:pPr>
        <w:pStyle w:val="BodyText"/>
        <w:numPr>
          <w:ilvl w:val="1"/>
          <w:numId w:val="28"/>
        </w:numPr>
        <w:rPr>
          <w:lang w:val="en-US"/>
        </w:rPr>
      </w:pPr>
      <w:r w:rsidRPr="00F73152">
        <w:rPr>
          <w:lang w:val="en-US"/>
        </w:rPr>
        <w:t>A sPDCCH RB set can be configured to a UE by higher-layer signalling either with distributed or localized mapping of sCCE to sREG</w:t>
      </w:r>
    </w:p>
    <w:p w14:paraId="61565308" w14:textId="77777777" w:rsidR="00342466" w:rsidRPr="00F73152" w:rsidRDefault="00342466" w:rsidP="00342466">
      <w:pPr>
        <w:pStyle w:val="BodyText"/>
        <w:numPr>
          <w:ilvl w:val="2"/>
          <w:numId w:val="28"/>
        </w:numPr>
        <w:rPr>
          <w:lang w:val="en-US"/>
        </w:rPr>
      </w:pPr>
      <w:r w:rsidRPr="00F73152">
        <w:rPr>
          <w:lang w:val="en-US"/>
        </w:rPr>
        <w:t>FFS if more than one set can be distributed/localized</w:t>
      </w:r>
    </w:p>
    <w:p w14:paraId="47BC402F" w14:textId="77777777" w:rsidR="00342466" w:rsidRPr="00F73152" w:rsidRDefault="00342466" w:rsidP="00342466">
      <w:pPr>
        <w:pStyle w:val="BodyText"/>
        <w:numPr>
          <w:ilvl w:val="1"/>
          <w:numId w:val="28"/>
        </w:numPr>
        <w:rPr>
          <w:lang w:val="en-US"/>
        </w:rPr>
      </w:pPr>
      <w:r w:rsidRPr="00F73152">
        <w:rPr>
          <w:lang w:val="en-US"/>
        </w:rPr>
        <w:lastRenderedPageBreak/>
        <w:t>A UE can be configured with one or two sPDCCH RB set(s) containing the UE’s user-specific sTTI search space.</w:t>
      </w:r>
    </w:p>
    <w:p w14:paraId="1BF72298" w14:textId="209029CF" w:rsidR="00342466" w:rsidRDefault="00342466" w:rsidP="00342466">
      <w:pPr>
        <w:pStyle w:val="BodyText"/>
        <w:numPr>
          <w:ilvl w:val="2"/>
          <w:numId w:val="28"/>
        </w:numPr>
        <w:rPr>
          <w:lang w:val="en-US"/>
        </w:rPr>
      </w:pPr>
      <w:r w:rsidRPr="00F73152">
        <w:rPr>
          <w:lang w:val="en-US"/>
        </w:rPr>
        <w:t>FFS whether more than two can be configured to a UE</w:t>
      </w:r>
      <w:r>
        <w:rPr>
          <w:lang w:val="en-US"/>
        </w:rPr>
        <w:t xml:space="preserve"> (</w:t>
      </w:r>
      <w:r w:rsidRPr="006C7046">
        <w:rPr>
          <w:lang w:val="en-US"/>
        </w:rPr>
        <w:t>To be confirmed by RAN1#89</w:t>
      </w:r>
      <w:r>
        <w:rPr>
          <w:lang w:val="en-US"/>
        </w:rPr>
        <w:t>)</w:t>
      </w:r>
    </w:p>
    <w:p w14:paraId="4BF03417" w14:textId="77777777" w:rsidR="00F1107C" w:rsidRPr="001B5C4C" w:rsidRDefault="00F1107C" w:rsidP="00F1107C">
      <w:pPr>
        <w:rPr>
          <w:lang w:val="en-US"/>
        </w:rPr>
      </w:pPr>
      <w:r>
        <w:rPr>
          <w:lang w:val="en-US"/>
        </w:rPr>
        <w:t>In RAN1#</w:t>
      </w:r>
      <w:r w:rsidRPr="001B5C4C">
        <w:rPr>
          <w:lang w:val="en-US"/>
        </w:rPr>
        <w:t>89 the following agreements were made:</w:t>
      </w:r>
    </w:p>
    <w:p w14:paraId="590B379C" w14:textId="77777777" w:rsidR="00F1107C" w:rsidRPr="001B5C4C" w:rsidRDefault="00F1107C" w:rsidP="00F1107C">
      <w:pPr>
        <w:pStyle w:val="BodyText"/>
        <w:numPr>
          <w:ilvl w:val="0"/>
          <w:numId w:val="28"/>
        </w:numPr>
        <w:rPr>
          <w:lang w:val="en-US"/>
        </w:rPr>
      </w:pPr>
      <w:r w:rsidRPr="001B5C4C">
        <w:rPr>
          <w:rFonts w:eastAsia="MS Mincho"/>
          <w:iCs/>
          <w:lang w:eastAsia="ja-JP"/>
        </w:rPr>
        <w:t xml:space="preserve">A CRS based sPDCCH RB set can be configured to a UE by higher-layer signalling either with distributed or localized mapping of </w:t>
      </w:r>
      <w:r w:rsidRPr="001B5C4C">
        <w:rPr>
          <w:lang w:val="en-US"/>
        </w:rPr>
        <w:t>sCCE to sREG</w:t>
      </w:r>
    </w:p>
    <w:p w14:paraId="1E615309"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val="en-US" w:eastAsia="ja-JP"/>
        </w:rPr>
      </w:pPr>
      <w:r w:rsidRPr="001B5C4C">
        <w:rPr>
          <w:rFonts w:eastAsia="MS Mincho"/>
          <w:iCs/>
          <w:lang w:val="en-US" w:eastAsia="ja-JP"/>
        </w:rPr>
        <w:t>FFS definition of localized mapping</w:t>
      </w:r>
    </w:p>
    <w:p w14:paraId="16BB414F" w14:textId="77777777" w:rsidR="00F1107C" w:rsidRPr="001B5C4C" w:rsidRDefault="00F1107C" w:rsidP="00F1107C">
      <w:pPr>
        <w:pStyle w:val="BodyText"/>
        <w:numPr>
          <w:ilvl w:val="0"/>
          <w:numId w:val="28"/>
        </w:numPr>
        <w:rPr>
          <w:lang w:val="en-US"/>
        </w:rPr>
      </w:pPr>
      <w:r w:rsidRPr="001B5C4C">
        <w:rPr>
          <w:lang w:val="en-US"/>
        </w:rPr>
        <w:t xml:space="preserve">A UE can be configured to </w:t>
      </w:r>
      <w:r w:rsidRPr="001B5C4C">
        <w:rPr>
          <w:rFonts w:eastAsia="MS Mincho"/>
          <w:iCs/>
          <w:lang w:val="en-US" w:eastAsia="ja-JP"/>
        </w:rPr>
        <w:t>monitor at most two sPDCCH RB set(s) containing the sTTI USS in an sTTI</w:t>
      </w:r>
      <w:r w:rsidRPr="001B5C4C">
        <w:rPr>
          <w:lang w:val="en-US"/>
        </w:rPr>
        <w:t>.</w:t>
      </w:r>
    </w:p>
    <w:p w14:paraId="28C540A7" w14:textId="77777777" w:rsidR="00F1107C" w:rsidRPr="001B5C4C" w:rsidRDefault="00F1107C" w:rsidP="00F1107C">
      <w:pPr>
        <w:pStyle w:val="BodyText"/>
        <w:numPr>
          <w:ilvl w:val="1"/>
          <w:numId w:val="28"/>
        </w:numPr>
        <w:rPr>
          <w:lang w:val="en-US"/>
        </w:rPr>
      </w:pPr>
      <w:r w:rsidRPr="001B5C4C">
        <w:rPr>
          <w:rFonts w:eastAsia="MS Mincho"/>
          <w:iCs/>
          <w:lang w:val="en-US" w:eastAsia="ja-JP"/>
        </w:rPr>
        <w:t>One sPDCCH candidate is contained within one RB set</w:t>
      </w:r>
    </w:p>
    <w:p w14:paraId="324E0F0D" w14:textId="77777777" w:rsidR="00F1107C" w:rsidRPr="001B5C4C" w:rsidRDefault="00F1107C" w:rsidP="00F1107C">
      <w:pPr>
        <w:pStyle w:val="BodyText"/>
        <w:numPr>
          <w:ilvl w:val="0"/>
          <w:numId w:val="28"/>
        </w:numPr>
        <w:rPr>
          <w:lang w:val="en-US"/>
        </w:rPr>
      </w:pPr>
      <w:r w:rsidRPr="001B5C4C">
        <w:rPr>
          <w:lang w:val="en-US"/>
        </w:rPr>
        <w:t>An sREG consists of 1 RB within 1 OFDM symbol including REs for CRS and/or DMRS applied to CRS based sPDCCH</w:t>
      </w:r>
    </w:p>
    <w:p w14:paraId="77A42B07" w14:textId="77777777" w:rsidR="00F1107C" w:rsidRPr="001B5C4C" w:rsidRDefault="00F1107C" w:rsidP="00F1107C">
      <w:pPr>
        <w:numPr>
          <w:ilvl w:val="0"/>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SFBC is supported for CRS-based sPDCCH</w:t>
      </w:r>
    </w:p>
    <w:p w14:paraId="7013AC6B"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FFS number of antenna ports</w:t>
      </w:r>
    </w:p>
    <w:p w14:paraId="3DCA6EE5" w14:textId="77777777" w:rsidR="00F1107C" w:rsidRPr="001B5C4C" w:rsidRDefault="00F1107C" w:rsidP="00F1107C">
      <w:pPr>
        <w:numPr>
          <w:ilvl w:val="0"/>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Single port DMRS-based sPDCCH demodulation is supported</w:t>
      </w:r>
    </w:p>
    <w:p w14:paraId="1A0D21EF"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FFS bundling size</w:t>
      </w:r>
    </w:p>
    <w:p w14:paraId="04DB8008" w14:textId="77777777" w:rsidR="00F1107C" w:rsidRPr="001B5C4C" w:rsidRDefault="00F1107C" w:rsidP="00F1107C">
      <w:pPr>
        <w:numPr>
          <w:ilvl w:val="0"/>
          <w:numId w:val="28"/>
        </w:numPr>
        <w:overflowPunct/>
        <w:autoSpaceDE/>
        <w:autoSpaceDN/>
        <w:adjustRightInd/>
        <w:spacing w:after="0"/>
        <w:jc w:val="left"/>
        <w:textAlignment w:val="auto"/>
        <w:rPr>
          <w:rFonts w:eastAsia="MS Mincho"/>
          <w:iCs/>
          <w:lang w:val="en-US" w:eastAsia="ja-JP"/>
        </w:rPr>
      </w:pPr>
      <w:r w:rsidRPr="001B5C4C">
        <w:rPr>
          <w:rFonts w:eastAsia="MS Mincho"/>
          <w:iCs/>
          <w:lang w:val="en-US" w:eastAsia="ja-JP"/>
        </w:rPr>
        <w:t>FFS if t</w:t>
      </w:r>
      <w:r w:rsidRPr="001B5C4C">
        <w:rPr>
          <w:rFonts w:eastAsia="MS Mincho"/>
          <w:iCs/>
          <w:lang w:eastAsia="ja-JP"/>
        </w:rPr>
        <w:t>wo port DMRS-based sPDCCH demodulation is supported</w:t>
      </w:r>
    </w:p>
    <w:p w14:paraId="73CB5AD7" w14:textId="77777777" w:rsidR="00F1107C" w:rsidRPr="001B5C4C" w:rsidRDefault="00F1107C" w:rsidP="00F1107C">
      <w:pPr>
        <w:numPr>
          <w:ilvl w:val="1"/>
          <w:numId w:val="28"/>
        </w:numPr>
        <w:overflowPunct/>
        <w:autoSpaceDE/>
        <w:autoSpaceDN/>
        <w:adjustRightInd/>
        <w:spacing w:after="0"/>
        <w:jc w:val="left"/>
        <w:textAlignment w:val="auto"/>
        <w:rPr>
          <w:lang w:val="en-US"/>
        </w:rPr>
      </w:pPr>
      <w:r w:rsidRPr="001B5C4C">
        <w:rPr>
          <w:rFonts w:eastAsia="MS Mincho"/>
          <w:iCs/>
          <w:lang w:eastAsia="ja-JP"/>
        </w:rPr>
        <w:t>FFS bundling size</w:t>
      </w:r>
    </w:p>
    <w:p w14:paraId="5B68E330" w14:textId="77777777" w:rsidR="00F1107C" w:rsidRPr="001B5C4C" w:rsidRDefault="00F1107C" w:rsidP="00F1107C">
      <w:pPr>
        <w:numPr>
          <w:ilvl w:val="0"/>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A sPDCCH RB set can be configured with at least the following information:</w:t>
      </w:r>
    </w:p>
    <w:p w14:paraId="61E096A8"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 xml:space="preserve">A set of RBs </w:t>
      </w:r>
    </w:p>
    <w:p w14:paraId="00008C4B" w14:textId="77777777" w:rsidR="00F1107C" w:rsidRPr="001B5C4C" w:rsidRDefault="00F1107C" w:rsidP="00F1107C">
      <w:pPr>
        <w:numPr>
          <w:ilvl w:val="2"/>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EPDCCH PRB allocation is reused</w:t>
      </w:r>
    </w:p>
    <w:p w14:paraId="3012C3E2"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Transmission scheme (e.g., CRS-based or DMRS-based)</w:t>
      </w:r>
    </w:p>
    <w:p w14:paraId="5AF17624" w14:textId="77777777" w:rsidR="00F1107C" w:rsidRPr="001B5C4C" w:rsidRDefault="00F1107C" w:rsidP="00F1107C">
      <w:pPr>
        <w:numPr>
          <w:ilvl w:val="2"/>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FFS: Dependent on subframe type</w:t>
      </w:r>
    </w:p>
    <w:p w14:paraId="7C4E1DD0"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Localized or distributed sCCE to sREG mapping (at least for CRS, and, if supported DMRS-based sPDCCH)</w:t>
      </w:r>
    </w:p>
    <w:p w14:paraId="5BDAB37D"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 xml:space="preserve">FFS: Localized or distributed </w:t>
      </w:r>
      <w:bookmarkStart w:id="5" w:name="_Hlk488409873"/>
      <w:r w:rsidRPr="001B5C4C">
        <w:rPr>
          <w:rFonts w:eastAsia="MS Mincho"/>
          <w:iCs/>
          <w:lang w:eastAsia="ja-JP"/>
        </w:rPr>
        <w:t>sPDCCH candidate to sCCE mapping</w:t>
      </w:r>
      <w:bookmarkEnd w:id="5"/>
    </w:p>
    <w:p w14:paraId="7024B739"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Number of sPDCCH candidates/aggregation levels of the RB set</w:t>
      </w:r>
    </w:p>
    <w:p w14:paraId="4B95E65D" w14:textId="77777777" w:rsidR="00F1107C" w:rsidRPr="001B5C4C" w:rsidRDefault="00F1107C" w:rsidP="00F1107C">
      <w:pPr>
        <w:numPr>
          <w:ilvl w:val="2"/>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FFS: Same or different sPDCCH candidates for different sTTI index</w:t>
      </w:r>
    </w:p>
    <w:p w14:paraId="50B363E9"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Number of symbols for sPDCCH duration at least in case of CRS-based transmission</w:t>
      </w:r>
    </w:p>
    <w:p w14:paraId="0D0CD197"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RS scrambling sequence (e.g., VCID) in case of DMRS-based transmission</w:t>
      </w:r>
    </w:p>
    <w:p w14:paraId="3FD14F91"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FFS: other information (if needed)</w:t>
      </w:r>
    </w:p>
    <w:p w14:paraId="5BE652FA" w14:textId="77777777" w:rsidR="00F1107C" w:rsidRPr="001B5C4C" w:rsidRDefault="00F1107C" w:rsidP="00F1107C">
      <w:pPr>
        <w:numPr>
          <w:ilvl w:val="0"/>
          <w:numId w:val="28"/>
        </w:numPr>
        <w:overflowPunct/>
        <w:autoSpaceDE/>
        <w:autoSpaceDN/>
        <w:adjustRightInd/>
        <w:spacing w:after="0"/>
        <w:jc w:val="left"/>
        <w:textAlignment w:val="auto"/>
        <w:rPr>
          <w:rFonts w:eastAsia="MS Mincho"/>
          <w:iCs/>
          <w:lang w:eastAsia="ja-JP"/>
        </w:rPr>
      </w:pPr>
      <w:r w:rsidRPr="001B5C4C">
        <w:rPr>
          <w:rFonts w:eastAsia="MS Mincho"/>
          <w:iCs/>
          <w:lang w:eastAsia="ja-JP"/>
        </w:rPr>
        <w:t>The number of OFDM symbols per RB set for DMRS based sPDCCH for 1-slot sTTI is 2</w:t>
      </w:r>
    </w:p>
    <w:p w14:paraId="2E0A30D7" w14:textId="77777777" w:rsidR="00F1107C" w:rsidRPr="001B5C4C" w:rsidRDefault="00F1107C" w:rsidP="00F1107C">
      <w:pPr>
        <w:numPr>
          <w:ilvl w:val="0"/>
          <w:numId w:val="28"/>
        </w:numPr>
        <w:overflowPunct/>
        <w:autoSpaceDE/>
        <w:autoSpaceDN/>
        <w:adjustRightInd/>
        <w:spacing w:after="0"/>
        <w:jc w:val="left"/>
        <w:textAlignment w:val="auto"/>
        <w:rPr>
          <w:rFonts w:eastAsia="MS Mincho"/>
          <w:iCs/>
          <w:lang w:val="en-US" w:eastAsia="ja-JP"/>
        </w:rPr>
      </w:pPr>
      <w:r w:rsidRPr="001B5C4C">
        <w:rPr>
          <w:rFonts w:eastAsia="MS Mincho"/>
          <w:iCs/>
          <w:lang w:eastAsia="ja-JP"/>
        </w:rPr>
        <w:t>The number</w:t>
      </w:r>
      <w:r w:rsidRPr="001B5C4C">
        <w:rPr>
          <w:rFonts w:eastAsia="MS Mincho"/>
          <w:iCs/>
          <w:lang w:val="en-US" w:eastAsia="ja-JP"/>
        </w:rPr>
        <w:t xml:space="preserve"> of OFDM symbols for DMRS based sPDCCH for 2/3-symbol sTTI is</w:t>
      </w:r>
    </w:p>
    <w:p w14:paraId="580070C9"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eastAsia="ja-JP"/>
        </w:rPr>
      </w:pPr>
      <w:r w:rsidRPr="001B5C4C">
        <w:rPr>
          <w:rFonts w:eastAsia="MS Mincho"/>
          <w:iCs/>
          <w:lang w:eastAsia="ja-JP"/>
        </w:rPr>
        <w:t>2 for 2-symbol sTTI#1,2,3,4</w:t>
      </w:r>
    </w:p>
    <w:p w14:paraId="23F3B034" w14:textId="77777777" w:rsidR="00F1107C" w:rsidRPr="001B5C4C" w:rsidRDefault="00F1107C" w:rsidP="00F1107C">
      <w:pPr>
        <w:numPr>
          <w:ilvl w:val="1"/>
          <w:numId w:val="28"/>
        </w:numPr>
        <w:overflowPunct/>
        <w:autoSpaceDE/>
        <w:autoSpaceDN/>
        <w:adjustRightInd/>
        <w:spacing w:after="0"/>
        <w:jc w:val="left"/>
        <w:textAlignment w:val="auto"/>
        <w:rPr>
          <w:rFonts w:eastAsia="MS Mincho"/>
          <w:iCs/>
          <w:lang w:eastAsia="ja-JP"/>
        </w:rPr>
      </w:pPr>
      <w:r w:rsidRPr="001B5C4C">
        <w:rPr>
          <w:rFonts w:eastAsia="MS Mincho"/>
          <w:iCs/>
          <w:lang w:eastAsia="ja-JP"/>
        </w:rPr>
        <w:t>FFS: 3 for 3-symbol sTTI#1 and #5</w:t>
      </w:r>
    </w:p>
    <w:p w14:paraId="56BB84EB" w14:textId="77777777" w:rsidR="00F1107C" w:rsidRPr="001B5C4C" w:rsidRDefault="00F1107C" w:rsidP="00F1107C">
      <w:pPr>
        <w:pStyle w:val="ListParagraph"/>
        <w:numPr>
          <w:ilvl w:val="1"/>
          <w:numId w:val="28"/>
        </w:numPr>
        <w:overflowPunct w:val="0"/>
        <w:autoSpaceDE w:val="0"/>
        <w:autoSpaceDN w:val="0"/>
        <w:adjustRightInd w:val="0"/>
        <w:spacing w:after="120"/>
        <w:jc w:val="both"/>
        <w:textAlignment w:val="baseline"/>
        <w:rPr>
          <w:lang w:val="en-US"/>
        </w:rPr>
      </w:pPr>
      <w:r w:rsidRPr="001B5C4C">
        <w:rPr>
          <w:rFonts w:eastAsia="MS Mincho"/>
          <w:iCs/>
          <w:lang w:eastAsia="ja-JP"/>
        </w:rPr>
        <w:t>FFS: sTTI#0</w:t>
      </w:r>
    </w:p>
    <w:p w14:paraId="23E53505" w14:textId="77777777" w:rsidR="00597A81" w:rsidRPr="007557B4" w:rsidRDefault="00597A81" w:rsidP="009963CA">
      <w:pPr>
        <w:overflowPunct/>
        <w:autoSpaceDE/>
        <w:autoSpaceDN/>
        <w:adjustRightInd/>
        <w:spacing w:after="0"/>
        <w:ind w:left="1080"/>
        <w:jc w:val="left"/>
        <w:textAlignment w:val="auto"/>
        <w:rPr>
          <w:rFonts w:eastAsia="MS Mincho"/>
          <w:lang w:val="en-US" w:eastAsia="ja-JP"/>
        </w:rPr>
      </w:pPr>
    </w:p>
    <w:p w14:paraId="0CD3BF68" w14:textId="77777777" w:rsidR="00E30225" w:rsidRDefault="00E30225" w:rsidP="00E30225">
      <w:pPr>
        <w:pStyle w:val="Heading1"/>
      </w:pPr>
      <w:bookmarkStart w:id="6" w:name="_Ref178064866"/>
      <w:r w:rsidRPr="00CE0424">
        <w:t>Discussion</w:t>
      </w:r>
      <w:bookmarkEnd w:id="6"/>
    </w:p>
    <w:p w14:paraId="0F79E603" w14:textId="731E20CE" w:rsidR="00E30225" w:rsidRDefault="00704C6C" w:rsidP="00E30225">
      <w:pPr>
        <w:pStyle w:val="BodyText"/>
      </w:pPr>
      <w:r>
        <w:t>To schedule sTTI, a</w:t>
      </w:r>
      <w:r w:rsidR="008E5175">
        <w:t>n</w:t>
      </w:r>
      <w:r>
        <w:t xml:space="preserve"> s</w:t>
      </w:r>
      <w:r w:rsidR="002E7C88">
        <w:t>PDCCH</w:t>
      </w:r>
      <w:r>
        <w:t xml:space="preserve"> needs to be </w:t>
      </w:r>
      <w:r w:rsidR="00AD3D47">
        <w:t>transmitted</w:t>
      </w:r>
      <w:r>
        <w:t xml:space="preserve"> in each sTTI. </w:t>
      </w:r>
      <w:r w:rsidR="00E30225">
        <w:t xml:space="preserve">In </w:t>
      </w:r>
      <w:r w:rsidR="000C22B6">
        <w:t>this</w:t>
      </w:r>
      <w:r w:rsidR="00E30225">
        <w:t xml:space="preserve"> </w:t>
      </w:r>
      <w:r w:rsidR="00E30225" w:rsidRPr="00903B34">
        <w:t>contribution</w:t>
      </w:r>
      <w:r w:rsidR="00A967B9">
        <w:t xml:space="preserve">, </w:t>
      </w:r>
      <w:r w:rsidR="000C22B6">
        <w:t>we</w:t>
      </w:r>
      <w:r w:rsidR="006E7CF4">
        <w:t xml:space="preserve"> discuss</w:t>
      </w:r>
      <w:r w:rsidR="00A967B9">
        <w:t xml:space="preserve"> </w:t>
      </w:r>
      <w:r w:rsidR="00F6386A">
        <w:rPr>
          <w:lang w:val="en-US"/>
        </w:rPr>
        <w:t xml:space="preserve">considerations on </w:t>
      </w:r>
      <w:r w:rsidR="008E5175">
        <w:rPr>
          <w:lang w:val="en-US"/>
        </w:rPr>
        <w:t>sTTI UE search space such as aggregation levels, candidates to monitor and limitation of number of blind decodes for sTTI UEs</w:t>
      </w:r>
      <w:r w:rsidR="009C11C1">
        <w:t xml:space="preserve">. </w:t>
      </w:r>
    </w:p>
    <w:p w14:paraId="3248805E" w14:textId="591B18EA" w:rsidR="005C741E" w:rsidRDefault="005C741E" w:rsidP="00FD2CE1">
      <w:pPr>
        <w:pStyle w:val="Heading2"/>
      </w:pPr>
      <w:bookmarkStart w:id="7" w:name="_Toc458603720"/>
      <w:bookmarkEnd w:id="7"/>
      <w:r>
        <w:t>Aggregation Leve</w:t>
      </w:r>
      <w:r w:rsidR="00D22D54">
        <w:t>l</w:t>
      </w:r>
      <w:r>
        <w:t>s</w:t>
      </w:r>
    </w:p>
    <w:p w14:paraId="1D5FD16A" w14:textId="74D27354" w:rsidR="000524D6" w:rsidRDefault="005C741E" w:rsidP="000524D6">
      <w:r>
        <w:t>System level evaluation</w:t>
      </w:r>
      <w:r w:rsidR="00796954">
        <w:t>s have showed that short TTI is beneficial mostly at low to medium loads [2]. Besides, it was also described in [2]</w:t>
      </w:r>
      <w:r w:rsidRPr="005C741E">
        <w:t xml:space="preserve"> how important it is to have a flexible sPDCCH region in sTTI. At low </w:t>
      </w:r>
      <w:r w:rsidR="00796954">
        <w:t xml:space="preserve">to medium </w:t>
      </w:r>
      <w:r w:rsidRPr="005C741E">
        <w:t>load</w:t>
      </w:r>
      <w:r w:rsidR="00796954">
        <w:t>s</w:t>
      </w:r>
      <w:r w:rsidRPr="005C741E">
        <w:t>, only few resources are needed for sPDCCH due to few co-scheduled users and due to high SINR</w:t>
      </w:r>
      <w:r w:rsidR="00796954">
        <w:t xml:space="preserve"> (low interference)</w:t>
      </w:r>
      <w:r w:rsidRPr="005C741E">
        <w:t>. It is thus critical to design sPDCCH so that the amount of occupied resources is adapted to the number of co-scheduled users (in DL and UL) and their required aggregation level</w:t>
      </w:r>
      <w:r w:rsidR="00D22D54">
        <w:t>, which is expected to remain low</w:t>
      </w:r>
      <w:r w:rsidRPr="005C741E">
        <w:t>.</w:t>
      </w:r>
      <w:r w:rsidR="00796954">
        <w:t xml:space="preserve"> Based on this, three aggregation levels</w:t>
      </w:r>
      <w:r w:rsidR="00D22D54">
        <w:t xml:space="preserve"> (AL)</w:t>
      </w:r>
      <w:r w:rsidR="00796954">
        <w:t xml:space="preserve"> {1, 2, 4}, </w:t>
      </w:r>
      <w:r w:rsidR="009C5B09">
        <w:t>are</w:t>
      </w:r>
      <w:r w:rsidR="00796954">
        <w:t xml:space="preserve"> </w:t>
      </w:r>
      <w:r w:rsidR="00A3796E">
        <w:t>proposed</w:t>
      </w:r>
      <w:r w:rsidR="00796954">
        <w:t xml:space="preserve"> to </w:t>
      </w:r>
      <w:r w:rsidR="009C5B09">
        <w:t xml:space="preserve">be </w:t>
      </w:r>
      <w:r w:rsidR="00796954">
        <w:t>support</w:t>
      </w:r>
      <w:r w:rsidR="009C5B09">
        <w:t>ed</w:t>
      </w:r>
      <w:r w:rsidR="00796954">
        <w:t xml:space="preserve"> </w:t>
      </w:r>
      <w:r w:rsidR="009C5B09">
        <w:t xml:space="preserve">for </w:t>
      </w:r>
      <w:r w:rsidR="00796954">
        <w:t>short TTI operation.</w:t>
      </w:r>
      <w:r w:rsidR="00640457">
        <w:t xml:space="preserve"> AL 1 and 2 are expected to be used most of the time, while AL 4 is to ensure sTTI operation under </w:t>
      </w:r>
      <w:r w:rsidR="00976AF1">
        <w:t>temporary</w:t>
      </w:r>
      <w:r w:rsidR="00640457">
        <w:t xml:space="preserve"> </w:t>
      </w:r>
      <w:r w:rsidR="00976AF1">
        <w:t xml:space="preserve">high </w:t>
      </w:r>
      <w:r w:rsidR="00640457">
        <w:t>interference or bad channel conditions.</w:t>
      </w:r>
      <w:r w:rsidR="00E5205E">
        <w:t xml:space="preserve"> However, the number of aggregated sCCE is dependent on how RS overhead is </w:t>
      </w:r>
      <w:r w:rsidR="00E5205E" w:rsidRPr="001578A0">
        <w:t>handled in the sCCE definition</w:t>
      </w:r>
      <w:r w:rsidR="00FC6E01" w:rsidRPr="001578A0">
        <w:t xml:space="preserve"> (details in our companion paper about design aspects of sPDCCH [3])</w:t>
      </w:r>
      <w:r w:rsidR="00E5205E" w:rsidRPr="001578A0">
        <w:t>.</w:t>
      </w:r>
      <w:r w:rsidR="00402BCE" w:rsidRPr="001578A0">
        <w:t xml:space="preserve"> I</w:t>
      </w:r>
      <w:r w:rsidR="00FC6E01" w:rsidRPr="001578A0">
        <w:t>f the</w:t>
      </w:r>
      <w:r w:rsidR="00E5205E">
        <w:t xml:space="preserve"> sCCE definition does not take into account</w:t>
      </w:r>
      <w:r w:rsidR="00FC6E01">
        <w:t xml:space="preserve"> the RS overhead</w:t>
      </w:r>
      <w:r w:rsidR="00E5205E">
        <w:t xml:space="preserve">, the effective number of </w:t>
      </w:r>
      <w:r w:rsidR="00E5205E">
        <w:lastRenderedPageBreak/>
        <w:t>usable RE in a sCCE will be low</w:t>
      </w:r>
      <w:r w:rsidR="00FC6E01">
        <w:t xml:space="preserve"> for high RS overhead</w:t>
      </w:r>
      <w:r w:rsidR="00E5205E">
        <w:t xml:space="preserve">. In that case, also AL 8 may be considered. If, however, the sCCE definition takes into account the RS overhead, </w:t>
      </w:r>
      <w:r w:rsidR="00F75832">
        <w:t>i.e. defining a</w:t>
      </w:r>
      <w:r w:rsidR="00E5205E">
        <w:t xml:space="preserve"> sCCE </w:t>
      </w:r>
      <w:r w:rsidR="00F75832">
        <w:t>to be composed by a</w:t>
      </w:r>
      <w:r w:rsidR="00E5205E">
        <w:t xml:space="preserve"> higher number of sREGs where the RS overhead is high, the AL does not need to be increased with high RS overhead.</w:t>
      </w:r>
    </w:p>
    <w:p w14:paraId="56F3286C" w14:textId="77777777" w:rsidR="00D22D54" w:rsidRDefault="00D22D54" w:rsidP="000524D6"/>
    <w:p w14:paraId="499FF43C" w14:textId="17D0F0F9" w:rsidR="00D22D54" w:rsidRDefault="00D22D54" w:rsidP="00D22D54">
      <w:pPr>
        <w:pStyle w:val="Proposal"/>
      </w:pPr>
      <w:bookmarkStart w:id="8" w:name="_Toc481759622"/>
      <w:bookmarkStart w:id="9" w:name="_Toc481760288"/>
      <w:bookmarkStart w:id="10" w:name="_Toc481760735"/>
      <w:bookmarkStart w:id="11" w:name="_Toc481760821"/>
      <w:bookmarkStart w:id="12" w:name="_Toc485912935"/>
      <w:bookmarkStart w:id="13" w:name="_Toc490240919"/>
      <w:r>
        <w:t xml:space="preserve">Three aggregation levels {1, 2, 4} are </w:t>
      </w:r>
      <w:r w:rsidR="004B3837">
        <w:t>supported</w:t>
      </w:r>
      <w:r>
        <w:t xml:space="preserve"> </w:t>
      </w:r>
      <w:r w:rsidR="00CE0A6F">
        <w:t>for</w:t>
      </w:r>
      <w:r>
        <w:t xml:space="preserve"> short TTI operation</w:t>
      </w:r>
      <w:bookmarkEnd w:id="8"/>
      <w:bookmarkEnd w:id="9"/>
      <w:bookmarkEnd w:id="10"/>
      <w:bookmarkEnd w:id="11"/>
      <w:bookmarkEnd w:id="12"/>
      <w:bookmarkEnd w:id="13"/>
    </w:p>
    <w:p w14:paraId="73F21521" w14:textId="77777777" w:rsidR="009C5B09" w:rsidRDefault="009C5B09" w:rsidP="009C5B09">
      <w:pPr>
        <w:pStyle w:val="BodyText"/>
      </w:pPr>
    </w:p>
    <w:p w14:paraId="3A12DFD7" w14:textId="2231EC51" w:rsidR="009C5B09" w:rsidRDefault="009C5B09" w:rsidP="009C5B09">
      <w:pPr>
        <w:pStyle w:val="BodyText"/>
      </w:pPr>
      <w:r>
        <w:t xml:space="preserve">Based on this, a UE should be capable to monitor up to three aggregation levels per sTTI. However, a UE may be </w:t>
      </w:r>
      <w:r w:rsidR="00FC6E01">
        <w:t xml:space="preserve">further </w:t>
      </w:r>
      <w:r>
        <w:t>configured by higher layers to monitor only</w:t>
      </w:r>
      <w:r w:rsidR="00A0601C">
        <w:t xml:space="preserve"> a subset of the</w:t>
      </w:r>
      <w:r>
        <w:t xml:space="preserve"> aggregation levels </w:t>
      </w:r>
      <w:r w:rsidR="00A0601C">
        <w:t xml:space="preserve">supported </w:t>
      </w:r>
      <w:r w:rsidR="00F75832">
        <w:t xml:space="preserve">for </w:t>
      </w:r>
      <w:r>
        <w:t>sTTI</w:t>
      </w:r>
      <w:r w:rsidR="00F75832">
        <w:t xml:space="preserve"> operation</w:t>
      </w:r>
      <w:r>
        <w:t>. For instance, one low aggregation level, i.e. either 1 or 2, for efficient resource utilization in good channel conditions and one high aggregation level, i.e. 4, for low channel quality.</w:t>
      </w:r>
      <w:r w:rsidR="006B6620">
        <w:t xml:space="preserve"> </w:t>
      </w:r>
    </w:p>
    <w:p w14:paraId="0B4159ED" w14:textId="5EB70365" w:rsidR="009C5B09" w:rsidRDefault="009C5B09" w:rsidP="009C5B09">
      <w:pPr>
        <w:pStyle w:val="BodyText"/>
      </w:pPr>
    </w:p>
    <w:p w14:paraId="36C45EE8" w14:textId="231AE893" w:rsidR="009C5B09" w:rsidRPr="006B6620" w:rsidRDefault="009C5B09" w:rsidP="009C5B09">
      <w:pPr>
        <w:pStyle w:val="Observation"/>
        <w:rPr>
          <w:lang w:val="en-US"/>
        </w:rPr>
      </w:pPr>
      <w:bookmarkStart w:id="14" w:name="_Toc481759616"/>
      <w:bookmarkStart w:id="15" w:name="_Toc481760278"/>
      <w:bookmarkStart w:id="16" w:name="_Toc481760742"/>
      <w:bookmarkStart w:id="17" w:name="_Toc481760815"/>
      <w:bookmarkStart w:id="18" w:name="_Toc485912941"/>
      <w:bookmarkStart w:id="19" w:name="_Toc490240912"/>
      <w:r>
        <w:t>A UE can be</w:t>
      </w:r>
      <w:r w:rsidRPr="009C5B09">
        <w:t xml:space="preserve"> </w:t>
      </w:r>
      <w:r w:rsidR="00FC6E01">
        <w:t xml:space="preserve">further </w:t>
      </w:r>
      <w:r w:rsidRPr="009C5B09">
        <w:t xml:space="preserve">configured by higher layers to monitor only </w:t>
      </w:r>
      <w:r w:rsidR="004B3837">
        <w:t>a subset of the aggregation levels supported for</w:t>
      </w:r>
      <w:r w:rsidRPr="009C5B09">
        <w:t xml:space="preserve"> sTTI</w:t>
      </w:r>
      <w:r w:rsidR="00F75832">
        <w:t xml:space="preserve"> operation</w:t>
      </w:r>
      <w:r w:rsidR="006B6620">
        <w:t>.</w:t>
      </w:r>
      <w:bookmarkEnd w:id="14"/>
      <w:bookmarkEnd w:id="15"/>
      <w:bookmarkEnd w:id="16"/>
      <w:bookmarkEnd w:id="17"/>
      <w:bookmarkEnd w:id="18"/>
      <w:bookmarkEnd w:id="19"/>
    </w:p>
    <w:p w14:paraId="2E0A16FB" w14:textId="77777777" w:rsidR="009C5B09" w:rsidRPr="009C5B09" w:rsidRDefault="009C5B09" w:rsidP="009C5B09">
      <w:pPr>
        <w:pStyle w:val="BodyText"/>
        <w:rPr>
          <w:lang w:val="en-US"/>
        </w:rPr>
      </w:pPr>
    </w:p>
    <w:p w14:paraId="20103A5C" w14:textId="662221BF" w:rsidR="00D22D54" w:rsidRDefault="00D22D54" w:rsidP="00FD2CE1">
      <w:pPr>
        <w:pStyle w:val="Heading2"/>
      </w:pPr>
      <w:r>
        <w:t>sPDCCH Candidates and Blind Decodes</w:t>
      </w:r>
    </w:p>
    <w:p w14:paraId="2BD983F4" w14:textId="18087687" w:rsidR="00523C4C" w:rsidRDefault="00D22D54" w:rsidP="000524D6">
      <w:r w:rsidRPr="00D22D54">
        <w:t xml:space="preserve">In Rel-8, four aggregation levels {1, 2, 4, 8} </w:t>
      </w:r>
      <w:r w:rsidR="00F10512">
        <w:t xml:space="preserve">are defined </w:t>
      </w:r>
      <w:r>
        <w:t xml:space="preserve">for PDCCH </w:t>
      </w:r>
      <w:r w:rsidRPr="00D22D54">
        <w:t>and the blind decode candidates for each of these aggregation levels for the UE sp</w:t>
      </w:r>
      <w:r>
        <w:t xml:space="preserve">ecific search space is fixed to {6, 6, 2, 2} </w:t>
      </w:r>
      <w:r w:rsidR="00E9153F">
        <w:t>respectively, i.e.</w:t>
      </w:r>
      <w:r>
        <w:t xml:space="preserve"> a total of 16 candidates in 1ms subframe </w:t>
      </w:r>
      <w:r w:rsidRPr="00D22D54">
        <w:t>for the UE sp</w:t>
      </w:r>
      <w:r>
        <w:t xml:space="preserve">ecific search space. The same principle </w:t>
      </w:r>
      <w:r w:rsidR="00AA09F9">
        <w:t xml:space="preserve">is </w:t>
      </w:r>
      <w:r>
        <w:t>also</w:t>
      </w:r>
      <w:r w:rsidR="00AA09F9">
        <w:t xml:space="preserve"> defined for</w:t>
      </w:r>
      <w:r>
        <w:t xml:space="preserve"> ePDCCH</w:t>
      </w:r>
      <w:r w:rsidR="00AA09F9">
        <w:t>, 16 candidates.</w:t>
      </w:r>
      <w:r w:rsidR="00E9153F">
        <w:t xml:space="preserve"> This leads to 32 blind decodes </w:t>
      </w:r>
      <w:r w:rsidR="00F10512">
        <w:t xml:space="preserve">(in USS) </w:t>
      </w:r>
      <w:r w:rsidR="00E9153F">
        <w:t xml:space="preserve">considering that a UE needs to monitor two different DCI sizes. </w:t>
      </w:r>
    </w:p>
    <w:p w14:paraId="2769B566" w14:textId="77777777" w:rsidR="008D7E22" w:rsidRDefault="00523C4C" w:rsidP="008D7E22">
      <w:pPr>
        <w:pStyle w:val="BodyText"/>
      </w:pPr>
      <w:r w:rsidRPr="00523C4C">
        <w:t>As agreed in RAN1#87, dynamic switching between short and 1 ms TTI is supported. This means that a UE has to search for both 1ms TTI assignment/grant and sTTI assignment/grant in a subframe. Since the UE will need to monitor additional candidates in the sPDCCH multiple times per subframe, the total number of blind decodes the UE needs to perform will increase</w:t>
      </w:r>
      <w:r>
        <w:t xml:space="preserve">. </w:t>
      </w:r>
      <w:r w:rsidR="008D7E22">
        <w:t xml:space="preserve">One should keep in mind that the processing capability since Rel-8 timeframe has increased, so some additional blind decodes per carrier should be possible for the UE to handle. </w:t>
      </w:r>
    </w:p>
    <w:p w14:paraId="63340B55" w14:textId="596B1CD9" w:rsidR="008D7E22" w:rsidRPr="008D7E22" w:rsidRDefault="008D7E22" w:rsidP="008D7E22">
      <w:pPr>
        <w:pStyle w:val="Observation"/>
        <w:rPr>
          <w:lang w:val="en-US"/>
        </w:rPr>
      </w:pPr>
      <w:bookmarkStart w:id="20" w:name="_Toc473120554"/>
      <w:bookmarkStart w:id="21" w:name="_Toc473120933"/>
      <w:bookmarkStart w:id="22" w:name="_Toc473121075"/>
      <w:bookmarkStart w:id="23" w:name="_Toc473619662"/>
      <w:bookmarkStart w:id="24" w:name="_Toc473620183"/>
      <w:bookmarkStart w:id="25" w:name="_Toc473622093"/>
      <w:bookmarkStart w:id="26" w:name="_Toc473625257"/>
      <w:bookmarkStart w:id="27" w:name="_Toc473744685"/>
      <w:bookmarkStart w:id="28" w:name="_Toc474155940"/>
      <w:bookmarkStart w:id="29" w:name="_Toc477786191"/>
      <w:bookmarkStart w:id="30" w:name="_Toc477786210"/>
      <w:bookmarkStart w:id="31" w:name="_Toc477850474"/>
      <w:bookmarkStart w:id="32" w:name="_Toc478146101"/>
      <w:bookmarkStart w:id="33" w:name="_Toc481760279"/>
      <w:bookmarkStart w:id="34" w:name="_Toc481760743"/>
      <w:bookmarkStart w:id="35" w:name="_Toc481760816"/>
      <w:bookmarkStart w:id="36" w:name="_Toc485912942"/>
      <w:bookmarkStart w:id="37" w:name="_Toc490240913"/>
      <w:r>
        <w:t>sTTI operation will require an increase in the number of blind decodes in the UE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7CBE89C" w14:textId="77777777" w:rsidR="008D7E22" w:rsidRDefault="008D7E22" w:rsidP="008D7E22">
      <w:pPr>
        <w:pStyle w:val="Proposal"/>
      </w:pPr>
      <w:bookmarkStart w:id="38" w:name="_Toc473120552"/>
      <w:bookmarkStart w:id="39" w:name="_Toc473120940"/>
      <w:bookmarkStart w:id="40" w:name="_Toc473121073"/>
      <w:bookmarkStart w:id="41" w:name="_Toc473619670"/>
      <w:bookmarkStart w:id="42" w:name="_Toc473620191"/>
      <w:bookmarkStart w:id="43" w:name="_Toc473622047"/>
      <w:bookmarkStart w:id="44" w:name="_Toc473622100"/>
      <w:bookmarkStart w:id="45" w:name="_Toc473625265"/>
      <w:bookmarkStart w:id="46" w:name="_Toc473625363"/>
      <w:bookmarkStart w:id="47" w:name="_Toc473744693"/>
      <w:bookmarkStart w:id="48" w:name="_Toc474155948"/>
      <w:bookmarkStart w:id="49" w:name="_Toc477786199"/>
      <w:bookmarkStart w:id="50" w:name="_Toc477850482"/>
      <w:bookmarkStart w:id="51" w:name="_Toc481760289"/>
      <w:bookmarkStart w:id="52" w:name="_Toc481760736"/>
      <w:bookmarkStart w:id="53" w:name="_Toc481760822"/>
      <w:bookmarkStart w:id="54" w:name="_Toc485912936"/>
      <w:bookmarkStart w:id="55" w:name="_Toc490240920"/>
      <w:r>
        <w:t>A</w:t>
      </w:r>
      <w:r w:rsidRPr="009413F8">
        <w:t xml:space="preserve">dditional blind decodes </w:t>
      </w:r>
      <w:r>
        <w:t xml:space="preserve">might </w:t>
      </w:r>
      <w:r w:rsidRPr="009413F8">
        <w:t>be defined for sTTI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190A269" w14:textId="58F8168B" w:rsidR="00E9153F" w:rsidRDefault="00E9153F" w:rsidP="000524D6"/>
    <w:p w14:paraId="30B46191" w14:textId="7A3A74C6" w:rsidR="00523C4C" w:rsidRDefault="00523C4C" w:rsidP="00523C4C">
      <w:pPr>
        <w:pStyle w:val="BodyText"/>
      </w:pPr>
      <w:r>
        <w:t xml:space="preserve">As a general principle, the same UE capabilities and thus the same number of required blind decodes for sTTI operation should be targeted for both FS1 and FS2. The solutions to limit the number of blind decodes may be slightly different for FS1 and FS2. But the requirements in terms of number of blind decodes per sTTI should be the same in FS1 and FS2 assuming the same sTTI length. </w:t>
      </w:r>
    </w:p>
    <w:p w14:paraId="2F9ECA10" w14:textId="77777777" w:rsidR="00523C4C" w:rsidRDefault="00523C4C" w:rsidP="00523C4C">
      <w:pPr>
        <w:pStyle w:val="BodyText"/>
      </w:pPr>
    </w:p>
    <w:p w14:paraId="130FBBCA" w14:textId="11475A7C" w:rsidR="00523C4C" w:rsidRPr="00523C4C" w:rsidRDefault="00523C4C" w:rsidP="00523C4C">
      <w:pPr>
        <w:pStyle w:val="Proposal"/>
        <w:rPr>
          <w:lang w:val="en-US"/>
        </w:rPr>
      </w:pPr>
      <w:bookmarkStart w:id="56" w:name="_Toc450816519"/>
      <w:bookmarkStart w:id="57" w:name="_Toc450817011"/>
      <w:bookmarkStart w:id="58" w:name="_Toc450891032"/>
      <w:bookmarkStart w:id="59" w:name="_Toc453742863"/>
      <w:bookmarkStart w:id="60" w:name="_Toc457982783"/>
      <w:bookmarkStart w:id="61" w:name="_Toc457984543"/>
      <w:bookmarkStart w:id="62" w:name="_Toc458581909"/>
      <w:bookmarkStart w:id="63" w:name="_Toc458582177"/>
      <w:bookmarkStart w:id="64" w:name="_Toc458582339"/>
      <w:bookmarkStart w:id="65" w:name="_Toc458603724"/>
      <w:bookmarkStart w:id="66" w:name="_Toc458691281"/>
      <w:bookmarkStart w:id="67" w:name="_Toc462673084"/>
      <w:bookmarkStart w:id="68" w:name="_Toc462822628"/>
      <w:bookmarkStart w:id="69" w:name="_Toc462822643"/>
      <w:bookmarkStart w:id="70" w:name="_Toc462822794"/>
      <w:bookmarkStart w:id="71" w:name="_Toc465436895"/>
      <w:bookmarkStart w:id="72" w:name="_Toc473119460"/>
      <w:bookmarkStart w:id="73" w:name="_Toc473120553"/>
      <w:bookmarkStart w:id="74" w:name="_Toc473120941"/>
      <w:bookmarkStart w:id="75" w:name="_Toc473121074"/>
      <w:bookmarkStart w:id="76" w:name="_Toc473619671"/>
      <w:bookmarkStart w:id="77" w:name="_Toc473620192"/>
      <w:bookmarkStart w:id="78" w:name="_Toc473622048"/>
      <w:bookmarkStart w:id="79" w:name="_Toc473622101"/>
      <w:bookmarkStart w:id="80" w:name="_Toc473625266"/>
      <w:bookmarkStart w:id="81" w:name="_Toc473625364"/>
      <w:bookmarkStart w:id="82" w:name="_Toc473744694"/>
      <w:bookmarkStart w:id="83" w:name="_Toc474155949"/>
      <w:bookmarkStart w:id="84" w:name="_Toc477786200"/>
      <w:bookmarkStart w:id="85" w:name="_Toc477850483"/>
      <w:bookmarkStart w:id="86" w:name="_Toc480880679"/>
      <w:bookmarkStart w:id="87" w:name="_Toc480880806"/>
      <w:bookmarkStart w:id="88" w:name="_Toc481097115"/>
      <w:bookmarkStart w:id="89" w:name="_Toc481494333"/>
      <w:bookmarkStart w:id="90" w:name="_Toc481759623"/>
      <w:bookmarkStart w:id="91" w:name="_Toc481760290"/>
      <w:bookmarkStart w:id="92" w:name="_Toc481760737"/>
      <w:bookmarkStart w:id="93" w:name="_Toc481760823"/>
      <w:bookmarkStart w:id="94" w:name="_Toc485912937"/>
      <w:bookmarkStart w:id="95" w:name="_Toc490240921"/>
      <w:r>
        <w:t>Target the s</w:t>
      </w:r>
      <w:r w:rsidRPr="00444F6A">
        <w:t xml:space="preserve">ame </w:t>
      </w:r>
      <w:r>
        <w:t xml:space="preserve">overall </w:t>
      </w:r>
      <w:r w:rsidRPr="00444F6A">
        <w:t>number of blind decodes</w:t>
      </w:r>
      <w:r>
        <w:t xml:space="preserve"> per sTTI</w:t>
      </w:r>
      <w:r w:rsidRPr="00444F6A">
        <w:t xml:space="preserve"> for FS1 and FS2</w:t>
      </w:r>
      <w:bookmarkEnd w:id="56"/>
      <w:bookmarkEnd w:id="57"/>
      <w:bookmarkEnd w:id="58"/>
      <w:bookmarkEnd w:id="59"/>
      <w:bookmarkEnd w:id="60"/>
      <w:bookmarkEnd w:id="61"/>
      <w:bookmarkEnd w:id="62"/>
      <w:bookmarkEnd w:id="63"/>
      <w:bookmarkEnd w:id="64"/>
      <w:bookmarkEnd w:id="65"/>
      <w:r>
        <w:t xml:space="preserve"> assuming the same sTTI length</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967102C" w14:textId="77777777" w:rsidR="00523C4C" w:rsidRPr="002E4C06" w:rsidRDefault="00523C4C" w:rsidP="00523C4C">
      <w:pPr>
        <w:pStyle w:val="Proposal"/>
        <w:numPr>
          <w:ilvl w:val="0"/>
          <w:numId w:val="0"/>
        </w:numPr>
        <w:ind w:left="1701"/>
        <w:rPr>
          <w:lang w:val="en-US"/>
        </w:rPr>
      </w:pPr>
    </w:p>
    <w:p w14:paraId="7D67E005" w14:textId="58C59405" w:rsidR="00D22D54" w:rsidRDefault="00E9153F" w:rsidP="000524D6">
      <w:r>
        <w:t xml:space="preserve">In 2 OFDM symbol sTTI, there are six sTTI within 1ms subframe. </w:t>
      </w:r>
      <w:r w:rsidR="00B70F7A">
        <w:t xml:space="preserve">If a maximum of </w:t>
      </w:r>
      <w:r w:rsidR="00DA616B">
        <w:t xml:space="preserve">six </w:t>
      </w:r>
      <w:r w:rsidR="00B70F7A">
        <w:t xml:space="preserve">sPDCCH candidates is considered </w:t>
      </w:r>
      <w:r w:rsidR="00F75832">
        <w:t>for</w:t>
      </w:r>
      <w:r w:rsidR="00E87A02">
        <w:t xml:space="preserve"> </w:t>
      </w:r>
      <w:r w:rsidR="00B70F7A">
        <w:t>each sTTI and assuming same DL/UL sDCI sizes, the UE would need to monitor additionally 36 candidates within 1ms subframe for sTTI operation. If the DL/UL sDCI sizes are different, then 72 additional candidates will need to be monitored. This</w:t>
      </w:r>
      <w:r w:rsidR="00CE0A6F">
        <w:t>, however,</w:t>
      </w:r>
      <w:r w:rsidR="00B70F7A">
        <w:t xml:space="preserve"> </w:t>
      </w:r>
      <w:r w:rsidR="00101309">
        <w:t>would require</w:t>
      </w:r>
      <w:r w:rsidR="00B70F7A">
        <w:t xml:space="preserve"> high processing capabilities for the UEs to monitor all the PDCCH and sPDCCH candidates every 1ms subframe. </w:t>
      </w:r>
      <w:r w:rsidR="00CE0A6F">
        <w:t xml:space="preserve">Therefore, sTTI operation should aim </w:t>
      </w:r>
      <w:r w:rsidR="00ED2F1D">
        <w:t xml:space="preserve">at </w:t>
      </w:r>
      <w:r w:rsidR="00CE0A6F">
        <w:t xml:space="preserve">supporting </w:t>
      </w:r>
      <w:r w:rsidR="00F75832">
        <w:t>up to</w:t>
      </w:r>
      <w:r w:rsidR="00CE0A6F">
        <w:t xml:space="preserve"> </w:t>
      </w:r>
      <w:r w:rsidR="00DA616B">
        <w:t xml:space="preserve">six </w:t>
      </w:r>
      <w:r w:rsidR="00CE0A6F">
        <w:t>sPDCCH candidates per</w:t>
      </w:r>
      <w:r w:rsidR="008C7117">
        <w:t xml:space="preserve"> UE for each</w:t>
      </w:r>
      <w:r w:rsidR="00CE0A6F">
        <w:t xml:space="preserve"> </w:t>
      </w:r>
      <w:r w:rsidR="00C075C6">
        <w:t xml:space="preserve">2-symbol </w:t>
      </w:r>
      <w:r w:rsidR="00CE0A6F">
        <w:t>sTTI.</w:t>
      </w:r>
      <w:r w:rsidR="00F75832">
        <w:t xml:space="preserve"> </w:t>
      </w:r>
      <w:r w:rsidR="00C075C6">
        <w:t>Since th</w:t>
      </w:r>
      <w:r w:rsidR="00ED2F1D">
        <w:t>e</w:t>
      </w:r>
      <w:r w:rsidR="00C075C6">
        <w:t xml:space="preserve"> UE only needs to monitor sPDCCH in two sTTIs per subframe</w:t>
      </w:r>
      <w:r w:rsidR="004B1570">
        <w:t xml:space="preserve">, </w:t>
      </w:r>
      <w:r w:rsidR="00C075C6">
        <w:t xml:space="preserve"> the number can be higher for slot-based TTI. </w:t>
      </w:r>
      <w:r w:rsidR="00C075C6" w:rsidRPr="00C075C6">
        <w:t>Aiming at the same number of blind decodes for slot based sPDCCH as for 2os sPDCCH over a subframe, 18</w:t>
      </w:r>
      <w:r w:rsidR="004B1570">
        <w:t xml:space="preserve"> candidates</w:t>
      </w:r>
      <w:r w:rsidR="00C075C6" w:rsidRPr="00C075C6">
        <w:t xml:space="preserve"> per slot TTI </w:t>
      </w:r>
      <w:r w:rsidR="00C075C6">
        <w:t>co</w:t>
      </w:r>
      <w:r w:rsidR="00C075C6" w:rsidRPr="00C075C6">
        <w:t>uld be aimed for slot sPDCCH.</w:t>
      </w:r>
    </w:p>
    <w:p w14:paraId="0B3A36AE" w14:textId="77777777" w:rsidR="00523C4C" w:rsidRDefault="00523C4C" w:rsidP="000524D6"/>
    <w:p w14:paraId="72DAE67F" w14:textId="58BB911C" w:rsidR="00CE0A6F" w:rsidRDefault="00CE0A6F" w:rsidP="00CE0A6F">
      <w:pPr>
        <w:pStyle w:val="Proposal"/>
      </w:pPr>
      <w:bookmarkStart w:id="96" w:name="_Toc481759624"/>
      <w:bookmarkStart w:id="97" w:name="_Toc481760291"/>
      <w:bookmarkStart w:id="98" w:name="_Toc481760738"/>
      <w:bookmarkStart w:id="99" w:name="_Toc481760824"/>
      <w:bookmarkStart w:id="100" w:name="_Toc485912938"/>
      <w:bookmarkStart w:id="101" w:name="_Hlk489543830"/>
      <w:bookmarkStart w:id="102" w:name="_Toc490240922"/>
      <w:r w:rsidRPr="00CE0A6F">
        <w:t>sTTI operation support</w:t>
      </w:r>
      <w:r>
        <w:t>s</w:t>
      </w:r>
      <w:r w:rsidRPr="00CE0A6F">
        <w:t xml:space="preserve"> </w:t>
      </w:r>
      <w:r w:rsidR="007A5B1B">
        <w:t xml:space="preserve">up to </w:t>
      </w:r>
      <w:r w:rsidRPr="00CE0A6F">
        <w:t xml:space="preserve">6 sPDCCH candidates per </w:t>
      </w:r>
      <w:r w:rsidR="008C7117">
        <w:t xml:space="preserve">UE for each </w:t>
      </w:r>
      <w:r w:rsidR="00583B4E">
        <w:t xml:space="preserve">2-OFDM symbol </w:t>
      </w:r>
      <w:r w:rsidRPr="00CE0A6F">
        <w:t>sTTI</w:t>
      </w:r>
      <w:bookmarkEnd w:id="96"/>
      <w:bookmarkEnd w:id="97"/>
      <w:bookmarkEnd w:id="98"/>
      <w:bookmarkEnd w:id="99"/>
      <w:bookmarkEnd w:id="100"/>
      <w:bookmarkEnd w:id="101"/>
      <w:bookmarkEnd w:id="102"/>
    </w:p>
    <w:p w14:paraId="5C3CFAF8" w14:textId="3A09CFBC" w:rsidR="00C075C6" w:rsidRDefault="00C075C6" w:rsidP="00CE0A6F">
      <w:pPr>
        <w:pStyle w:val="Proposal"/>
      </w:pPr>
      <w:bookmarkStart w:id="103" w:name="_Toc485912939"/>
      <w:bookmarkStart w:id="104" w:name="_Toc490240923"/>
      <w:r>
        <w:lastRenderedPageBreak/>
        <w:t xml:space="preserve">sTTI operation for </w:t>
      </w:r>
      <w:r w:rsidR="004B1570">
        <w:t>1-</w:t>
      </w:r>
      <w:r>
        <w:t>slot sTTI can support a larger number of candidates than 2-symbol sTTI</w:t>
      </w:r>
      <w:bookmarkEnd w:id="103"/>
      <w:bookmarkEnd w:id="104"/>
    </w:p>
    <w:p w14:paraId="6F196D9A" w14:textId="1FEAF667" w:rsidR="00CE0A6F" w:rsidRDefault="00CE0A6F" w:rsidP="000524D6"/>
    <w:p w14:paraId="1AB8C845" w14:textId="25BE28F9" w:rsidR="00144E40" w:rsidRDefault="00D80534" w:rsidP="000524D6">
      <w:r>
        <w:t xml:space="preserve">As it was agreed that a </w:t>
      </w:r>
      <w:r w:rsidRPr="00E87A02">
        <w:t>UE can be configured to monit</w:t>
      </w:r>
      <w:r>
        <w:t xml:space="preserve">or at most two sPDCCH-RB-set(s), then </w:t>
      </w:r>
      <w:r w:rsidR="001E3971">
        <w:t>f</w:t>
      </w:r>
      <w:r w:rsidR="00504778">
        <w:t>or each sPDCCH</w:t>
      </w:r>
      <w:r>
        <w:t>-</w:t>
      </w:r>
      <w:r w:rsidR="00504778">
        <w:t>RB</w:t>
      </w:r>
      <w:r>
        <w:t>-</w:t>
      </w:r>
      <w:r w:rsidR="00504778">
        <w:t>set the number of sPDCCH candidates for each AL should be configured. The total number of sPDCCH candidates (</w:t>
      </w:r>
      <w:r w:rsidR="001E3971">
        <w:t>including</w:t>
      </w:r>
      <w:r w:rsidR="00504778">
        <w:t xml:space="preserve"> any AL)</w:t>
      </w:r>
      <w:r w:rsidR="001F66D0">
        <w:t xml:space="preserve">, say </w:t>
      </w:r>
      <w:r w:rsidR="001F66D0" w:rsidRPr="00FD2CE1">
        <w:rPr>
          <w:i/>
        </w:rPr>
        <w:t>M</w:t>
      </w:r>
      <w:r w:rsidR="00504778">
        <w:t xml:space="preserve">, cannot exceed the </w:t>
      </w:r>
      <w:r w:rsidR="001E3971">
        <w:t>maximum</w:t>
      </w:r>
      <w:r w:rsidR="00504778">
        <w:t xml:space="preserve"> number of blind decodes</w:t>
      </w:r>
      <w:r w:rsidR="001E3971">
        <w:t xml:space="preserve"> </w:t>
      </w:r>
      <w:r w:rsidR="00504778">
        <w:t xml:space="preserve">supported by a sTTI UE in a given sTTI. Since sTTI will introduce additional blind decodes, to exploit </w:t>
      </w:r>
      <w:r w:rsidR="001E3971">
        <w:t>efficiently</w:t>
      </w:r>
      <w:r w:rsidR="00504778">
        <w:t xml:space="preserve"> the available number of blind decodes, it appears essential to let the eNB distribute the sPDCCH candidates over the AL as most suitable for a UE considering channel and load situation. If </w:t>
      </w:r>
      <m:oMath>
        <m:sSup>
          <m:sSupPr>
            <m:ctrlPr>
              <w:rPr>
                <w:rFonts w:ascii="Cambria Math" w:hAnsi="Cambria Math"/>
                <w:i/>
              </w:rPr>
            </m:ctrlPr>
          </m:sSupPr>
          <m:e>
            <m:r>
              <w:rPr>
                <w:rFonts w:ascii="Cambria Math" w:hAnsi="Cambria Math"/>
              </w:rPr>
              <m:t>M</m:t>
            </m:r>
          </m:e>
          <m:sup>
            <m:r>
              <w:rPr>
                <w:rFonts w:ascii="Cambria Math" w:hAnsi="Cambria Math"/>
              </w:rPr>
              <m:t>(L)</m:t>
            </m:r>
          </m:sup>
        </m:sSup>
      </m:oMath>
      <w:r w:rsidR="00504778">
        <w:t xml:space="preserve"> is the number of sPDCCH candidates of AL </w:t>
      </w:r>
      <w:r w:rsidR="00504778" w:rsidRPr="00FD2CE1">
        <w:rPr>
          <w:i/>
        </w:rPr>
        <w:t>L</w:t>
      </w:r>
      <w:r w:rsidR="00504778">
        <w:t xml:space="preserve">, </w:t>
      </w:r>
      <w:r w:rsidR="001E3971">
        <w:t>sum(</w:t>
      </w:r>
      <m:oMath>
        <m:sSup>
          <m:sSupPr>
            <m:ctrlPr>
              <w:rPr>
                <w:rFonts w:ascii="Cambria Math" w:hAnsi="Cambria Math"/>
                <w:i/>
              </w:rPr>
            </m:ctrlPr>
          </m:sSupPr>
          <m:e>
            <m:r>
              <w:rPr>
                <w:rFonts w:ascii="Cambria Math" w:hAnsi="Cambria Math"/>
              </w:rPr>
              <m:t>M</m:t>
            </m:r>
          </m:e>
          <m:sup>
            <m:r>
              <w:rPr>
                <w:rFonts w:ascii="Cambria Math" w:hAnsi="Cambria Math"/>
              </w:rPr>
              <m:t>(L)</m:t>
            </m:r>
          </m:sup>
        </m:sSup>
      </m:oMath>
      <w:r w:rsidR="00504778">
        <w:t>) over all AL L</w:t>
      </w:r>
      <w:r w:rsidR="001E3971">
        <w:t xml:space="preserve"> is equal to</w:t>
      </w:r>
      <w:r w:rsidR="001F66D0">
        <w:t xml:space="preserve"> </w:t>
      </w:r>
      <w:r w:rsidR="001F66D0" w:rsidRPr="00FD2CE1">
        <w:rPr>
          <w:i/>
        </w:rPr>
        <w:t>M</w:t>
      </w:r>
      <w:r w:rsidR="00504778">
        <w:t>. For some AL</w:t>
      </w:r>
      <w:r w:rsidR="003C2ACE">
        <w:t>s</w:t>
      </w:r>
      <w:r w:rsidR="00504778">
        <w:t xml:space="preserve">, </w:t>
      </w:r>
      <m:oMath>
        <m:sSup>
          <m:sSupPr>
            <m:ctrlPr>
              <w:rPr>
                <w:rFonts w:ascii="Cambria Math" w:hAnsi="Cambria Math"/>
                <w:i/>
              </w:rPr>
            </m:ctrlPr>
          </m:sSupPr>
          <m:e>
            <m:r>
              <w:rPr>
                <w:rFonts w:ascii="Cambria Math" w:hAnsi="Cambria Math"/>
              </w:rPr>
              <m:t>M</m:t>
            </m:r>
          </m:e>
          <m:sup>
            <m:r>
              <w:rPr>
                <w:rFonts w:ascii="Cambria Math" w:hAnsi="Cambria Math"/>
              </w:rPr>
              <m:t>(L)</m:t>
            </m:r>
          </m:sup>
        </m:sSup>
      </m:oMath>
      <w:r w:rsidR="001E3971">
        <w:t xml:space="preserve"> </w:t>
      </w:r>
      <w:r w:rsidR="00504778">
        <w:t xml:space="preserve">can be small to put more </w:t>
      </w:r>
      <w:r w:rsidR="003C2ACE">
        <w:t>blind decoding effort</w:t>
      </w:r>
      <w:r w:rsidR="00504778">
        <w:t xml:space="preserve"> on other AL</w:t>
      </w:r>
      <w:r w:rsidR="003C2ACE">
        <w:t>s</w:t>
      </w:r>
      <w:r w:rsidR="00504778">
        <w:t xml:space="preserve"> which are considered more appropriate to the channel and load conditions. </w:t>
      </w:r>
      <w:r w:rsidR="003C2ACE">
        <w:t xml:space="preserve">Note that </w:t>
      </w:r>
      <m:oMath>
        <m:sSup>
          <m:sSupPr>
            <m:ctrlPr>
              <w:rPr>
                <w:rFonts w:ascii="Cambria Math" w:hAnsi="Cambria Math"/>
                <w:i/>
              </w:rPr>
            </m:ctrlPr>
          </m:sSupPr>
          <m:e>
            <m:r>
              <w:rPr>
                <w:rFonts w:ascii="Cambria Math" w:hAnsi="Cambria Math"/>
              </w:rPr>
              <m:t>M</m:t>
            </m:r>
          </m:e>
          <m:sup>
            <m:r>
              <w:rPr>
                <w:rFonts w:ascii="Cambria Math" w:hAnsi="Cambria Math"/>
              </w:rPr>
              <m:t>(L)</m:t>
            </m:r>
          </m:sup>
        </m:sSup>
      </m:oMath>
      <w:r w:rsidR="003C2ACE">
        <w:t xml:space="preserve"> can be set to 0 for some AL but not</w:t>
      </w:r>
      <w:r w:rsidR="001E3971">
        <w:t xml:space="preserve"> for</w:t>
      </w:r>
      <w:r w:rsidR="003C2ACE">
        <w:t xml:space="preserve"> all ALs.</w:t>
      </w:r>
    </w:p>
    <w:p w14:paraId="76AE639F" w14:textId="53D73AC8" w:rsidR="00D44E8C" w:rsidRDefault="00DA616B" w:rsidP="00D77F6F">
      <w:pPr>
        <w:pStyle w:val="BodyText"/>
      </w:pPr>
      <w:r>
        <w:t>For instance,</w:t>
      </w:r>
      <w:r w:rsidR="001E3971">
        <w:t xml:space="preserve"> </w:t>
      </w:r>
      <w:r w:rsidR="00504778">
        <w:t xml:space="preserve">considering up to six sPDCCH candidates per UE for each sTTI, </w:t>
      </w:r>
      <w:r w:rsidR="00506746" w:rsidRPr="00506746">
        <w:t xml:space="preserve">the </w:t>
      </w:r>
      <w:r w:rsidR="00AF3798">
        <w:t xml:space="preserve">number of </w:t>
      </w:r>
      <w:r w:rsidR="00506746" w:rsidRPr="00506746">
        <w:t>sPDCCH</w:t>
      </w:r>
      <w:r w:rsidR="00506746">
        <w:t xml:space="preserve"> candidates </w:t>
      </w:r>
      <w:r w:rsidR="00AF3798">
        <w:t>could</w:t>
      </w:r>
      <w:r w:rsidR="00506746">
        <w:t xml:space="preserve"> be defined as {</w:t>
      </w:r>
      <w:r w:rsidR="00504778">
        <w:t>3</w:t>
      </w:r>
      <w:r w:rsidR="00506746">
        <w:t xml:space="preserve">, </w:t>
      </w:r>
      <w:r w:rsidR="00AF3798">
        <w:t>2</w:t>
      </w:r>
      <w:r w:rsidR="00506746" w:rsidRPr="00506746">
        <w:t>, 1}</w:t>
      </w:r>
      <w:r w:rsidR="00AF3798">
        <w:t xml:space="preserve"> </w:t>
      </w:r>
      <w:r w:rsidR="00504778">
        <w:t xml:space="preserve">for aggregation levels {1, 2, 4} </w:t>
      </w:r>
      <w:r w:rsidR="00AF3798">
        <w:t xml:space="preserve">to yield a total of </w:t>
      </w:r>
      <w:r w:rsidR="00504778">
        <w:t>6</w:t>
      </w:r>
      <w:r w:rsidR="00AF3798">
        <w:t xml:space="preserve"> candidates per sTTI</w:t>
      </w:r>
      <w:r w:rsidR="00506746" w:rsidRPr="00506746">
        <w:t xml:space="preserve">. </w:t>
      </w:r>
      <w:r w:rsidR="00506746">
        <w:t xml:space="preserve">For the example </w:t>
      </w:r>
      <w:r w:rsidR="003C2ACE">
        <w:t xml:space="preserve">where </w:t>
      </w:r>
      <w:r w:rsidR="00506746">
        <w:t>aggregation level</w:t>
      </w:r>
      <w:r w:rsidR="003C2ACE">
        <w:t xml:space="preserve"> 1</w:t>
      </w:r>
      <w:r w:rsidR="00506746">
        <w:t xml:space="preserve"> </w:t>
      </w:r>
      <w:r w:rsidR="003C2ACE">
        <w:t xml:space="preserve">is considered too aggressive </w:t>
      </w:r>
      <w:r w:rsidR="00506746">
        <w:t xml:space="preserve">for a UE, </w:t>
      </w:r>
      <w:r w:rsidR="007F1EC4">
        <w:t xml:space="preserve">the </w:t>
      </w:r>
      <w:r w:rsidR="00AF3798">
        <w:t xml:space="preserve">number of </w:t>
      </w:r>
      <w:r w:rsidR="007F1EC4">
        <w:t xml:space="preserve">sPDCCH candidates </w:t>
      </w:r>
      <w:r w:rsidR="00AF3798">
        <w:t>could</w:t>
      </w:r>
      <w:r w:rsidR="007F1EC4">
        <w:t xml:space="preserve"> be defined as {</w:t>
      </w:r>
      <w:r w:rsidR="003C2ACE">
        <w:t>0, 4</w:t>
      </w:r>
      <w:r w:rsidR="007F1EC4">
        <w:t xml:space="preserve">, </w:t>
      </w:r>
      <w:r w:rsidR="003C2ACE">
        <w:t>2</w:t>
      </w:r>
      <w:r w:rsidR="007F1EC4">
        <w:t>}</w:t>
      </w:r>
      <w:r w:rsidR="003C2ACE">
        <w:t xml:space="preserve"> for aggregation levels {1, 2, 4}</w:t>
      </w:r>
      <w:r w:rsidR="007F1EC4">
        <w:t>.</w:t>
      </w:r>
    </w:p>
    <w:p w14:paraId="132DE510" w14:textId="45405D50" w:rsidR="00B33D1A" w:rsidRDefault="00B33D1A" w:rsidP="00D77F6F">
      <w:pPr>
        <w:pStyle w:val="BodyText"/>
      </w:pPr>
    </w:p>
    <w:p w14:paraId="2F13195F" w14:textId="09434673" w:rsidR="000C21CB" w:rsidRDefault="00D2016B" w:rsidP="000C21CB">
      <w:pPr>
        <w:pStyle w:val="Proposal"/>
      </w:pPr>
      <w:bookmarkStart w:id="105" w:name="_Toc490240924"/>
      <w:r>
        <w:t xml:space="preserve">For </w:t>
      </w:r>
      <w:r w:rsidR="000C21CB">
        <w:t>a RB</w:t>
      </w:r>
      <w:r w:rsidR="001E3971">
        <w:t>-</w:t>
      </w:r>
      <w:r w:rsidR="000C21CB">
        <w:t>set, the number of sPDCCH candidates per aggregation level is configured over RRC</w:t>
      </w:r>
      <w:bookmarkEnd w:id="105"/>
    </w:p>
    <w:p w14:paraId="51488D9E" w14:textId="77777777" w:rsidR="000C21CB" w:rsidRPr="00FD2CE1" w:rsidRDefault="000C21CB" w:rsidP="00D77F6F">
      <w:pPr>
        <w:pStyle w:val="BodyText"/>
      </w:pPr>
    </w:p>
    <w:p w14:paraId="4C35D8E1" w14:textId="24472D11" w:rsidR="00FC1D86" w:rsidRDefault="003235D3" w:rsidP="00FC1D86">
      <w:pPr>
        <w:pStyle w:val="BodyText"/>
        <w:rPr>
          <w:lang w:val="en-US"/>
        </w:rPr>
      </w:pPr>
      <w:r>
        <w:rPr>
          <w:lang w:val="en-US"/>
        </w:rPr>
        <w:t>As mentioned above, t</w:t>
      </w:r>
      <w:r w:rsidR="00584762">
        <w:rPr>
          <w:lang w:val="en-US"/>
        </w:rPr>
        <w:t xml:space="preserve">he number of sREG/sCCE is currently under </w:t>
      </w:r>
      <w:r w:rsidR="00584762" w:rsidRPr="00ED5C09">
        <w:rPr>
          <w:lang w:val="en-US"/>
        </w:rPr>
        <w:t>discussion [</w:t>
      </w:r>
      <w:r w:rsidRPr="00ED5C09">
        <w:rPr>
          <w:lang w:val="en-US"/>
        </w:rPr>
        <w:t>3</w:t>
      </w:r>
      <w:r w:rsidR="00584762" w:rsidRPr="00ED5C09">
        <w:rPr>
          <w:lang w:val="en-US"/>
        </w:rPr>
        <w:t>]. If</w:t>
      </w:r>
      <w:r w:rsidR="00584762">
        <w:rPr>
          <w:lang w:val="en-US"/>
        </w:rPr>
        <w:t xml:space="preserve"> a fixed number of sREG/sCCE is adopted by RAN1, it should be considered to make the number of monitored sPDCCH cand</w:t>
      </w:r>
      <w:r w:rsidR="005E6859">
        <w:rPr>
          <w:lang w:val="en-US"/>
        </w:rPr>
        <w:t>i</w:t>
      </w:r>
      <w:r w:rsidR="00584762">
        <w:rPr>
          <w:lang w:val="en-US"/>
        </w:rPr>
        <w:t xml:space="preserve">dates per AL vary according to the sTTI index. In sTTI with large RS overhead, more sPDCCH candidates of high AL </w:t>
      </w:r>
      <w:r w:rsidR="00977145">
        <w:rPr>
          <w:lang w:val="en-US"/>
        </w:rPr>
        <w:t xml:space="preserve">and fewer sPDCCH candidates of low AL </w:t>
      </w:r>
      <w:r w:rsidR="00584762">
        <w:rPr>
          <w:lang w:val="en-US"/>
        </w:rPr>
        <w:t>are needed compared to sTTI with low RS overhead.</w:t>
      </w:r>
      <w:r w:rsidR="00FC1D86">
        <w:rPr>
          <w:lang w:val="en-US"/>
        </w:rPr>
        <w:t xml:space="preserve"> Nevertheless, if </w:t>
      </w:r>
      <w:r w:rsidR="00FC1D86">
        <w:t>sTTI index dependent number of sREG/sCCE is adopted, the same number of sPDCCH candidates per AL can be configured to be monitored for all sTTIs. Thus, the implementation becomes simpler.</w:t>
      </w:r>
    </w:p>
    <w:p w14:paraId="4A581E0F" w14:textId="266ADCEB" w:rsidR="00584762" w:rsidRDefault="00584762" w:rsidP="00E30225">
      <w:pPr>
        <w:pStyle w:val="BodyText"/>
        <w:rPr>
          <w:lang w:val="en-US"/>
        </w:rPr>
      </w:pPr>
    </w:p>
    <w:p w14:paraId="244C0028" w14:textId="2B0ADB7B" w:rsidR="00977145" w:rsidRPr="008D7E22" w:rsidRDefault="004A0379" w:rsidP="00977145">
      <w:pPr>
        <w:pStyle w:val="Observation"/>
        <w:rPr>
          <w:lang w:val="en-US"/>
        </w:rPr>
      </w:pPr>
      <w:bookmarkStart w:id="106" w:name="_Toc490240914"/>
      <w:r>
        <w:rPr>
          <w:lang w:val="en-US"/>
        </w:rPr>
        <w:t>If</w:t>
      </w:r>
      <w:r w:rsidR="00977145">
        <w:rPr>
          <w:lang w:val="en-US"/>
        </w:rPr>
        <w:t xml:space="preserve"> a </w:t>
      </w:r>
      <w:r w:rsidR="00FC1D86">
        <w:t xml:space="preserve">sTTI index dependent number of sREG/sCCE </w:t>
      </w:r>
      <w:r w:rsidR="00977145">
        <w:rPr>
          <w:lang w:val="en-US"/>
        </w:rPr>
        <w:t xml:space="preserve">is adopted, the </w:t>
      </w:r>
      <w:r w:rsidR="00FC1D86">
        <w:rPr>
          <w:lang w:val="en-US"/>
        </w:rPr>
        <w:t xml:space="preserve">same </w:t>
      </w:r>
      <w:r w:rsidR="00977145">
        <w:rPr>
          <w:lang w:val="en-US"/>
        </w:rPr>
        <w:t xml:space="preserve">number of sPDCCH candidates per aggregation level </w:t>
      </w:r>
      <w:r w:rsidR="00FC1D86">
        <w:rPr>
          <w:lang w:val="en-US"/>
        </w:rPr>
        <w:t>is configured to be monitored for all sTTIs</w:t>
      </w:r>
      <w:bookmarkEnd w:id="106"/>
      <w:r w:rsidR="00FC1D86">
        <w:rPr>
          <w:lang w:val="en-US"/>
        </w:rPr>
        <w:t xml:space="preserve"> </w:t>
      </w:r>
    </w:p>
    <w:p w14:paraId="1DA00499" w14:textId="01474987" w:rsidR="00523C4C" w:rsidRDefault="00FC1D86" w:rsidP="00E30225">
      <w:pPr>
        <w:pStyle w:val="BodyText"/>
        <w:rPr>
          <w:lang w:val="en-US"/>
        </w:rPr>
      </w:pPr>
      <w:r>
        <w:rPr>
          <w:lang w:val="en-US"/>
        </w:rPr>
        <w:t xml:space="preserve">Furthermore, </w:t>
      </w:r>
      <w:r w:rsidR="007A4840">
        <w:rPr>
          <w:lang w:val="en-US"/>
        </w:rPr>
        <w:t xml:space="preserve">since multiple sPDCCH candidates are considered within the same sPDCCH-PRB-set </w:t>
      </w:r>
      <w:r>
        <w:rPr>
          <w:lang w:val="en-US"/>
        </w:rPr>
        <w:t>d</w:t>
      </w:r>
      <w:r w:rsidR="006A28CD">
        <w:rPr>
          <w:lang w:val="en-US"/>
        </w:rPr>
        <w:t>ifferent UEs should be able to share the same search space</w:t>
      </w:r>
      <w:r w:rsidR="005C0904">
        <w:rPr>
          <w:lang w:val="en-US"/>
        </w:rPr>
        <w:t xml:space="preserve"> region</w:t>
      </w:r>
      <w:r w:rsidR="007A4840">
        <w:rPr>
          <w:lang w:val="en-US"/>
        </w:rPr>
        <w:t>.</w:t>
      </w:r>
      <w:r w:rsidR="00FB7F0D">
        <w:rPr>
          <w:lang w:val="en-US"/>
        </w:rPr>
        <w:t xml:space="preserve"> </w:t>
      </w:r>
      <w:r w:rsidR="006A28CD">
        <w:rPr>
          <w:lang w:val="en-US"/>
        </w:rPr>
        <w:t xml:space="preserve">Hence, the eNB obtains enough flexibility for multiplexing </w:t>
      </w:r>
      <w:r w:rsidR="006A28CD" w:rsidRPr="006A28CD">
        <w:rPr>
          <w:lang w:val="en-US"/>
        </w:rPr>
        <w:t>the sDCI of several UEs</w:t>
      </w:r>
      <w:r w:rsidR="006A28CD">
        <w:rPr>
          <w:lang w:val="en-US"/>
        </w:rPr>
        <w:t>.</w:t>
      </w:r>
    </w:p>
    <w:p w14:paraId="37252F29" w14:textId="6B80888A" w:rsidR="006A28CD" w:rsidRDefault="006A28CD" w:rsidP="00E30225">
      <w:pPr>
        <w:pStyle w:val="BodyText"/>
        <w:rPr>
          <w:lang w:val="en-US"/>
        </w:rPr>
      </w:pPr>
    </w:p>
    <w:p w14:paraId="310AC2D4" w14:textId="7137D7A5" w:rsidR="006A28CD" w:rsidRDefault="006A28CD" w:rsidP="006A28CD">
      <w:pPr>
        <w:pStyle w:val="Proposal"/>
      </w:pPr>
      <w:bookmarkStart w:id="107" w:name="_Toc481759626"/>
      <w:bookmarkStart w:id="108" w:name="_Toc481760293"/>
      <w:bookmarkStart w:id="109" w:name="_Toc481760739"/>
      <w:bookmarkStart w:id="110" w:name="_Toc481760825"/>
      <w:bookmarkStart w:id="111" w:name="_Toc485912940"/>
      <w:bookmarkStart w:id="112" w:name="_Toc490240925"/>
      <w:r>
        <w:t>Multiplexing of sPDCCH for different UEs within the same search space region is supported for sTTI operation</w:t>
      </w:r>
      <w:bookmarkEnd w:id="107"/>
      <w:bookmarkEnd w:id="108"/>
      <w:bookmarkEnd w:id="109"/>
      <w:bookmarkEnd w:id="110"/>
      <w:bookmarkEnd w:id="111"/>
      <w:bookmarkEnd w:id="112"/>
    </w:p>
    <w:p w14:paraId="0517BD14" w14:textId="11380B6F" w:rsidR="00523C4C" w:rsidRDefault="00523C4C" w:rsidP="00E30225">
      <w:pPr>
        <w:pStyle w:val="BodyText"/>
        <w:rPr>
          <w:lang w:val="en-US"/>
        </w:rPr>
      </w:pPr>
    </w:p>
    <w:p w14:paraId="7B2B8DBA" w14:textId="77777777" w:rsidR="00E30225" w:rsidRDefault="00E30225" w:rsidP="00FD2CE1">
      <w:pPr>
        <w:pStyle w:val="Heading2"/>
      </w:pPr>
      <w:r>
        <w:t>Limiting blind decodes on PDCCH</w:t>
      </w:r>
    </w:p>
    <w:p w14:paraId="50E920CA" w14:textId="3492B9EE" w:rsidR="00017E13" w:rsidRDefault="006306F0" w:rsidP="006306F0">
      <w:pPr>
        <w:pStyle w:val="BodyText"/>
      </w:pPr>
      <w:r>
        <w:t>Since</w:t>
      </w:r>
      <w:r w:rsidRPr="006306F0">
        <w:rPr>
          <w:lang w:val="en-US"/>
        </w:rPr>
        <w:t xml:space="preserve"> PDCCH can be used to tr</w:t>
      </w:r>
      <w:r>
        <w:rPr>
          <w:lang w:val="en-US"/>
        </w:rPr>
        <w:t xml:space="preserve">ansmit sDCI and </w:t>
      </w:r>
      <w:r>
        <w:t>dynamic switching between short and 1 ms TTI is supported, a UE has to search for both 1ms DCI and sDCI in PDCCH</w:t>
      </w:r>
      <w:r w:rsidR="00E6159C">
        <w:t xml:space="preserve"> in every subframe</w:t>
      </w:r>
      <w:r>
        <w:t xml:space="preserve">. Consequently, </w:t>
      </w:r>
      <w:r w:rsidR="00017E13">
        <w:t>the total number of blind decodes in PDCCH may increase. A way to limit the number of blind decodes may be to target a common format for short</w:t>
      </w:r>
      <w:r w:rsidR="00523C4C">
        <w:t xml:space="preserve"> TTI</w:t>
      </w:r>
      <w:r w:rsidR="00017E13">
        <w:t xml:space="preserve"> and 1 ms TTI.</w:t>
      </w:r>
      <w:r w:rsidR="00F665DB">
        <w:t xml:space="preserve"> Another way is to define a search space for sDCI sent on PDCCH as a subset set of the seach space for 1ms TTI DCI.</w:t>
      </w:r>
    </w:p>
    <w:p w14:paraId="65513060" w14:textId="57AD806E" w:rsidR="00017E13" w:rsidRDefault="00017E13" w:rsidP="003C1406">
      <w:pPr>
        <w:pStyle w:val="Observation"/>
      </w:pPr>
      <w:bookmarkStart w:id="113" w:name="_Toc473120555"/>
      <w:bookmarkStart w:id="114" w:name="_Toc473120934"/>
      <w:bookmarkStart w:id="115" w:name="_Toc473121076"/>
      <w:bookmarkStart w:id="116" w:name="_Toc473619663"/>
      <w:bookmarkStart w:id="117" w:name="_Toc473620184"/>
      <w:bookmarkStart w:id="118" w:name="_Toc473622094"/>
      <w:bookmarkStart w:id="119" w:name="_Toc473625258"/>
      <w:bookmarkStart w:id="120" w:name="_Toc473744686"/>
      <w:bookmarkStart w:id="121" w:name="_Toc474155941"/>
      <w:bookmarkStart w:id="122" w:name="_Toc477786192"/>
      <w:bookmarkStart w:id="123" w:name="_Toc477786211"/>
      <w:bookmarkStart w:id="124" w:name="_Toc477850475"/>
      <w:bookmarkStart w:id="125" w:name="_Toc478146102"/>
      <w:bookmarkStart w:id="126" w:name="_Toc480880671"/>
      <w:bookmarkStart w:id="127" w:name="_Toc480880798"/>
      <w:bookmarkStart w:id="128" w:name="_Toc481097122"/>
      <w:bookmarkStart w:id="129" w:name="_Toc481494327"/>
      <w:bookmarkStart w:id="130" w:name="_Toc481759620"/>
      <w:bookmarkStart w:id="131" w:name="_Toc481760280"/>
      <w:bookmarkStart w:id="132" w:name="_Toc481760745"/>
      <w:bookmarkStart w:id="133" w:name="_Toc481760818"/>
      <w:bookmarkStart w:id="134" w:name="_Toc485912944"/>
      <w:bookmarkStart w:id="135" w:name="_Toc490240915"/>
      <w:r>
        <w:t>Having the same format for short TTI and 1ms TTI in PDCCH USS will limit number of blind decodes in PDCCH</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31721CA" w14:textId="65EF1AEA" w:rsidR="00F665DB" w:rsidRPr="007B05CF" w:rsidRDefault="00F665DB" w:rsidP="00F665DB">
      <w:pPr>
        <w:pStyle w:val="Observation"/>
      </w:pPr>
      <w:bookmarkStart w:id="136" w:name="_Toc481760281"/>
      <w:bookmarkStart w:id="137" w:name="_Toc481760746"/>
      <w:bookmarkStart w:id="138" w:name="_Toc481760819"/>
      <w:bookmarkStart w:id="139" w:name="_Toc485912945"/>
      <w:bookmarkStart w:id="140" w:name="_Toc490240916"/>
      <w:r>
        <w:t>The search space of sDCI in PDCCH can be a subset of the search space for 1ms TTI DCI</w:t>
      </w:r>
      <w:bookmarkEnd w:id="136"/>
      <w:bookmarkEnd w:id="137"/>
      <w:bookmarkEnd w:id="138"/>
      <w:bookmarkEnd w:id="139"/>
      <w:bookmarkEnd w:id="140"/>
    </w:p>
    <w:p w14:paraId="3624F160" w14:textId="63B625FB" w:rsidR="00F665DB" w:rsidRPr="007B05CF" w:rsidRDefault="0064055A" w:rsidP="00FD2CE1">
      <w:pPr>
        <w:pStyle w:val="BodyText"/>
      </w:pPr>
      <w:r>
        <w:rPr>
          <w:rFonts w:eastAsiaTheme="minorEastAsia"/>
        </w:rPr>
        <w:t>It is possible to set</w:t>
      </w:r>
      <w:r>
        <w:rPr>
          <w:rFonts w:eastAsiaTheme="minorEastAsia" w:hint="eastAsia"/>
        </w:rPr>
        <w:t xml:space="preserve"> the </w:t>
      </w:r>
      <w:r w:rsidRPr="00385F17">
        <w:rPr>
          <w:rFonts w:eastAsiaTheme="minorEastAsia" w:hint="eastAsia"/>
        </w:rPr>
        <w:t>higher layer parameter</w:t>
      </w:r>
      <w:r w:rsidRPr="00904263">
        <w:rPr>
          <w:rFonts w:eastAsiaTheme="minorEastAsia" w:hint="eastAsia"/>
        </w:rPr>
        <w:t xml:space="preserve"> </w:t>
      </w:r>
      <w:r w:rsidRPr="00904263">
        <w:rPr>
          <w:i/>
        </w:rPr>
        <w:t>pdcch-candidateReductions</w:t>
      </w:r>
      <w:r>
        <w:rPr>
          <w:rFonts w:eastAsiaTheme="minorEastAsia" w:hint="eastAsia"/>
        </w:rPr>
        <w:t xml:space="preserve"> </w:t>
      </w:r>
      <w:r>
        <w:rPr>
          <w:rFonts w:eastAsiaTheme="minorEastAsia"/>
        </w:rPr>
        <w:t>to reduce the number of blind decodes f</w:t>
      </w:r>
      <w:r>
        <w:rPr>
          <w:rFonts w:eastAsiaTheme="minorEastAsia" w:hint="eastAsia"/>
        </w:rPr>
        <w:t xml:space="preserve">or PDCCH USS for monitoring 1ms DCI. </w:t>
      </w:r>
      <w:r>
        <w:rPr>
          <w:rFonts w:eastAsiaTheme="minorEastAsia"/>
        </w:rPr>
        <w:t xml:space="preserve">This should however not be mandated. Preferably, the eNB should be able to distribute the total number of blind decodes supported by a </w:t>
      </w:r>
      <w:r w:rsidR="00FC1D86">
        <w:rPr>
          <w:rFonts w:eastAsiaTheme="minorEastAsia"/>
        </w:rPr>
        <w:t>s</w:t>
      </w:r>
      <w:r>
        <w:rPr>
          <w:rFonts w:eastAsiaTheme="minorEastAsia"/>
        </w:rPr>
        <w:t>TTI UE in a subframe over the different sTTI RB set</w:t>
      </w:r>
      <w:r w:rsidR="008E389D">
        <w:rPr>
          <w:rFonts w:eastAsiaTheme="minorEastAsia"/>
        </w:rPr>
        <w:t>s</w:t>
      </w:r>
      <w:r>
        <w:rPr>
          <w:rFonts w:eastAsiaTheme="minorEastAsia"/>
        </w:rPr>
        <w:t xml:space="preserve"> and PDCCH. </w:t>
      </w:r>
    </w:p>
    <w:p w14:paraId="76B9C0F1" w14:textId="77777777" w:rsidR="00E30225" w:rsidRDefault="00E30225" w:rsidP="00FD2CE1">
      <w:pPr>
        <w:pStyle w:val="Heading2"/>
      </w:pPr>
      <w:r>
        <w:lastRenderedPageBreak/>
        <w:t>Limiting blind decodes on sPDCCH</w:t>
      </w:r>
    </w:p>
    <w:p w14:paraId="5FECF209" w14:textId="751A4C64" w:rsidR="00E76E18" w:rsidRDefault="003A5C65" w:rsidP="00E30225">
      <w:pPr>
        <w:pStyle w:val="BodyText"/>
        <w:rPr>
          <w:lang w:val="en-US"/>
        </w:rPr>
      </w:pPr>
      <w:r>
        <w:t xml:space="preserve">Uplink </w:t>
      </w:r>
      <w:r w:rsidR="00D17D6A">
        <w:t>g</w:t>
      </w:r>
      <w:r>
        <w:t>rants</w:t>
      </w:r>
      <w:r w:rsidR="00E30225">
        <w:t xml:space="preserve"> and </w:t>
      </w:r>
      <w:r>
        <w:t xml:space="preserve">downlink </w:t>
      </w:r>
      <w:r w:rsidR="000C635D">
        <w:t>assignments</w:t>
      </w:r>
      <w:r w:rsidR="00D17D6A">
        <w:t xml:space="preserve"> in</w:t>
      </w:r>
      <w:r w:rsidR="00E30225">
        <w:t xml:space="preserve"> </w:t>
      </w:r>
      <w:r w:rsidR="000C635D">
        <w:t>the</w:t>
      </w:r>
      <w:r w:rsidR="00E30225">
        <w:t xml:space="preserve"> DCI may in principle have slightly different fields, for instance </w:t>
      </w:r>
      <w:r>
        <w:t xml:space="preserve">dedicated bits for RVI and QCL are </w:t>
      </w:r>
      <w:r w:rsidR="00E30225">
        <w:t xml:space="preserve">needed in DL while not in UL. </w:t>
      </w:r>
      <w:r>
        <w:t>While uplink grants and downlink allocations might have different amount of bits needed in the DCIs</w:t>
      </w:r>
      <w:r w:rsidR="006821B0">
        <w:t>,</w:t>
      </w:r>
      <w:r>
        <w:t xml:space="preserve"> these formats will</w:t>
      </w:r>
      <w:r w:rsidR="00D17D6A">
        <w:t xml:space="preserve"> be</w:t>
      </w:r>
      <w:r>
        <w:t xml:space="preserve"> blindly decoded on the same </w:t>
      </w:r>
      <w:r w:rsidR="008657AB">
        <w:t>s</w:t>
      </w:r>
      <w:r>
        <w:t xml:space="preserve">CCEs. </w:t>
      </w:r>
      <w:r w:rsidR="006A28CD">
        <w:t>As already mentioned in 2.1.2, in order t</w:t>
      </w:r>
      <w:r w:rsidR="00E30225">
        <w:t xml:space="preserve">o limit blind decodes, </w:t>
      </w:r>
      <w:r>
        <w:t xml:space="preserve">the design of DCI formats should </w:t>
      </w:r>
      <w:r w:rsidR="00E30225">
        <w:t>aim for the same size for all grants</w:t>
      </w:r>
      <w:r w:rsidR="00D17D6A">
        <w:t xml:space="preserve"> and a bit field</w:t>
      </w:r>
      <w:r>
        <w:t xml:space="preserve"> indicating if the DCI is an uplink grant or downlink </w:t>
      </w:r>
      <w:r w:rsidR="000C635D">
        <w:t>assignment</w:t>
      </w:r>
      <w:r w:rsidR="00D17D6A">
        <w:t>. This approach is</w:t>
      </w:r>
      <w:r>
        <w:t xml:space="preserve"> similar to the flag for format</w:t>
      </w:r>
      <w:r w:rsidR="00D0088E">
        <w:t xml:space="preserve"> </w:t>
      </w:r>
      <w:r>
        <w:t>0</w:t>
      </w:r>
      <w:r w:rsidR="00D0088E">
        <w:t xml:space="preserve"> </w:t>
      </w:r>
      <w:r>
        <w:t>/</w:t>
      </w:r>
      <w:r w:rsidR="00D0088E">
        <w:t xml:space="preserve"> </w:t>
      </w:r>
      <w:r>
        <w:t>format</w:t>
      </w:r>
      <w:r w:rsidR="00D0088E">
        <w:t xml:space="preserve"> </w:t>
      </w:r>
      <w:r>
        <w:t xml:space="preserve">1A </w:t>
      </w:r>
      <w:r w:rsidR="00D17D6A">
        <w:t>differentiation;</w:t>
      </w:r>
      <w:r>
        <w:t xml:space="preserve"> see </w:t>
      </w:r>
      <w:r w:rsidR="00B47E43">
        <w:t xml:space="preserve">section 5.3.3.1.1 in </w:t>
      </w:r>
      <w:r w:rsidR="00B47E43">
        <w:fldChar w:fldCharType="begin"/>
      </w:r>
      <w:r w:rsidR="00B47E43">
        <w:instrText xml:space="preserve"> REF _Ref449699977 \r \h </w:instrText>
      </w:r>
      <w:r w:rsidR="00B47E43">
        <w:fldChar w:fldCharType="separate"/>
      </w:r>
      <w:r w:rsidR="00724FF6">
        <w:t>[1]</w:t>
      </w:r>
      <w:r w:rsidR="00B47E43">
        <w:fldChar w:fldCharType="end"/>
      </w:r>
      <w:r w:rsidR="00E30225">
        <w:t>.</w:t>
      </w:r>
      <w:r w:rsidR="00E30225" w:rsidRPr="0054383E">
        <w:rPr>
          <w:lang w:val="en-US"/>
        </w:rPr>
        <w:t xml:space="preserve"> </w:t>
      </w:r>
      <w:r w:rsidR="00B47E43">
        <w:rPr>
          <w:lang w:val="en-US"/>
        </w:rPr>
        <w:t xml:space="preserve">Here </w:t>
      </w:r>
      <w:r w:rsidR="00E30225">
        <w:rPr>
          <w:lang w:val="en-US"/>
        </w:rPr>
        <w:t>p</w:t>
      </w:r>
      <w:r w:rsidR="00E30225" w:rsidRPr="00FF7DD0">
        <w:rPr>
          <w:lang w:val="en-US"/>
        </w:rPr>
        <w:t xml:space="preserve">adding </w:t>
      </w:r>
      <w:r w:rsidR="00E30225">
        <w:rPr>
          <w:lang w:val="en-US"/>
        </w:rPr>
        <w:t xml:space="preserve">bits </w:t>
      </w:r>
      <w:r w:rsidR="00B47E43">
        <w:rPr>
          <w:lang w:val="en-US"/>
        </w:rPr>
        <w:t xml:space="preserve">can be used </w:t>
      </w:r>
      <w:r w:rsidR="00E30225">
        <w:rPr>
          <w:lang w:val="en-US"/>
        </w:rPr>
        <w:t xml:space="preserve">in addition to </w:t>
      </w:r>
      <w:r w:rsidR="00E30225" w:rsidRPr="00FF7DD0">
        <w:rPr>
          <w:lang w:val="en-US"/>
        </w:rPr>
        <w:t>indicating bits</w:t>
      </w:r>
      <w:r w:rsidR="00B47E43">
        <w:rPr>
          <w:lang w:val="en-US"/>
        </w:rPr>
        <w:t>,</w:t>
      </w:r>
      <w:r w:rsidR="00B47E43" w:rsidRPr="00B47E43">
        <w:rPr>
          <w:lang w:val="en-US"/>
        </w:rPr>
        <w:t xml:space="preserve"> </w:t>
      </w:r>
      <w:r w:rsidR="00B47E43">
        <w:rPr>
          <w:lang w:val="en-US"/>
        </w:rPr>
        <w:t xml:space="preserve">in case the number of required bits are different for uplink grants and downlink </w:t>
      </w:r>
      <w:r w:rsidR="000603D1">
        <w:t>assignments</w:t>
      </w:r>
      <w:r w:rsidR="00B82BD0">
        <w:rPr>
          <w:lang w:val="en-US"/>
        </w:rPr>
        <w:t>.</w:t>
      </w:r>
      <w:r w:rsidR="00D516AA">
        <w:rPr>
          <w:lang w:val="en-US"/>
        </w:rPr>
        <w:t xml:space="preserve"> </w:t>
      </w:r>
      <w:r w:rsidR="00C912DA">
        <w:rPr>
          <w:lang w:val="en-US"/>
        </w:rPr>
        <w:t>The single size approach is most attractive if the DL and UL sizes are of similar size. This will be dependent on the supported TX schemes and the DCI sizes required by the different schemes.</w:t>
      </w:r>
    </w:p>
    <w:p w14:paraId="200E29EC" w14:textId="5FADB379" w:rsidR="0016168E" w:rsidRPr="00A77441" w:rsidRDefault="0016168E" w:rsidP="0016168E">
      <w:pPr>
        <w:pStyle w:val="Observation"/>
        <w:rPr>
          <w:lang w:val="en-US"/>
        </w:rPr>
      </w:pPr>
      <w:bookmarkStart w:id="141" w:name="_Toc462822790"/>
      <w:bookmarkStart w:id="142" w:name="_Toc465436889"/>
      <w:bookmarkStart w:id="143" w:name="_Toc473119454"/>
      <w:bookmarkStart w:id="144" w:name="_Toc473120556"/>
      <w:bookmarkStart w:id="145" w:name="_Toc473120935"/>
      <w:bookmarkStart w:id="146" w:name="_Toc473121077"/>
      <w:bookmarkStart w:id="147" w:name="_Toc473619664"/>
      <w:bookmarkStart w:id="148" w:name="_Toc473620185"/>
      <w:bookmarkStart w:id="149" w:name="_Toc473622095"/>
      <w:bookmarkStart w:id="150" w:name="_Toc473625259"/>
      <w:bookmarkStart w:id="151" w:name="_Toc473744687"/>
      <w:bookmarkStart w:id="152" w:name="_Toc474155942"/>
      <w:bookmarkStart w:id="153" w:name="_Toc477786193"/>
      <w:bookmarkStart w:id="154" w:name="_Toc477786212"/>
      <w:bookmarkStart w:id="155" w:name="_Toc477850476"/>
      <w:bookmarkStart w:id="156" w:name="_Toc478146103"/>
      <w:bookmarkStart w:id="157" w:name="_Toc480880672"/>
      <w:bookmarkStart w:id="158" w:name="_Toc480880799"/>
      <w:bookmarkStart w:id="159" w:name="_Toc481097123"/>
      <w:bookmarkStart w:id="160" w:name="_Toc481494328"/>
      <w:bookmarkStart w:id="161" w:name="_Toc481759621"/>
      <w:bookmarkStart w:id="162" w:name="_Toc481760282"/>
      <w:bookmarkStart w:id="163" w:name="_Toc481760747"/>
      <w:bookmarkStart w:id="164" w:name="_Toc481760820"/>
      <w:bookmarkStart w:id="165" w:name="_Toc485912946"/>
      <w:bookmarkStart w:id="166" w:name="_Hlk489608542"/>
      <w:bookmarkStart w:id="167" w:name="_Toc490240917"/>
      <w:r>
        <w:rPr>
          <w:lang w:val="en-US"/>
        </w:rPr>
        <w:t xml:space="preserve">A single </w:t>
      </w:r>
      <w:r w:rsidRPr="00FF7DD0">
        <w:rPr>
          <w:lang w:val="en-US"/>
        </w:rPr>
        <w:t>size</w:t>
      </w:r>
      <w:r>
        <w:rPr>
          <w:lang w:val="en-US"/>
        </w:rPr>
        <w:t xml:space="preserve"> can be defined</w:t>
      </w:r>
      <w:r w:rsidRPr="00FF7DD0">
        <w:rPr>
          <w:lang w:val="en-US"/>
        </w:rPr>
        <w:t xml:space="preserve"> </w:t>
      </w:r>
      <w:r>
        <w:rPr>
          <w:lang w:val="en-US"/>
        </w:rPr>
        <w:t xml:space="preserve">for both DL and UL </w:t>
      </w:r>
      <w:r w:rsidR="006A28CD">
        <w:rPr>
          <w:lang w:val="en-US"/>
        </w:rPr>
        <w:t>s</w:t>
      </w:r>
      <w:r>
        <w:rPr>
          <w:lang w:val="en-US"/>
        </w:rPr>
        <w:t>DCI, in order to limit the number of blind decodes for the UE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7"/>
    </w:p>
    <w:bookmarkEnd w:id="166"/>
    <w:p w14:paraId="5A6B16BA" w14:textId="77777777" w:rsidR="0016168E" w:rsidRPr="00B82BD0" w:rsidRDefault="0016168E" w:rsidP="00E30225">
      <w:pPr>
        <w:pStyle w:val="BodyText"/>
        <w:rPr>
          <w:lang w:val="en-US"/>
        </w:rPr>
      </w:pPr>
    </w:p>
    <w:p w14:paraId="5953CF29" w14:textId="5E50E954" w:rsidR="0089370B" w:rsidRDefault="00C502E5" w:rsidP="00FD2CE1">
      <w:pPr>
        <w:pStyle w:val="Heading2"/>
        <w:rPr>
          <w:lang w:val="en-US"/>
        </w:rPr>
      </w:pPr>
      <w:r>
        <w:rPr>
          <w:lang w:val="en-US"/>
        </w:rPr>
        <w:t xml:space="preserve">sPDCCH candidate </w:t>
      </w:r>
      <w:r w:rsidR="00C769D4">
        <w:rPr>
          <w:lang w:val="en-US"/>
        </w:rPr>
        <w:t>to sCCE mapping</w:t>
      </w:r>
    </w:p>
    <w:p w14:paraId="0B4B8A97" w14:textId="77777777" w:rsidR="00AF329E" w:rsidRDefault="00AF329E" w:rsidP="00CF2B05">
      <w:pPr>
        <w:rPr>
          <w:rFonts w:eastAsiaTheme="minorEastAsia"/>
        </w:rPr>
      </w:pPr>
    </w:p>
    <w:p w14:paraId="68805BA3" w14:textId="0CC1CDFA" w:rsidR="005675F3" w:rsidRDefault="00EF0AED" w:rsidP="00AF329E">
      <w:pPr>
        <w:pStyle w:val="BodyText"/>
      </w:pPr>
      <w:r>
        <w:t xml:space="preserve">A </w:t>
      </w:r>
      <w:r w:rsidR="00AF329E">
        <w:t>sPDCCH-PRB-set</w:t>
      </w:r>
      <w:r>
        <w:t xml:space="preserve"> consist</w:t>
      </w:r>
      <w:r w:rsidR="005675F3">
        <w:t>s</w:t>
      </w:r>
      <w:r w:rsidR="00AF329E">
        <w:t xml:space="preserve"> of a set of sCCEs</w:t>
      </w:r>
      <w:r w:rsidR="00151099">
        <w:t>, which are</w:t>
      </w:r>
      <w:r w:rsidR="00AF329E">
        <w:t xml:space="preserve"> numbered from 0 to </w:t>
      </w:r>
      <m:oMath>
        <m:sSub>
          <m:sSubPr>
            <m:ctrlPr>
              <w:rPr>
                <w:rFonts w:ascii="Cambria Math" w:hAnsi="Cambria Math"/>
                <w:i/>
              </w:rPr>
            </m:ctrlPr>
          </m:sSubPr>
          <m:e>
            <m:r>
              <w:rPr>
                <w:rFonts w:ascii="Cambria Math" w:hAnsi="Cambria Math"/>
              </w:rPr>
              <m:t>N</m:t>
            </m:r>
          </m:e>
          <m:sub>
            <m:r>
              <w:rPr>
                <w:rFonts w:ascii="Cambria Math" w:hAnsi="Cambria Math"/>
              </w:rPr>
              <m:t>sCCE</m:t>
            </m:r>
          </m:sub>
        </m:sSub>
        <m:r>
          <w:rPr>
            <w:rFonts w:ascii="Cambria Math" w:hAnsi="Cambria Math"/>
          </w:rPr>
          <m:t>-1</m:t>
        </m:r>
      </m:oMath>
      <w:r w:rsidR="00AF329E">
        <w:t xml:space="preserve">, where </w:t>
      </w:r>
      <m:oMath>
        <m:sSub>
          <m:sSubPr>
            <m:ctrlPr>
              <w:rPr>
                <w:rFonts w:ascii="Cambria Math" w:hAnsi="Cambria Math"/>
                <w:i/>
              </w:rPr>
            </m:ctrlPr>
          </m:sSubPr>
          <m:e>
            <m:r>
              <w:rPr>
                <w:rFonts w:ascii="Cambria Math" w:hAnsi="Cambria Math"/>
              </w:rPr>
              <m:t>N</m:t>
            </m:r>
          </m:e>
          <m:sub>
            <m:r>
              <w:rPr>
                <w:rFonts w:ascii="Cambria Math" w:hAnsi="Cambria Math"/>
              </w:rPr>
              <m:t>sCCE</m:t>
            </m:r>
          </m:sub>
        </m:sSub>
      </m:oMath>
      <w:r w:rsidR="00AF329E">
        <w:t xml:space="preserve"> is the number of sCCEs in</w:t>
      </w:r>
      <w:r w:rsidR="0085071A">
        <w:t xml:space="preserve"> the sPDCCH-PRB-set</w:t>
      </w:r>
      <w:r w:rsidR="00AF329E">
        <w:t xml:space="preserve">. </w:t>
      </w:r>
      <w:r w:rsidR="005675F3">
        <w:t>Therefore, i</w:t>
      </w:r>
      <w:r w:rsidR="0085071A">
        <w:t xml:space="preserve">n order to </w:t>
      </w:r>
      <w:r w:rsidR="00F62CE6">
        <w:t>define with full flexibility the</w:t>
      </w:r>
      <w:r w:rsidR="0085071A">
        <w:t xml:space="preserve"> set of sPDCCH candidates within </w:t>
      </w:r>
      <w:r w:rsidR="00F62CE6">
        <w:t>the given</w:t>
      </w:r>
      <w:r w:rsidR="005675F3">
        <w:t xml:space="preserve"> sPDCCH-PRB-set</w:t>
      </w:r>
      <w:r w:rsidR="00FF0D49">
        <w:t xml:space="preserve"> for one UE </w:t>
      </w:r>
      <w:r w:rsidR="00F62CE6">
        <w:t>(</w:t>
      </w:r>
      <w:r w:rsidR="00FF0D49">
        <w:t>or multiple UEs sharing the same search space region</w:t>
      </w:r>
      <w:r w:rsidR="00F62CE6">
        <w:t xml:space="preserve">) </w:t>
      </w:r>
      <w:r w:rsidR="0085071A">
        <w:t xml:space="preserve">we propose </w:t>
      </w:r>
      <w:r w:rsidR="005675F3">
        <w:t>that the sCCEs corresponding to a sPDCCH candidate are</w:t>
      </w:r>
      <w:r w:rsidR="0085071A">
        <w:t xml:space="preserve"> based </w:t>
      </w:r>
      <w:r w:rsidR="00AF329E">
        <w:t xml:space="preserve">on the EPDCCH </w:t>
      </w:r>
      <w:r w:rsidR="005675F3">
        <w:t>definition</w:t>
      </w:r>
      <w:r w:rsidR="00AF329E">
        <w:t xml:space="preserve"> descr</w:t>
      </w:r>
      <w:r w:rsidR="00F62CE6">
        <w:t>ibed in Section 9 of TS 36.213.</w:t>
      </w:r>
    </w:p>
    <w:p w14:paraId="69FD1ED9" w14:textId="5D7C508F" w:rsidR="00AF329E" w:rsidRDefault="005675F3" w:rsidP="00AF329E">
      <w:pPr>
        <w:pStyle w:val="BodyText"/>
      </w:pPr>
      <w:r>
        <w:t xml:space="preserve">Hence, </w:t>
      </w:r>
      <w:r w:rsidR="00AF329E">
        <w:t xml:space="preserve">the sCCEs corresponding to an sPDCCH candidate </w:t>
      </w:r>
      <w:r w:rsidR="00AF329E">
        <w:rPr>
          <w:i/>
        </w:rPr>
        <w:t>m</w:t>
      </w:r>
      <w:r w:rsidR="00AF329E">
        <w:t xml:space="preserve"> within the UE-specific sTTI search space can be given by the following definition:</w:t>
      </w:r>
    </w:p>
    <w:p w14:paraId="2E956976" w14:textId="77777777" w:rsidR="00AF329E" w:rsidRDefault="00CD777D" w:rsidP="00AF329E">
      <w:pPr>
        <w:pStyle w:val="BodyText"/>
      </w:pPr>
      <w:r>
        <w:rPr>
          <w:noProof/>
        </w:rPr>
        <w:object w:dxaOrig="1440" w:dyaOrig="1440" w14:anchorId="5DF22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15.7pt;margin-top:11.5pt;width:218pt;height:46pt;z-index:251656704">
            <v:imagedata r:id="rId14" o:title=""/>
          </v:shape>
          <o:OLEObject Type="Embed" ProgID="Equation.3" ShapeID="_x0000_s1027" DrawAspect="Content" ObjectID="_1563983659" r:id="rId15"/>
        </w:object>
      </w:r>
    </w:p>
    <w:p w14:paraId="34FBACA9" w14:textId="77777777" w:rsidR="00AF329E" w:rsidRPr="00DE663A" w:rsidRDefault="00AF329E" w:rsidP="00AF329E">
      <w:pPr>
        <w:pStyle w:val="BodyText"/>
      </w:pPr>
    </w:p>
    <w:p w14:paraId="361B8C3D" w14:textId="77777777" w:rsidR="00AF329E" w:rsidRDefault="00AF329E" w:rsidP="00AF329E">
      <w:pPr>
        <w:pStyle w:val="BodyText"/>
      </w:pPr>
    </w:p>
    <w:p w14:paraId="59DFC684" w14:textId="77777777" w:rsidR="00AF329E" w:rsidRDefault="00AF329E" w:rsidP="00AF329E">
      <w:pPr>
        <w:spacing w:after="200" w:line="276" w:lineRule="auto"/>
      </w:pPr>
    </w:p>
    <w:p w14:paraId="78CFA54B" w14:textId="3110FA35" w:rsidR="00AF329E" w:rsidRDefault="00AF329E" w:rsidP="00AF329E">
      <w:r>
        <w:t>w</w:t>
      </w:r>
      <w:r w:rsidR="005675F3">
        <w:t xml:space="preserve">here </w:t>
      </w:r>
      <w:r w:rsidR="005675F3">
        <w:rPr>
          <w:i/>
        </w:rPr>
        <w:t>Y</w:t>
      </w:r>
      <w:r>
        <w:t xml:space="preserve"> </w:t>
      </w:r>
      <w:r w:rsidRPr="0081744B">
        <w:t>refers to an UE specific offset that can be configured by the network over RRC or can be based on UE RNTI. It allows multiplexing of sPDCCH candidates</w:t>
      </w:r>
      <w:r>
        <w:t xml:space="preserve"> as well as</w:t>
      </w:r>
      <w:r w:rsidRPr="0081744B">
        <w:t xml:space="preserve"> sharing the same search space region </w:t>
      </w:r>
      <w:r>
        <w:t>for</w:t>
      </w:r>
      <w:r w:rsidRPr="0081744B">
        <w:t xml:space="preserve"> different UEs. </w:t>
      </w:r>
      <w:r w:rsidRPr="00E11DF5">
        <w:rPr>
          <w:i/>
        </w:rPr>
        <w:t>L</w:t>
      </w:r>
      <w:r w:rsidRPr="0081744B">
        <w:t xml:space="preserve"> is aggregation level and </w:t>
      </w:r>
      <m:oMath>
        <m:r>
          <w:rPr>
            <w:rFonts w:ascii="Cambria Math" w:hAnsi="Cambria Math"/>
          </w:rPr>
          <m:t>i=0,…,L-1</m:t>
        </m:r>
      </m:oMath>
      <w:r w:rsidRPr="0081744B">
        <w:t xml:space="preserve">. </w:t>
      </w:r>
      <w:r>
        <w:t>This means that</w:t>
      </w:r>
      <w:r w:rsidRPr="0081744B">
        <w:t xml:space="preserve"> higher aggregation levels consist of consecutives sCCEs. If a UE is configured with a carrier indicator field, </w:t>
      </w:r>
      <w:r w:rsidRPr="00E11DF5">
        <w:rPr>
          <w:i/>
        </w:rPr>
        <w:t>b</w:t>
      </w:r>
      <w:r w:rsidRPr="0081744B">
        <w:t xml:space="preserve"> is equal to the carrier indicator field value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81744B">
        <w:t xml:space="preserve"> otherwise </w:t>
      </w:r>
      <w:r w:rsidRPr="00E11DF5">
        <w:rPr>
          <w:i/>
        </w:rPr>
        <w:t>b=0</w:t>
      </w:r>
      <w:r w:rsidRPr="0081744B">
        <w:t xml:space="preserve">. Respectively, the sPDCCH candidates are defined as </w:t>
      </w:r>
      <m:oMath>
        <m:r>
          <w:rPr>
            <w:rFonts w:ascii="Cambria Math" w:hAnsi="Cambria Math"/>
          </w:rPr>
          <m:t>m=0,1,…,</m:t>
        </m:r>
        <m:sSup>
          <m:sSupPr>
            <m:ctrlPr>
              <w:rPr>
                <w:rFonts w:ascii="Cambria Math" w:hAnsi="Cambria Math"/>
                <w:i/>
              </w:rPr>
            </m:ctrlPr>
          </m:sSupPr>
          <m:e>
            <m:r>
              <w:rPr>
                <w:rFonts w:ascii="Cambria Math" w:hAnsi="Cambria Math"/>
              </w:rPr>
              <m:t>M</m:t>
            </m:r>
          </m:e>
          <m:sup>
            <m:r>
              <w:rPr>
                <w:rFonts w:ascii="Cambria Math" w:hAnsi="Cambria Math"/>
              </w:rPr>
              <m:t>(L)</m:t>
            </m:r>
          </m:sup>
        </m:sSup>
        <m:r>
          <w:rPr>
            <w:rFonts w:ascii="Cambria Math" w:hAnsi="Cambria Math"/>
          </w:rPr>
          <m:t>-1</m:t>
        </m:r>
      </m:oMath>
      <w:r w:rsidRPr="0081744B">
        <w:t xml:space="preserve">, where </w:t>
      </w:r>
      <m:oMath>
        <m:sSup>
          <m:sSupPr>
            <m:ctrlPr>
              <w:rPr>
                <w:rFonts w:ascii="Cambria Math" w:hAnsi="Cambria Math"/>
                <w:i/>
              </w:rPr>
            </m:ctrlPr>
          </m:sSupPr>
          <m:e>
            <m:r>
              <w:rPr>
                <w:rFonts w:ascii="Cambria Math" w:hAnsi="Cambria Math"/>
              </w:rPr>
              <m:t>M</m:t>
            </m:r>
          </m:e>
          <m:sup>
            <m:r>
              <w:rPr>
                <w:rFonts w:ascii="Cambria Math" w:hAnsi="Cambria Math"/>
              </w:rPr>
              <m:t>(L)</m:t>
            </m:r>
          </m:sup>
        </m:sSup>
      </m:oMath>
      <w:r>
        <w:t xml:space="preserve"> </w:t>
      </w:r>
      <w:r w:rsidRPr="0081744B">
        <w:t>is the number of sPDCCH candidates to monitor for each configured aggregation lev</w:t>
      </w:r>
      <w:r w:rsidR="005675F3">
        <w:t>el L within the sPDCCH-PRB-set</w:t>
      </w:r>
      <w:r w:rsidRPr="0081744B">
        <w:t>.</w:t>
      </w:r>
    </w:p>
    <w:p w14:paraId="51052B4D" w14:textId="77777777" w:rsidR="00AF329E" w:rsidRDefault="00AF329E" w:rsidP="00AF329E"/>
    <w:p w14:paraId="1D3F7B83" w14:textId="52CF0632" w:rsidR="00A14AD1" w:rsidRDefault="00AF329E" w:rsidP="00AF329E">
      <w:r w:rsidRPr="004E2E61">
        <w:t>As an example,</w:t>
      </w:r>
      <w:r>
        <w:t xml:space="preserve"> </w:t>
      </w:r>
      <w:r>
        <w:fldChar w:fldCharType="begin"/>
      </w:r>
      <w:r>
        <w:instrText xml:space="preserve"> REF _Ref488411877 \h </w:instrText>
      </w:r>
      <w:r>
        <w:fldChar w:fldCharType="separate"/>
      </w:r>
      <w:r w:rsidRPr="00F73030">
        <w:t xml:space="preserve">Figure </w:t>
      </w:r>
      <w:r w:rsidRPr="00F73030">
        <w:rPr>
          <w:noProof/>
        </w:rPr>
        <w:t>5</w:t>
      </w:r>
      <w:r>
        <w:fldChar w:fldCharType="end"/>
      </w:r>
      <w:r>
        <w:t xml:space="preserve"> shows the</w:t>
      </w:r>
      <w:r w:rsidR="00836CFE">
        <w:t xml:space="preserve"> sPDCCH</w:t>
      </w:r>
      <w:r>
        <w:t xml:space="preserve"> candidates</w:t>
      </w:r>
      <w:r w:rsidR="00836CFE">
        <w:t xml:space="preserve"> based in previous definition</w:t>
      </w:r>
      <w:r>
        <w:t xml:space="preserve"> for two UEs (UE0 and UE1) </w:t>
      </w:r>
      <w:r w:rsidR="00836CFE">
        <w:t>sharing</w:t>
      </w:r>
      <w:r>
        <w:t xml:space="preserve"> the same sTTI search space region. This means that both UEs are configure</w:t>
      </w:r>
      <w:r w:rsidR="004E2E61">
        <w:t xml:space="preserve">d with the same sPDCCH-PRB-set, </w:t>
      </w:r>
      <w:r w:rsidR="003A3FB3" w:rsidRPr="003A3FB3">
        <w:t xml:space="preserve">The sPDCCH-PRB-set consists of eight sCCE (numbered from 0 to 7) and the UEs are configured with a total of </w:t>
      </w:r>
      <w:r w:rsidR="003A3FB3">
        <w:t>six</w:t>
      </w:r>
      <w:r w:rsidR="003A3FB3" w:rsidRPr="003A3FB3">
        <w:t xml:space="preserve"> sPDCCH candidates to be monitored for each short TTI</w:t>
      </w:r>
      <w:r>
        <w:t xml:space="preserve">. The aggregation levels and number of sPDCCH candidates per AL configured by the eNB for both UEs are the same: L = {1, 2, 4} and </w:t>
      </w:r>
      <m:oMath>
        <m:sSup>
          <m:sSupPr>
            <m:ctrlPr>
              <w:rPr>
                <w:rFonts w:ascii="Cambria Math" w:hAnsi="Cambria Math"/>
                <w:i/>
              </w:rPr>
            </m:ctrlPr>
          </m:sSupPr>
          <m:e>
            <m:r>
              <w:rPr>
                <w:rFonts w:ascii="Cambria Math" w:hAnsi="Cambria Math"/>
              </w:rPr>
              <m:t>M</m:t>
            </m:r>
          </m:e>
          <m:sup>
            <m:r>
              <w:rPr>
                <w:rFonts w:ascii="Cambria Math" w:hAnsi="Cambria Math"/>
              </w:rPr>
              <m:t>(L)</m:t>
            </m:r>
          </m:sup>
        </m:sSup>
      </m:oMath>
      <w:r w:rsidR="004E2E61">
        <w:t xml:space="preserve"> = {3, 2, 1</w:t>
      </w:r>
      <w:r>
        <w:t xml:space="preserve">}. The UE specific offset for UE0 is </w:t>
      </w:r>
      <m:oMath>
        <m:sSub>
          <m:sSubPr>
            <m:ctrlPr>
              <w:rPr>
                <w:rFonts w:ascii="Cambria Math" w:hAnsi="Cambria Math"/>
                <w:i/>
              </w:rPr>
            </m:ctrlPr>
          </m:sSubPr>
          <m:e>
            <m:r>
              <w:rPr>
                <w:rFonts w:ascii="Cambria Math" w:hAnsi="Cambria Math"/>
              </w:rPr>
              <m:t>Y</m:t>
            </m:r>
          </m:e>
          <m:sub>
            <m:r>
              <w:rPr>
                <w:rFonts w:ascii="Cambria Math" w:hAnsi="Cambria Math"/>
              </w:rPr>
              <m:t>UE0</m:t>
            </m:r>
          </m:sub>
        </m:sSub>
        <m:r>
          <w:rPr>
            <w:rFonts w:ascii="Cambria Math" w:hAnsi="Cambria Math"/>
          </w:rPr>
          <m:t>=0</m:t>
        </m:r>
      </m:oMath>
      <w:r>
        <w:t xml:space="preserve">, and the UE specific offset for UE1 is </w:t>
      </w:r>
      <m:oMath>
        <m:sSub>
          <m:sSubPr>
            <m:ctrlPr>
              <w:rPr>
                <w:rFonts w:ascii="Cambria Math" w:hAnsi="Cambria Math"/>
                <w:i/>
              </w:rPr>
            </m:ctrlPr>
          </m:sSubPr>
          <m:e>
            <m:r>
              <w:rPr>
                <w:rFonts w:ascii="Cambria Math" w:hAnsi="Cambria Math"/>
              </w:rPr>
              <m:t>Y</m:t>
            </m:r>
          </m:e>
          <m:sub>
            <m:r>
              <w:rPr>
                <w:rFonts w:ascii="Cambria Math" w:hAnsi="Cambria Math"/>
              </w:rPr>
              <m:t>_UE0</m:t>
            </m:r>
          </m:sub>
        </m:sSub>
        <m:r>
          <w:rPr>
            <w:rFonts w:ascii="Cambria Math" w:hAnsi="Cambria Math"/>
          </w:rPr>
          <m:t>=1</m:t>
        </m:r>
      </m:oMath>
      <w:r w:rsidR="00A14AD1">
        <w:t xml:space="preserve">. As depicted, each UE needs to monitor six </w:t>
      </w:r>
      <w:r w:rsidR="003A3FB3">
        <w:t xml:space="preserve">sPDCCH </w:t>
      </w:r>
      <w:r w:rsidR="00A14AD1">
        <w:t>candidates</w:t>
      </w:r>
      <w:r w:rsidR="003A3FB3">
        <w:t xml:space="preserve"> for each sTTI:</w:t>
      </w:r>
      <w:r w:rsidR="00A14AD1">
        <w:t xml:space="preserve"> {A, B, C} represent AL1 candidates,</w:t>
      </w:r>
      <w:r w:rsidR="003A3FB3">
        <w:t xml:space="preserve"> </w:t>
      </w:r>
      <w:r w:rsidR="003A3FB3" w:rsidRPr="003A3FB3">
        <w:t xml:space="preserve">wherein A corresponds to candidate </w:t>
      </w:r>
      <w:r w:rsidR="003A3FB3" w:rsidRPr="00FD2CE1">
        <w:rPr>
          <w:i/>
        </w:rPr>
        <w:t>m=0</w:t>
      </w:r>
      <w:r w:rsidR="003A3FB3" w:rsidRPr="003A3FB3">
        <w:t xml:space="preserve">, B to </w:t>
      </w:r>
      <w:r w:rsidR="003A3FB3" w:rsidRPr="00FD2CE1">
        <w:rPr>
          <w:i/>
        </w:rPr>
        <w:t>m=1</w:t>
      </w:r>
      <w:r w:rsidR="003A3FB3" w:rsidRPr="003A3FB3">
        <w:t xml:space="preserve"> and C to </w:t>
      </w:r>
      <w:r w:rsidR="003A3FB3" w:rsidRPr="00FD2CE1">
        <w:rPr>
          <w:i/>
        </w:rPr>
        <w:t>m=2</w:t>
      </w:r>
      <w:r w:rsidR="003A3FB3" w:rsidRPr="003A3FB3">
        <w:t>. Likewise,</w:t>
      </w:r>
      <w:r w:rsidR="00A14AD1">
        <w:t xml:space="preserve"> </w:t>
      </w:r>
      <w:r w:rsidR="00CA1C8C">
        <w:t>{D, E}</w:t>
      </w:r>
      <w:r w:rsidR="003A3FB3">
        <w:t xml:space="preserve"> represent </w:t>
      </w:r>
      <w:r w:rsidR="00CA1C8C">
        <w:t>AL2 candidates and {F} AL4 candidate.</w:t>
      </w:r>
    </w:p>
    <w:p w14:paraId="15736CA2" w14:textId="544AD8F1" w:rsidR="00AF329E" w:rsidRPr="00F45B81" w:rsidRDefault="00BF7E76" w:rsidP="00AF329E">
      <w:r>
        <w:t>In</w:t>
      </w:r>
      <w:r w:rsidR="00911CAC">
        <w:t xml:space="preserve"> </w:t>
      </w:r>
      <w:r w:rsidR="00911CAC">
        <w:fldChar w:fldCharType="begin"/>
      </w:r>
      <w:r w:rsidR="00911CAC">
        <w:instrText xml:space="preserve"> REF _Ref488411877 \h </w:instrText>
      </w:r>
      <w:r w:rsidR="00911CAC">
        <w:fldChar w:fldCharType="separate"/>
      </w:r>
      <w:r w:rsidR="00911CAC" w:rsidRPr="00F73030">
        <w:t xml:space="preserve">Figure </w:t>
      </w:r>
      <w:r w:rsidR="00911CAC" w:rsidRPr="00F73030">
        <w:rPr>
          <w:noProof/>
        </w:rPr>
        <w:t>5</w:t>
      </w:r>
      <w:r w:rsidR="00911CAC">
        <w:fldChar w:fldCharType="end"/>
      </w:r>
      <w:r w:rsidR="00F45B81">
        <w:t xml:space="preserve">, it can be observed that </w:t>
      </w:r>
      <w:r w:rsidR="0021180A">
        <w:t xml:space="preserve">defining </w:t>
      </w:r>
      <w:r w:rsidR="00F45B81">
        <w:t xml:space="preserve">the offset </w:t>
      </w:r>
      <w:r w:rsidR="00F45B81">
        <w:rPr>
          <w:i/>
        </w:rPr>
        <w:t>Y</w:t>
      </w:r>
      <w:r w:rsidR="00F45B81">
        <w:t xml:space="preserve"> </w:t>
      </w:r>
      <w:r w:rsidR="0021180A">
        <w:t>in a simple way it al</w:t>
      </w:r>
      <w:r w:rsidR="00F45B81">
        <w:t>ready</w:t>
      </w:r>
      <w:r w:rsidR="0021180A">
        <w:t xml:space="preserve"> </w:t>
      </w:r>
      <w:r w:rsidR="00E01DE5">
        <w:t>provides</w:t>
      </w:r>
      <w:r w:rsidR="00F45B81">
        <w:t xml:space="preserve"> </w:t>
      </w:r>
      <w:r w:rsidR="006570E8">
        <w:t>a</w:t>
      </w:r>
      <w:r w:rsidR="00F45B81">
        <w:t xml:space="preserve"> </w:t>
      </w:r>
      <w:r w:rsidR="006570E8">
        <w:t>proper</w:t>
      </w:r>
      <w:r w:rsidR="008C2B48">
        <w:t xml:space="preserve"> </w:t>
      </w:r>
      <w:r w:rsidR="00F45B81">
        <w:t>multiplex</w:t>
      </w:r>
      <w:r w:rsidR="006570E8">
        <w:t>ing of</w:t>
      </w:r>
      <w:r w:rsidR="008C2B48">
        <w:t xml:space="preserve"> sPDCCH candidates for different UEs sharing the same search space region.</w:t>
      </w:r>
    </w:p>
    <w:p w14:paraId="081B3D39" w14:textId="17CB92A6" w:rsidR="00AF329E" w:rsidRDefault="00A14AD1" w:rsidP="00AF329E">
      <w:pPr>
        <w:keepNext/>
        <w:jc w:val="center"/>
      </w:pPr>
      <w:r>
        <w:rPr>
          <w:noProof/>
          <w:lang w:val="sv-SE" w:eastAsia="sv-SE"/>
        </w:rPr>
        <w:lastRenderedPageBreak/>
        <w:drawing>
          <wp:inline distT="0" distB="0" distL="0" distR="0" wp14:anchorId="77C5BA40" wp14:editId="52A0A904">
            <wp:extent cx="5175849" cy="2144642"/>
            <wp:effectExtent l="0" t="0" r="635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86135" cy="2148904"/>
                    </a:xfrm>
                    <a:prstGeom prst="rect">
                      <a:avLst/>
                    </a:prstGeom>
                  </pic:spPr>
                </pic:pic>
              </a:graphicData>
            </a:graphic>
          </wp:inline>
        </w:drawing>
      </w:r>
    </w:p>
    <w:p w14:paraId="18087A4B" w14:textId="77777777" w:rsidR="00AF329E" w:rsidRDefault="00AF329E" w:rsidP="00AF329E">
      <w:pPr>
        <w:pStyle w:val="Caption"/>
      </w:pPr>
      <w:bookmarkStart w:id="168" w:name="_Ref488411877"/>
      <w:r w:rsidRPr="00F73030">
        <w:t xml:space="preserve">Figure </w:t>
      </w:r>
      <w:r w:rsidRPr="00F73030">
        <w:fldChar w:fldCharType="begin"/>
      </w:r>
      <w:r w:rsidRPr="00F73030">
        <w:instrText xml:space="preserve"> SEQ Figure \* ARABIC </w:instrText>
      </w:r>
      <w:r w:rsidRPr="00F73030">
        <w:fldChar w:fldCharType="separate"/>
      </w:r>
      <w:r w:rsidRPr="00F73030">
        <w:rPr>
          <w:noProof/>
        </w:rPr>
        <w:t>5</w:t>
      </w:r>
      <w:r w:rsidRPr="00F73030">
        <w:fldChar w:fldCharType="end"/>
      </w:r>
      <w:bookmarkEnd w:id="168"/>
      <w:r w:rsidRPr="00F73030">
        <w:t xml:space="preserve"> Example of sPDCCH candidates for two UEs sharing the same sTTI search space region</w:t>
      </w:r>
    </w:p>
    <w:p w14:paraId="184846C5" w14:textId="77777777" w:rsidR="00AF329E" w:rsidRDefault="00AF329E" w:rsidP="00AF329E">
      <w:pPr>
        <w:pStyle w:val="Proposal"/>
        <w:numPr>
          <w:ilvl w:val="0"/>
          <w:numId w:val="0"/>
        </w:numPr>
        <w:ind w:left="1701"/>
      </w:pPr>
    </w:p>
    <w:p w14:paraId="27CFBDE6" w14:textId="77777777" w:rsidR="00AF329E" w:rsidRDefault="00AF329E" w:rsidP="00AF329E">
      <w:pPr>
        <w:pStyle w:val="Proposal"/>
      </w:pPr>
      <w:bookmarkStart w:id="169" w:name="_Toc490240926"/>
      <w:r w:rsidRPr="001A4CA8">
        <w:t xml:space="preserve">sCCEs corresponding to an sPDCCH candidate </w:t>
      </w:r>
      <w:r w:rsidRPr="001A4CA8">
        <w:rPr>
          <w:i/>
        </w:rPr>
        <w:t>m</w:t>
      </w:r>
      <w:r w:rsidRPr="001A4CA8">
        <w:t xml:space="preserve"> within the UE-specific sTTI search space</w:t>
      </w:r>
      <w:r>
        <w:t xml:space="preserve"> are given by</w:t>
      </w:r>
      <w:bookmarkEnd w:id="169"/>
    </w:p>
    <w:p w14:paraId="67B4DB39" w14:textId="77777777" w:rsidR="00AF329E" w:rsidRDefault="00CD777D" w:rsidP="00AF329E">
      <w:pPr>
        <w:pStyle w:val="Proposal"/>
        <w:numPr>
          <w:ilvl w:val="0"/>
          <w:numId w:val="0"/>
        </w:numPr>
        <w:ind w:left="1701"/>
      </w:pPr>
      <w:bookmarkStart w:id="170" w:name="_Toc490240927"/>
      <w:r>
        <w:rPr>
          <w:noProof/>
          <w:lang w:val="en-US" w:eastAsia="en-US"/>
        </w:rPr>
        <w:object w:dxaOrig="1440" w:dyaOrig="1440" w14:anchorId="2E724B0F">
          <v:shape id="_x0000_s1028" type="#_x0000_t75" style="position:absolute;left:0;text-align:left;margin-left:154.15pt;margin-top:5.6pt;width:218pt;height:46pt;z-index:251657728">
            <v:imagedata r:id="rId17" o:title=""/>
          </v:shape>
          <o:OLEObject Type="Embed" ProgID="Equation.3" ShapeID="_x0000_s1028" DrawAspect="Content" ObjectID="_1563983660" r:id="rId18"/>
        </w:object>
      </w:r>
      <w:bookmarkEnd w:id="170"/>
    </w:p>
    <w:p w14:paraId="204AFC2A" w14:textId="77777777" w:rsidR="00AF329E" w:rsidRDefault="00AF329E" w:rsidP="00AF329E">
      <w:pPr>
        <w:pStyle w:val="Proposal"/>
        <w:numPr>
          <w:ilvl w:val="0"/>
          <w:numId w:val="0"/>
        </w:numPr>
        <w:ind w:left="1701"/>
      </w:pPr>
    </w:p>
    <w:p w14:paraId="77B8A4A8" w14:textId="77777777" w:rsidR="00AF329E" w:rsidRDefault="00AF329E" w:rsidP="00AF329E">
      <w:pPr>
        <w:pStyle w:val="Proposal"/>
        <w:numPr>
          <w:ilvl w:val="0"/>
          <w:numId w:val="0"/>
        </w:numPr>
        <w:ind w:left="1701" w:hanging="1701"/>
      </w:pPr>
    </w:p>
    <w:p w14:paraId="0191B33A" w14:textId="77777777" w:rsidR="00AF329E" w:rsidRDefault="00AF329E" w:rsidP="00AF329E">
      <w:pPr>
        <w:pStyle w:val="Proposal"/>
        <w:numPr>
          <w:ilvl w:val="0"/>
          <w:numId w:val="0"/>
        </w:numPr>
        <w:ind w:left="1701"/>
      </w:pPr>
    </w:p>
    <w:p w14:paraId="4D9564A7" w14:textId="4E1BCD61" w:rsidR="00AF329E" w:rsidRDefault="00AF329E" w:rsidP="00FD2CE1">
      <w:pPr>
        <w:pStyle w:val="Proposal"/>
        <w:numPr>
          <w:ilvl w:val="0"/>
          <w:numId w:val="0"/>
        </w:numPr>
        <w:ind w:left="1701"/>
      </w:pPr>
      <w:bookmarkStart w:id="171" w:name="_Toc490240928"/>
      <w:r>
        <w:t>w</w:t>
      </w:r>
      <w:r w:rsidRPr="0081744B">
        <w:t>here</w:t>
      </w:r>
      <w:r w:rsidR="001E62BB">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sCCE</m:t>
            </m:r>
          </m:sub>
        </m:sSub>
      </m:oMath>
      <w:r w:rsidR="001E62BB" w:rsidRPr="005675F3">
        <w:t xml:space="preserve"> is</w:t>
      </w:r>
      <w:r w:rsidR="001E62BB">
        <w:t xml:space="preserve"> the nu</w:t>
      </w:r>
      <w:r w:rsidR="005675F3">
        <w:t>mber of sCCEs in the sPDCCH-PRB-set</w:t>
      </w:r>
      <w:r w:rsidR="001E62BB">
        <w:t>,</w:t>
      </w:r>
      <w:r w:rsidRPr="0081744B">
        <w:t xml:space="preserve"> </w:t>
      </w:r>
      <w:r w:rsidR="005675F3">
        <w:rPr>
          <w:i/>
        </w:rPr>
        <w:t xml:space="preserve">Y </w:t>
      </w:r>
      <w:r w:rsidRPr="0081744B">
        <w:t>refers to an UE specific offset that can be configured by the network over RRC or can be based on UE RNTI. It allows multiplexing of sPDCCH candidates</w:t>
      </w:r>
      <w:r>
        <w:t xml:space="preserve"> as well as</w:t>
      </w:r>
      <w:r w:rsidRPr="0081744B">
        <w:t xml:space="preserve"> sharing the same search space region </w:t>
      </w:r>
      <w:r>
        <w:t>for</w:t>
      </w:r>
      <w:r w:rsidRPr="0081744B">
        <w:t xml:space="preserve"> different UEs. </w:t>
      </w:r>
      <w:r w:rsidRPr="00E11DF5">
        <w:rPr>
          <w:i/>
        </w:rPr>
        <w:t>L</w:t>
      </w:r>
      <w:r w:rsidRPr="0081744B">
        <w:t xml:space="preserve"> is aggregation level and </w:t>
      </w:r>
      <m:oMath>
        <m:r>
          <m:rPr>
            <m:sty m:val="bi"/>
          </m:rPr>
          <w:rPr>
            <w:rFonts w:ascii="Cambria Math" w:hAnsi="Cambria Math"/>
          </w:rPr>
          <m:t>i=0,…,L-1</m:t>
        </m:r>
      </m:oMath>
      <w:r w:rsidRPr="0081744B">
        <w:t xml:space="preserve">. </w:t>
      </w:r>
      <w:r>
        <w:t>This means that</w:t>
      </w:r>
      <w:r w:rsidRPr="0081744B">
        <w:t xml:space="preserve"> higher aggregation levels consist of consecutives sCCEs. If a UE is configured with a carrier indicator field, </w:t>
      </w:r>
      <w:r w:rsidRPr="00E11DF5">
        <w:rPr>
          <w:i/>
        </w:rPr>
        <w:t>b</w:t>
      </w:r>
      <w:r w:rsidRPr="0081744B">
        <w:t xml:space="preserve"> is equal to the carrier indicator field value </w:t>
      </w:r>
      <w:r>
        <w:t>(</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CI</m:t>
            </m:r>
          </m:sub>
        </m:sSub>
      </m:oMath>
      <w:r>
        <w:t>),</w:t>
      </w:r>
      <w:r w:rsidRPr="0081744B">
        <w:t xml:space="preserve"> otherwise </w:t>
      </w:r>
      <w:r w:rsidRPr="00E11DF5">
        <w:rPr>
          <w:i/>
        </w:rPr>
        <w:t>b=0</w:t>
      </w:r>
      <w:r w:rsidRPr="0081744B">
        <w:t xml:space="preserve">. Respectively, the sPDCCH candidates are defined as </w:t>
      </w:r>
      <m:oMath>
        <m:r>
          <m:rPr>
            <m:sty m:val="bi"/>
          </m:rPr>
          <w:rPr>
            <w:rFonts w:ascii="Cambria Math" w:hAnsi="Cambria Math"/>
          </w:rPr>
          <m:t>m=0,1,…,</m:t>
        </m:r>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(L)</m:t>
            </m:r>
          </m:sup>
        </m:sSup>
        <m:r>
          <m:rPr>
            <m:sty m:val="bi"/>
          </m:rPr>
          <w:rPr>
            <w:rFonts w:ascii="Cambria Math" w:hAnsi="Cambria Math"/>
          </w:rPr>
          <m:t>-1</m:t>
        </m:r>
      </m:oMath>
      <w:r w:rsidRPr="005675F3">
        <w:t>, where</w:t>
      </w:r>
      <w:r w:rsidRPr="0081744B">
        <w:t xml:space="preserve"> </w:t>
      </w:r>
      <m:oMath>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(L)</m:t>
            </m:r>
          </m:sup>
        </m:sSup>
      </m:oMath>
      <w:r w:rsidRPr="005675F3">
        <w:t xml:space="preserve"> is the</w:t>
      </w:r>
      <w:r w:rsidRPr="0081744B">
        <w:t xml:space="preserve"> number of sPDCCH candidates to monitor for each configured aggregation lev</w:t>
      </w:r>
      <w:r w:rsidR="005675F3">
        <w:t>el L within the sPDCCH-PRB-set</w:t>
      </w:r>
      <w:r w:rsidRPr="0081744B">
        <w:t>.</w:t>
      </w:r>
      <w:bookmarkEnd w:id="171"/>
    </w:p>
    <w:p w14:paraId="1A3F87CF" w14:textId="77777777" w:rsidR="00AF329E" w:rsidRDefault="00AF329E" w:rsidP="00FD2CE1">
      <w:pPr>
        <w:rPr>
          <w:rFonts w:eastAsiaTheme="minorEastAsia"/>
        </w:rPr>
      </w:pPr>
    </w:p>
    <w:p w14:paraId="14E0CE89" w14:textId="15CBE68B" w:rsidR="00F85C69" w:rsidRDefault="007E302B" w:rsidP="00FD2CE1">
      <w:pPr>
        <w:pStyle w:val="BodyText"/>
        <w:rPr>
          <w:lang w:val="en-US"/>
        </w:rPr>
      </w:pPr>
      <w:r>
        <w:rPr>
          <w:lang w:val="en-US"/>
        </w:rPr>
        <w:t xml:space="preserve">For </w:t>
      </w:r>
      <w:r w:rsidR="00F85C69">
        <w:rPr>
          <w:lang w:val="en-US"/>
        </w:rPr>
        <w:t>E</w:t>
      </w:r>
      <w:r>
        <w:rPr>
          <w:lang w:val="en-US"/>
        </w:rPr>
        <w:t xml:space="preserve">PDCCH and PDCCH the number of candidates per aggregation level, equivalent to </w:t>
      </w:r>
      <m:oMath>
        <m:sSup>
          <m:sSupPr>
            <m:ctrlPr>
              <w:rPr>
                <w:rFonts w:ascii="Cambria Math" w:hAnsi="Cambria Math"/>
                <w:i/>
              </w:rPr>
            </m:ctrlPr>
          </m:sSupPr>
          <m:e>
            <m:r>
              <w:rPr>
                <w:rFonts w:ascii="Cambria Math" w:hAnsi="Cambria Math"/>
              </w:rPr>
              <m:t>M</m:t>
            </m:r>
          </m:e>
          <m:sup>
            <m:r>
              <w:rPr>
                <w:rFonts w:ascii="Cambria Math" w:hAnsi="Cambria Math"/>
              </w:rPr>
              <m:t>(L)</m:t>
            </m:r>
          </m:sup>
        </m:sSup>
      </m:oMath>
      <w:r w:rsidR="00D1275E">
        <w:t xml:space="preserve">, </w:t>
      </w:r>
      <w:r w:rsidR="00F85C69">
        <w:t xml:space="preserve">is fixed in specification. RAN1 may decide to follow the same methodology for sPDCCH and define in the specification a fixed set of number of candidates per AL. </w:t>
      </w:r>
      <w:r w:rsidR="00F85C69">
        <w:t xml:space="preserve">As </w:t>
      </w:r>
      <w:r w:rsidR="00F85C69">
        <w:t>discussed earlier and especially</w:t>
      </w:r>
      <w:r w:rsidR="00F85C69">
        <w:t xml:space="preserve"> in proposal 5, it is preferable to let the eNB distribute the available number of blind decodes over the different sPDCCH candidates.</w:t>
      </w:r>
      <w:r w:rsidR="00F85C69">
        <w:t xml:space="preserve"> If such a fixed table for the number of candidates per AL is defined in the specification, i</w:t>
      </w:r>
      <w:r w:rsidR="00E91B6A">
        <w:t>t</w:t>
      </w:r>
      <w:r w:rsidR="00F85C69">
        <w:t xml:space="preserve"> should be </w:t>
      </w:r>
      <w:r w:rsidR="004D4FC8">
        <w:t>interpreted</w:t>
      </w:r>
      <w:r w:rsidR="00F85C69">
        <w:t xml:space="preserve"> as a nominal number of candidates per AL. The eNB should have the flexibility to </w:t>
      </w:r>
      <w:r w:rsidR="007C1095">
        <w:rPr>
          <w:lang w:val="en-US"/>
        </w:rPr>
        <w:t xml:space="preserve">indicate over RRC </w:t>
      </w:r>
      <w:r w:rsidR="00F85C69">
        <w:rPr>
          <w:lang w:val="en-US"/>
        </w:rPr>
        <w:t>which</w:t>
      </w:r>
      <w:r w:rsidR="007C1095">
        <w:rPr>
          <w:lang w:val="en-US"/>
        </w:rPr>
        <w:t xml:space="preserve"> sPDCCH candidates </w:t>
      </w:r>
      <w:r w:rsidR="00F85C69">
        <w:rPr>
          <w:lang w:val="en-US"/>
        </w:rPr>
        <w:t>are valid from a set given by the nominal number of sPDCCH candidates per aggregation level and an equation as in proposal 8. Consider</w:t>
      </w:r>
      <w:r w:rsidR="004D4FC8">
        <w:rPr>
          <w:lang w:val="en-US"/>
        </w:rPr>
        <w:t>,</w:t>
      </w:r>
      <w:r w:rsidR="00F85C69">
        <w:rPr>
          <w:lang w:val="en-US"/>
        </w:rPr>
        <w:t xml:space="preserve"> for instance</w:t>
      </w:r>
      <w:r w:rsidR="004D4FC8">
        <w:rPr>
          <w:lang w:val="en-US"/>
        </w:rPr>
        <w:t>,</w:t>
      </w:r>
      <w:r w:rsidR="00F85C69">
        <w:rPr>
          <w:lang w:val="en-US"/>
        </w:rPr>
        <w:t xml:space="preserve"> that </w:t>
      </w:r>
      <w:r w:rsidR="00F85C69">
        <w:rPr>
          <w:lang w:val="en-US"/>
        </w:rPr>
        <w:t>the nominal number of sPDCCH candidates per aggregation level</w:t>
      </w:r>
      <w:r w:rsidR="008D7778">
        <w:rPr>
          <w:lang w:val="en-US"/>
        </w:rPr>
        <w:t xml:space="preserve"> leads to a total of 8 sPDCCH candidates but that the maximum number of blind decodes supported by a UE is 6, the eNB should have the flexibility to choose which 2 sPDCCH candidates </w:t>
      </w:r>
      <w:r w:rsidR="008D7778">
        <w:rPr>
          <w:lang w:val="en-US"/>
        </w:rPr>
        <w:t>from the nominal set</w:t>
      </w:r>
      <w:r w:rsidR="008D7778">
        <w:rPr>
          <w:lang w:val="en-US"/>
        </w:rPr>
        <w:t xml:space="preserve"> are removed.</w:t>
      </w:r>
    </w:p>
    <w:p w14:paraId="3E33A280" w14:textId="42A686B7" w:rsidR="00C77D04" w:rsidRDefault="00C77D04">
      <w:pPr>
        <w:pStyle w:val="BodyText"/>
      </w:pPr>
    </w:p>
    <w:p w14:paraId="248651DA" w14:textId="0AF7A594" w:rsidR="00B47779" w:rsidRPr="00FD2CE1" w:rsidRDefault="00B47779" w:rsidP="00B47779">
      <w:pPr>
        <w:pStyle w:val="Observation"/>
        <w:rPr>
          <w:lang w:val="en-US"/>
        </w:rPr>
      </w:pPr>
      <w:bookmarkStart w:id="172" w:name="_Toc490240918"/>
      <w:r w:rsidRPr="00FD2CE1">
        <w:rPr>
          <w:lang w:val="en-US"/>
        </w:rPr>
        <w:t>A</w:t>
      </w:r>
      <w:r w:rsidR="008D7778" w:rsidRPr="00FD2CE1">
        <w:rPr>
          <w:lang w:val="en-US"/>
        </w:rPr>
        <w:t>dditional RRC</w:t>
      </w:r>
      <w:r w:rsidRPr="00FD2CE1">
        <w:rPr>
          <w:lang w:val="en-US"/>
        </w:rPr>
        <w:t xml:space="preserve"> parameter </w:t>
      </w:r>
      <w:r w:rsidR="008D7778" w:rsidRPr="00FD2CE1">
        <w:t>may be needed</w:t>
      </w:r>
      <w:r w:rsidRPr="00FD2CE1">
        <w:t xml:space="preserve"> </w:t>
      </w:r>
      <w:r w:rsidR="008D7778" w:rsidRPr="00FD2CE1">
        <w:t>to ensure</w:t>
      </w:r>
      <w:r w:rsidRPr="00FD2CE1">
        <w:t xml:space="preserve"> the </w:t>
      </w:r>
      <w:r w:rsidR="008D7778" w:rsidRPr="00FD2CE1">
        <w:t xml:space="preserve">maximum supported </w:t>
      </w:r>
      <w:r w:rsidRPr="00FD2CE1">
        <w:t xml:space="preserve">number </w:t>
      </w:r>
      <w:r w:rsidR="00C15EBA" w:rsidRPr="00FD2CE1">
        <w:t xml:space="preserve">of </w:t>
      </w:r>
      <w:r w:rsidRPr="00FD2CE1">
        <w:t>blind decodes for a UE</w:t>
      </w:r>
      <w:r w:rsidR="008D7778" w:rsidRPr="00FD2CE1">
        <w:t xml:space="preserve"> is not exceeded</w:t>
      </w:r>
      <w:bookmarkEnd w:id="172"/>
    </w:p>
    <w:p w14:paraId="098AEE54" w14:textId="77777777" w:rsidR="00B47779" w:rsidRPr="00FD2CE1" w:rsidRDefault="00B47779">
      <w:pPr>
        <w:pStyle w:val="BodyText"/>
        <w:rPr>
          <w:lang w:val="en-US"/>
        </w:rPr>
      </w:pPr>
    </w:p>
    <w:p w14:paraId="2B19B766" w14:textId="18B860F4" w:rsidR="00B47779" w:rsidRDefault="00BF278F" w:rsidP="00B47779">
      <w:pPr>
        <w:pStyle w:val="Proposal"/>
      </w:pPr>
      <w:bookmarkStart w:id="173" w:name="_Toc490240929"/>
      <w:r>
        <w:rPr>
          <w:lang w:val="en-US"/>
        </w:rPr>
        <w:t xml:space="preserve">Consider </w:t>
      </w:r>
      <w:r>
        <w:t>a</w:t>
      </w:r>
      <w:r w:rsidR="00B47779">
        <w:t xml:space="preserve"> RRC </w:t>
      </w:r>
      <w:r w:rsidR="00B47779">
        <w:rPr>
          <w:lang w:val="en-US"/>
        </w:rPr>
        <w:t xml:space="preserve">parameter </w:t>
      </w:r>
      <w:r w:rsidR="00B47779">
        <w:t>to indicate a reduction of candidates to monitor for a given sPDCCH-PRB-set</w:t>
      </w:r>
      <w:bookmarkEnd w:id="173"/>
    </w:p>
    <w:p w14:paraId="7A05D415" w14:textId="77777777" w:rsidR="00C77D04" w:rsidRDefault="00C77D04">
      <w:pPr>
        <w:pStyle w:val="BodyText"/>
        <w:rPr>
          <w:lang w:val="en-US"/>
        </w:rPr>
      </w:pPr>
    </w:p>
    <w:p w14:paraId="043C6CF3" w14:textId="746C3D24" w:rsidR="00C769D4" w:rsidRPr="00FD2CE1" w:rsidRDefault="00E429DC">
      <w:pPr>
        <w:pStyle w:val="BodyText"/>
        <w:rPr>
          <w:rFonts w:eastAsiaTheme="minorEastAsia"/>
          <w:lang w:val="en-US"/>
        </w:rPr>
      </w:pPr>
      <w:r>
        <w:rPr>
          <w:lang w:val="en-US"/>
        </w:rPr>
        <w:t xml:space="preserve">More considerations regarding sPDCCH-PRB-set configurations are given in our companion paper about design aspects of </w:t>
      </w:r>
      <w:r w:rsidRPr="00ED5C09">
        <w:rPr>
          <w:lang w:val="en-US"/>
        </w:rPr>
        <w:t>sPDCCH [3].</w:t>
      </w:r>
    </w:p>
    <w:p w14:paraId="7F3F3FD1" w14:textId="77777777" w:rsidR="00C01F33" w:rsidRPr="00CE0424" w:rsidRDefault="00C01F33" w:rsidP="00CE0424">
      <w:pPr>
        <w:pStyle w:val="Heading1"/>
      </w:pPr>
      <w:r w:rsidRPr="00CE0424">
        <w:lastRenderedPageBreak/>
        <w:t>Conclusion</w:t>
      </w:r>
    </w:p>
    <w:p w14:paraId="388032A8" w14:textId="2599AC56" w:rsidR="00B47E43" w:rsidRPr="00B82BD0" w:rsidRDefault="008E065E">
      <w:pPr>
        <w:pStyle w:val="TOC1"/>
        <w:rPr>
          <w:b w:val="0"/>
        </w:rPr>
      </w:pPr>
      <w:r w:rsidRPr="00B82BD0">
        <w:rPr>
          <w:b w:val="0"/>
        </w:rPr>
        <w:t xml:space="preserve">In section </w:t>
      </w:r>
      <w:r w:rsidRPr="00B82BD0">
        <w:rPr>
          <w:b w:val="0"/>
          <w:highlight w:val="cyan"/>
        </w:rPr>
        <w:fldChar w:fldCharType="begin"/>
      </w:r>
      <w:r w:rsidRPr="00B82BD0">
        <w:rPr>
          <w:b w:val="0"/>
        </w:rPr>
        <w:instrText xml:space="preserve"> REF _Ref178064866 \r \h </w:instrText>
      </w:r>
      <w:r w:rsidR="00B82BD0">
        <w:rPr>
          <w:b w:val="0"/>
          <w:highlight w:val="cyan"/>
        </w:rPr>
        <w:instrText xml:space="preserve"> \* MERGEFORMAT </w:instrText>
      </w:r>
      <w:r w:rsidRPr="00B82BD0">
        <w:rPr>
          <w:b w:val="0"/>
          <w:highlight w:val="cyan"/>
        </w:rPr>
      </w:r>
      <w:r w:rsidRPr="00B82BD0">
        <w:rPr>
          <w:b w:val="0"/>
          <w:highlight w:val="cyan"/>
        </w:rPr>
        <w:fldChar w:fldCharType="separate"/>
      </w:r>
      <w:r w:rsidR="00724FF6">
        <w:rPr>
          <w:b w:val="0"/>
        </w:rPr>
        <w:t>2</w:t>
      </w:r>
      <w:r w:rsidRPr="00B82BD0">
        <w:rPr>
          <w:b w:val="0"/>
          <w:highlight w:val="cyan"/>
        </w:rPr>
        <w:fldChar w:fldCharType="end"/>
      </w:r>
      <w:r w:rsidRPr="00B82BD0">
        <w:rPr>
          <w:b w:val="0"/>
        </w:rPr>
        <w:t xml:space="preserve"> we made the following observations:</w:t>
      </w:r>
    </w:p>
    <w:p w14:paraId="0C2AC4AE" w14:textId="77777777" w:rsidR="001578A0" w:rsidRPr="001578A0" w:rsidRDefault="008E065E">
      <w:pPr>
        <w:pStyle w:val="TOC1"/>
        <w:rPr>
          <w:rFonts w:asciiTheme="minorHAnsi" w:eastAsiaTheme="minorEastAsia" w:hAnsiTheme="minorHAnsi" w:cstheme="minorBidi"/>
          <w:b w:val="0"/>
          <w:sz w:val="22"/>
          <w:lang w:val="en-GB" w:eastAsia="sv-SE"/>
        </w:rPr>
      </w:pPr>
      <w:r>
        <w:rPr>
          <w:b w:val="0"/>
          <w:bCs/>
        </w:rPr>
        <w:fldChar w:fldCharType="begin"/>
      </w:r>
      <w:r>
        <w:rPr>
          <w:b w:val="0"/>
          <w:bCs/>
        </w:rPr>
        <w:instrText xml:space="preserve"> TOC \f \n \t "Observation;1" </w:instrText>
      </w:r>
      <w:r>
        <w:rPr>
          <w:b w:val="0"/>
          <w:bCs/>
        </w:rPr>
        <w:fldChar w:fldCharType="separate"/>
      </w:r>
      <w:r w:rsidR="001578A0" w:rsidRPr="001B68D5">
        <w:t>Observation 1</w:t>
      </w:r>
      <w:r w:rsidR="001578A0" w:rsidRPr="001578A0">
        <w:rPr>
          <w:rFonts w:asciiTheme="minorHAnsi" w:eastAsiaTheme="minorEastAsia" w:hAnsiTheme="minorHAnsi" w:cstheme="minorBidi"/>
          <w:b w:val="0"/>
          <w:sz w:val="22"/>
          <w:lang w:val="en-GB" w:eastAsia="sv-SE"/>
        </w:rPr>
        <w:tab/>
      </w:r>
      <w:r w:rsidR="001578A0">
        <w:t>A UE can be further configured by higher layers to monitor only a subset of the aggregation levels supported for sTTI operation.</w:t>
      </w:r>
    </w:p>
    <w:p w14:paraId="5FC7FCDC" w14:textId="77777777" w:rsidR="001578A0" w:rsidRPr="001578A0" w:rsidRDefault="001578A0">
      <w:pPr>
        <w:pStyle w:val="TOC1"/>
        <w:rPr>
          <w:rFonts w:asciiTheme="minorHAnsi" w:eastAsiaTheme="minorEastAsia" w:hAnsiTheme="minorHAnsi" w:cstheme="minorBidi"/>
          <w:b w:val="0"/>
          <w:sz w:val="22"/>
          <w:lang w:val="en-GB" w:eastAsia="sv-SE"/>
        </w:rPr>
      </w:pPr>
      <w:r w:rsidRPr="001B68D5">
        <w:t>Observation 2</w:t>
      </w:r>
      <w:r w:rsidRPr="001578A0">
        <w:rPr>
          <w:rFonts w:asciiTheme="minorHAnsi" w:eastAsiaTheme="minorEastAsia" w:hAnsiTheme="minorHAnsi" w:cstheme="minorBidi"/>
          <w:b w:val="0"/>
          <w:sz w:val="22"/>
          <w:lang w:val="en-GB" w:eastAsia="sv-SE"/>
        </w:rPr>
        <w:tab/>
      </w:r>
      <w:r>
        <w:t>sTTI operation will require an increase in the number of blind decodes in the UE</w:t>
      </w:r>
    </w:p>
    <w:p w14:paraId="163C5FDD" w14:textId="77777777" w:rsidR="001578A0" w:rsidRPr="001578A0" w:rsidRDefault="001578A0">
      <w:pPr>
        <w:pStyle w:val="TOC1"/>
        <w:rPr>
          <w:rFonts w:asciiTheme="minorHAnsi" w:eastAsiaTheme="minorEastAsia" w:hAnsiTheme="minorHAnsi" w:cstheme="minorBidi"/>
          <w:b w:val="0"/>
          <w:sz w:val="22"/>
          <w:lang w:val="en-GB" w:eastAsia="sv-SE"/>
        </w:rPr>
      </w:pPr>
      <w:r w:rsidRPr="001B68D5">
        <w:t>Observation 3</w:t>
      </w:r>
      <w:r w:rsidRPr="001578A0">
        <w:rPr>
          <w:rFonts w:asciiTheme="minorHAnsi" w:eastAsiaTheme="minorEastAsia" w:hAnsiTheme="minorHAnsi" w:cstheme="minorBidi"/>
          <w:b w:val="0"/>
          <w:sz w:val="22"/>
          <w:lang w:val="en-GB" w:eastAsia="sv-SE"/>
        </w:rPr>
        <w:tab/>
      </w:r>
      <w:r w:rsidRPr="001B68D5">
        <w:t xml:space="preserve">If a </w:t>
      </w:r>
      <w:r>
        <w:t xml:space="preserve">sTTI index dependent number of sREG/sCCE </w:t>
      </w:r>
      <w:r w:rsidRPr="001B68D5">
        <w:t>is adopted, the same number of sPDCCH candidates per aggregation level is configured to be monitored for all sTTIs</w:t>
      </w:r>
    </w:p>
    <w:p w14:paraId="25364FE4" w14:textId="77777777" w:rsidR="001578A0" w:rsidRPr="001578A0" w:rsidRDefault="001578A0">
      <w:pPr>
        <w:pStyle w:val="TOC1"/>
        <w:rPr>
          <w:rFonts w:asciiTheme="minorHAnsi" w:eastAsiaTheme="minorEastAsia" w:hAnsiTheme="minorHAnsi" w:cstheme="minorBidi"/>
          <w:b w:val="0"/>
          <w:sz w:val="22"/>
          <w:lang w:val="en-GB" w:eastAsia="sv-SE"/>
        </w:rPr>
      </w:pPr>
      <w:r>
        <w:t>Observation 4</w:t>
      </w:r>
      <w:r w:rsidRPr="001578A0">
        <w:rPr>
          <w:rFonts w:asciiTheme="minorHAnsi" w:eastAsiaTheme="minorEastAsia" w:hAnsiTheme="minorHAnsi" w:cstheme="minorBidi"/>
          <w:b w:val="0"/>
          <w:sz w:val="22"/>
          <w:lang w:val="en-GB" w:eastAsia="sv-SE"/>
        </w:rPr>
        <w:tab/>
      </w:r>
      <w:r>
        <w:t>Having the same format for short TTI and 1ms TTI in PDCCH USS will limit number of blind decodes in PDCCH</w:t>
      </w:r>
    </w:p>
    <w:p w14:paraId="2FA3B6EB" w14:textId="77777777" w:rsidR="001578A0" w:rsidRPr="001578A0" w:rsidRDefault="001578A0">
      <w:pPr>
        <w:pStyle w:val="TOC1"/>
        <w:rPr>
          <w:rFonts w:asciiTheme="minorHAnsi" w:eastAsiaTheme="minorEastAsia" w:hAnsiTheme="minorHAnsi" w:cstheme="minorBidi"/>
          <w:b w:val="0"/>
          <w:sz w:val="22"/>
          <w:lang w:val="en-GB" w:eastAsia="sv-SE"/>
        </w:rPr>
      </w:pPr>
      <w:r>
        <w:t>Observation 5</w:t>
      </w:r>
      <w:r w:rsidRPr="001578A0">
        <w:rPr>
          <w:rFonts w:asciiTheme="minorHAnsi" w:eastAsiaTheme="minorEastAsia" w:hAnsiTheme="minorHAnsi" w:cstheme="minorBidi"/>
          <w:b w:val="0"/>
          <w:sz w:val="22"/>
          <w:lang w:val="en-GB" w:eastAsia="sv-SE"/>
        </w:rPr>
        <w:tab/>
      </w:r>
      <w:r>
        <w:t>The search space of sDCI in PDCCH can be a subset of the search space for 1ms TTI DCI</w:t>
      </w:r>
    </w:p>
    <w:p w14:paraId="36AD2E16" w14:textId="77777777" w:rsidR="001578A0" w:rsidRPr="001578A0" w:rsidRDefault="001578A0">
      <w:pPr>
        <w:pStyle w:val="TOC1"/>
        <w:rPr>
          <w:rFonts w:asciiTheme="minorHAnsi" w:eastAsiaTheme="minorEastAsia" w:hAnsiTheme="minorHAnsi" w:cstheme="minorBidi"/>
          <w:b w:val="0"/>
          <w:sz w:val="22"/>
          <w:lang w:val="en-GB" w:eastAsia="sv-SE"/>
        </w:rPr>
      </w:pPr>
      <w:r w:rsidRPr="001B68D5">
        <w:t>Observation 6</w:t>
      </w:r>
      <w:r w:rsidRPr="001578A0">
        <w:rPr>
          <w:rFonts w:asciiTheme="minorHAnsi" w:eastAsiaTheme="minorEastAsia" w:hAnsiTheme="minorHAnsi" w:cstheme="minorBidi"/>
          <w:b w:val="0"/>
          <w:sz w:val="22"/>
          <w:lang w:val="en-GB" w:eastAsia="sv-SE"/>
        </w:rPr>
        <w:tab/>
      </w:r>
      <w:r w:rsidRPr="001B68D5">
        <w:t>A single size can be defined for both DL and UL sDCI, in order to limit the number of blind decodes for the UE</w:t>
      </w:r>
    </w:p>
    <w:p w14:paraId="2CCDDE3B" w14:textId="77777777" w:rsidR="001578A0" w:rsidRPr="001578A0" w:rsidRDefault="001578A0">
      <w:pPr>
        <w:pStyle w:val="TOC1"/>
        <w:rPr>
          <w:rFonts w:asciiTheme="minorHAnsi" w:eastAsiaTheme="minorEastAsia" w:hAnsiTheme="minorHAnsi" w:cstheme="minorBidi"/>
          <w:b w:val="0"/>
          <w:sz w:val="22"/>
          <w:lang w:val="en-GB" w:eastAsia="sv-SE"/>
        </w:rPr>
      </w:pPr>
      <w:r w:rsidRPr="001B68D5">
        <w:t>Observation 7</w:t>
      </w:r>
      <w:r w:rsidRPr="001578A0">
        <w:rPr>
          <w:rFonts w:asciiTheme="minorHAnsi" w:eastAsiaTheme="minorEastAsia" w:hAnsiTheme="minorHAnsi" w:cstheme="minorBidi"/>
          <w:b w:val="0"/>
          <w:sz w:val="22"/>
          <w:lang w:val="en-GB" w:eastAsia="sv-SE"/>
        </w:rPr>
        <w:tab/>
      </w:r>
      <w:r w:rsidRPr="001B68D5">
        <w:t xml:space="preserve">Additional RRC parameter </w:t>
      </w:r>
      <w:r>
        <w:t>may be needed to ensure the maximum supported number of blind decodes for a UE is not exceeded</w:t>
      </w:r>
    </w:p>
    <w:p w14:paraId="4EDCD2F1" w14:textId="6EF90A39" w:rsidR="00ED3015" w:rsidRPr="004D559D" w:rsidRDefault="008E065E" w:rsidP="00ED3015">
      <w:pPr>
        <w:pStyle w:val="BodyText"/>
      </w:pPr>
      <w:r>
        <w:rPr>
          <w:b/>
          <w:bCs/>
        </w:rPr>
        <w:fldChar w:fldCharType="end"/>
      </w:r>
      <w:r w:rsidR="0016168E">
        <w:rPr>
          <w:b/>
          <w:bCs/>
        </w:rPr>
        <w:br/>
      </w:r>
      <w:r w:rsidRPr="004D559D">
        <w:t xml:space="preserve">Based on the discussion in section </w:t>
      </w:r>
      <w:r w:rsidRPr="004D559D">
        <w:rPr>
          <w:highlight w:val="cyan"/>
        </w:rPr>
        <w:fldChar w:fldCharType="begin"/>
      </w:r>
      <w:r w:rsidRPr="004D559D">
        <w:instrText xml:space="preserve"> REF _Ref178064866 \r \h </w:instrText>
      </w:r>
      <w:r w:rsidR="00B82BD0" w:rsidRPr="004D559D">
        <w:rPr>
          <w:highlight w:val="cyan"/>
        </w:rPr>
        <w:instrText xml:space="preserve"> \* MERGEFORMAT </w:instrText>
      </w:r>
      <w:r w:rsidRPr="004D559D">
        <w:rPr>
          <w:highlight w:val="cyan"/>
        </w:rPr>
      </w:r>
      <w:r w:rsidRPr="004D559D">
        <w:rPr>
          <w:highlight w:val="cyan"/>
        </w:rPr>
        <w:fldChar w:fldCharType="separate"/>
      </w:r>
      <w:r w:rsidR="00724FF6">
        <w:t>2</w:t>
      </w:r>
      <w:r w:rsidRPr="004D559D">
        <w:rPr>
          <w:highlight w:val="cyan"/>
        </w:rPr>
        <w:fldChar w:fldCharType="end"/>
      </w:r>
      <w:r w:rsidRPr="004D559D">
        <w:t xml:space="preserve"> we propose the following:</w:t>
      </w:r>
    </w:p>
    <w:p w14:paraId="1B8E4F69" w14:textId="77777777" w:rsidR="001578A0" w:rsidRPr="001578A0" w:rsidRDefault="008E065E">
      <w:pPr>
        <w:pStyle w:val="TOC1"/>
        <w:rPr>
          <w:rFonts w:asciiTheme="minorHAnsi" w:eastAsiaTheme="minorEastAsia" w:hAnsiTheme="minorHAnsi" w:cstheme="minorBidi"/>
          <w:b w:val="0"/>
          <w:sz w:val="22"/>
          <w:lang w:val="en-GB" w:eastAsia="sv-SE"/>
        </w:rPr>
      </w:pPr>
      <w:r w:rsidRPr="00ED3015">
        <w:rPr>
          <w:b w:val="0"/>
          <w:bCs/>
        </w:rPr>
        <w:fldChar w:fldCharType="begin"/>
      </w:r>
      <w:r w:rsidRPr="00ED3015">
        <w:rPr>
          <w:b w:val="0"/>
          <w:bCs/>
        </w:rPr>
        <w:instrText xml:space="preserve"> TOC \f \n \p " " \t "Proposal;1" </w:instrText>
      </w:r>
      <w:r w:rsidRPr="00ED3015">
        <w:rPr>
          <w:b w:val="0"/>
          <w:bCs/>
        </w:rPr>
        <w:fldChar w:fldCharType="separate"/>
      </w:r>
      <w:r w:rsidR="001578A0">
        <w:t>Proposal 1</w:t>
      </w:r>
      <w:r w:rsidR="001578A0" w:rsidRPr="001578A0">
        <w:rPr>
          <w:rFonts w:asciiTheme="minorHAnsi" w:eastAsiaTheme="minorEastAsia" w:hAnsiTheme="minorHAnsi" w:cstheme="minorBidi"/>
          <w:b w:val="0"/>
          <w:sz w:val="22"/>
          <w:lang w:val="en-GB" w:eastAsia="sv-SE"/>
        </w:rPr>
        <w:tab/>
      </w:r>
      <w:r w:rsidR="001578A0">
        <w:t>Three aggregation levels {1, 2, 4} are supported for short TTI operation</w:t>
      </w:r>
    </w:p>
    <w:p w14:paraId="3D893F8B" w14:textId="77777777" w:rsidR="001578A0" w:rsidRPr="001578A0" w:rsidRDefault="001578A0">
      <w:pPr>
        <w:pStyle w:val="TOC1"/>
        <w:rPr>
          <w:rFonts w:asciiTheme="minorHAnsi" w:eastAsiaTheme="minorEastAsia" w:hAnsiTheme="minorHAnsi" w:cstheme="minorBidi"/>
          <w:b w:val="0"/>
          <w:sz w:val="22"/>
          <w:lang w:val="en-GB" w:eastAsia="sv-SE"/>
        </w:rPr>
      </w:pPr>
      <w:r>
        <w:t>Proposal 2</w:t>
      </w:r>
      <w:r w:rsidRPr="001578A0">
        <w:rPr>
          <w:rFonts w:asciiTheme="minorHAnsi" w:eastAsiaTheme="minorEastAsia" w:hAnsiTheme="minorHAnsi" w:cstheme="minorBidi"/>
          <w:b w:val="0"/>
          <w:sz w:val="22"/>
          <w:lang w:val="en-GB" w:eastAsia="sv-SE"/>
        </w:rPr>
        <w:tab/>
      </w:r>
      <w:r>
        <w:t>Additional blind decodes might be defined for sTTI operation</w:t>
      </w:r>
    </w:p>
    <w:p w14:paraId="55578D83" w14:textId="77777777" w:rsidR="001578A0" w:rsidRPr="001578A0" w:rsidRDefault="001578A0">
      <w:pPr>
        <w:pStyle w:val="TOC1"/>
        <w:rPr>
          <w:rFonts w:asciiTheme="minorHAnsi" w:eastAsiaTheme="minorEastAsia" w:hAnsiTheme="minorHAnsi" w:cstheme="minorBidi"/>
          <w:b w:val="0"/>
          <w:sz w:val="22"/>
          <w:lang w:val="en-GB" w:eastAsia="sv-SE"/>
        </w:rPr>
      </w:pPr>
      <w:r w:rsidRPr="008319ED">
        <w:t>Proposal 3</w:t>
      </w:r>
      <w:r w:rsidRPr="001578A0">
        <w:rPr>
          <w:rFonts w:asciiTheme="minorHAnsi" w:eastAsiaTheme="minorEastAsia" w:hAnsiTheme="minorHAnsi" w:cstheme="minorBidi"/>
          <w:b w:val="0"/>
          <w:sz w:val="22"/>
          <w:lang w:val="en-GB" w:eastAsia="sv-SE"/>
        </w:rPr>
        <w:tab/>
      </w:r>
      <w:r>
        <w:t>Target the same overall number of blind decodes per sTTI for FS1 and FS2 assuming the same sTTI length</w:t>
      </w:r>
    </w:p>
    <w:p w14:paraId="1ADCC883" w14:textId="77777777" w:rsidR="001578A0" w:rsidRPr="001578A0" w:rsidRDefault="001578A0">
      <w:pPr>
        <w:pStyle w:val="TOC1"/>
        <w:rPr>
          <w:rFonts w:asciiTheme="minorHAnsi" w:eastAsiaTheme="minorEastAsia" w:hAnsiTheme="minorHAnsi" w:cstheme="minorBidi"/>
          <w:b w:val="0"/>
          <w:sz w:val="22"/>
          <w:lang w:val="en-GB" w:eastAsia="sv-SE"/>
        </w:rPr>
      </w:pPr>
      <w:r>
        <w:t>Proposal 4</w:t>
      </w:r>
      <w:r w:rsidRPr="001578A0">
        <w:rPr>
          <w:rFonts w:asciiTheme="minorHAnsi" w:eastAsiaTheme="minorEastAsia" w:hAnsiTheme="minorHAnsi" w:cstheme="minorBidi"/>
          <w:b w:val="0"/>
          <w:sz w:val="22"/>
          <w:lang w:val="en-GB" w:eastAsia="sv-SE"/>
        </w:rPr>
        <w:tab/>
      </w:r>
      <w:r>
        <w:t>sTTI operation supports up to 6 sPDCCH candidates per UE for each 2-OFDM symbol sTTI</w:t>
      </w:r>
    </w:p>
    <w:p w14:paraId="23050EFA" w14:textId="77777777" w:rsidR="001578A0" w:rsidRPr="001578A0" w:rsidRDefault="001578A0">
      <w:pPr>
        <w:pStyle w:val="TOC1"/>
        <w:rPr>
          <w:rFonts w:asciiTheme="minorHAnsi" w:eastAsiaTheme="minorEastAsia" w:hAnsiTheme="minorHAnsi" w:cstheme="minorBidi"/>
          <w:b w:val="0"/>
          <w:sz w:val="22"/>
          <w:lang w:val="en-GB" w:eastAsia="sv-SE"/>
        </w:rPr>
      </w:pPr>
      <w:r>
        <w:t>Proposal 5</w:t>
      </w:r>
      <w:r w:rsidRPr="001578A0">
        <w:rPr>
          <w:rFonts w:asciiTheme="minorHAnsi" w:eastAsiaTheme="minorEastAsia" w:hAnsiTheme="minorHAnsi" w:cstheme="minorBidi"/>
          <w:b w:val="0"/>
          <w:sz w:val="22"/>
          <w:lang w:val="en-GB" w:eastAsia="sv-SE"/>
        </w:rPr>
        <w:tab/>
      </w:r>
      <w:r>
        <w:t>sTTI operation for 1-slot sTTI can support a larger number of candidates than 2-symbol sTTI</w:t>
      </w:r>
    </w:p>
    <w:p w14:paraId="141C47F1" w14:textId="77777777" w:rsidR="001578A0" w:rsidRPr="001578A0" w:rsidRDefault="001578A0">
      <w:pPr>
        <w:pStyle w:val="TOC1"/>
        <w:rPr>
          <w:rFonts w:asciiTheme="minorHAnsi" w:eastAsiaTheme="minorEastAsia" w:hAnsiTheme="minorHAnsi" w:cstheme="minorBidi"/>
          <w:b w:val="0"/>
          <w:sz w:val="22"/>
          <w:lang w:val="en-GB" w:eastAsia="sv-SE"/>
        </w:rPr>
      </w:pPr>
      <w:r>
        <w:t>Proposal 6</w:t>
      </w:r>
      <w:r w:rsidRPr="001578A0">
        <w:rPr>
          <w:rFonts w:asciiTheme="minorHAnsi" w:eastAsiaTheme="minorEastAsia" w:hAnsiTheme="minorHAnsi" w:cstheme="minorBidi"/>
          <w:b w:val="0"/>
          <w:sz w:val="22"/>
          <w:lang w:val="en-GB" w:eastAsia="sv-SE"/>
        </w:rPr>
        <w:tab/>
      </w:r>
      <w:r>
        <w:t>For a RB-set, the number of sPDCCH candidates per aggregation level is configured over RRC</w:t>
      </w:r>
    </w:p>
    <w:p w14:paraId="1C00A818" w14:textId="77777777" w:rsidR="001578A0" w:rsidRPr="001578A0" w:rsidRDefault="001578A0">
      <w:pPr>
        <w:pStyle w:val="TOC1"/>
        <w:rPr>
          <w:rFonts w:asciiTheme="minorHAnsi" w:eastAsiaTheme="minorEastAsia" w:hAnsiTheme="minorHAnsi" w:cstheme="minorBidi"/>
          <w:b w:val="0"/>
          <w:sz w:val="22"/>
          <w:lang w:val="en-GB" w:eastAsia="sv-SE"/>
        </w:rPr>
      </w:pPr>
      <w:r>
        <w:t>Proposal 7</w:t>
      </w:r>
      <w:r w:rsidRPr="001578A0">
        <w:rPr>
          <w:rFonts w:asciiTheme="minorHAnsi" w:eastAsiaTheme="minorEastAsia" w:hAnsiTheme="minorHAnsi" w:cstheme="minorBidi"/>
          <w:b w:val="0"/>
          <w:sz w:val="22"/>
          <w:lang w:val="en-GB" w:eastAsia="sv-SE"/>
        </w:rPr>
        <w:tab/>
      </w:r>
      <w:r>
        <w:t>Multiplexing of sPDCCH for different UEs within the same search space region is supported for sTTI operation</w:t>
      </w:r>
    </w:p>
    <w:p w14:paraId="603D5564" w14:textId="2315157C" w:rsidR="001578A0" w:rsidRDefault="001578A0">
      <w:pPr>
        <w:pStyle w:val="TOC1"/>
      </w:pPr>
      <w:r>
        <w:rPr>
          <w:rFonts w:asciiTheme="minorHAnsi" w:eastAsiaTheme="minorEastAsia" w:hAnsiTheme="minorHAnsi" w:cstheme="minorBidi"/>
          <w:b w:val="0"/>
          <w:sz w:val="22"/>
          <w:lang w:val="sv-SE" w:eastAsia="sv-SE"/>
        </w:rPr>
        <w:object w:dxaOrig="1440" w:dyaOrig="1440" w14:anchorId="2E724B0F">
          <v:shape id="_x0000_s1031" type="#_x0000_t75" style="position:absolute;left:0;text-align:left;margin-left:212.5pt;margin-top:22.35pt;width:218pt;height:46pt;z-index:251658752">
            <v:imagedata r:id="rId17" o:title=""/>
          </v:shape>
          <o:OLEObject Type="Embed" ProgID="Equation.3" ShapeID="_x0000_s1031" DrawAspect="Content" ObjectID="_1563983661" r:id="rId19"/>
        </w:object>
      </w:r>
      <w:r>
        <w:t>Proposal 8</w:t>
      </w:r>
      <w:r w:rsidRPr="001578A0">
        <w:rPr>
          <w:rFonts w:asciiTheme="minorHAnsi" w:eastAsiaTheme="minorEastAsia" w:hAnsiTheme="minorHAnsi" w:cstheme="minorBidi"/>
          <w:b w:val="0"/>
          <w:sz w:val="22"/>
          <w:lang w:val="en-GB" w:eastAsia="sv-SE"/>
        </w:rPr>
        <w:tab/>
      </w:r>
      <w:r>
        <w:t xml:space="preserve">sCCEs corresponding to an sPDCCH candidate </w:t>
      </w:r>
      <w:r w:rsidRPr="008319ED">
        <w:rPr>
          <w:i/>
        </w:rPr>
        <w:t>m</w:t>
      </w:r>
      <w:r>
        <w:t xml:space="preserve"> within the UE-specific sTTI search space are given by</w:t>
      </w:r>
    </w:p>
    <w:p w14:paraId="48AA17A0" w14:textId="79D2B274" w:rsidR="001578A0" w:rsidRPr="001578A0" w:rsidRDefault="001578A0">
      <w:pPr>
        <w:pStyle w:val="TOC1"/>
        <w:rPr>
          <w:rFonts w:asciiTheme="minorHAnsi" w:eastAsiaTheme="minorEastAsia" w:hAnsiTheme="minorHAnsi" w:cstheme="minorBidi"/>
          <w:b w:val="0"/>
          <w:sz w:val="22"/>
          <w:lang w:val="en-GB" w:eastAsia="sv-SE"/>
        </w:rPr>
      </w:pPr>
    </w:p>
    <w:p w14:paraId="6E535508" w14:textId="77777777" w:rsidR="001578A0" w:rsidRDefault="001578A0">
      <w:pPr>
        <w:pStyle w:val="TOC1"/>
      </w:pPr>
    </w:p>
    <w:p w14:paraId="2C01D1C5" w14:textId="28B0DAC9" w:rsidR="001578A0" w:rsidRPr="001578A0" w:rsidRDefault="001578A0" w:rsidP="001578A0">
      <w:pPr>
        <w:pStyle w:val="TOC1"/>
        <w:ind w:firstLine="0"/>
        <w:rPr>
          <w:rFonts w:asciiTheme="minorHAnsi" w:eastAsiaTheme="minorEastAsia" w:hAnsiTheme="minorHAnsi" w:cstheme="minorBidi"/>
          <w:b w:val="0"/>
          <w:sz w:val="22"/>
          <w:lang w:val="en-GB" w:eastAsia="sv-SE"/>
        </w:rPr>
      </w:pPr>
      <w:r>
        <w:t xml:space="preserve">where </w:t>
      </w:r>
      <m:oMath>
        <m:r>
          <m:rPr>
            <m:sty m:val="bi"/>
          </m:rPr>
          <w:rPr>
            <w:rFonts w:ascii="Cambria Math" w:hAnsi="Cambria Math"/>
          </w:rPr>
          <m:t>NsCCE</m:t>
        </m:r>
      </m:oMath>
      <w:r>
        <w:t xml:space="preserve"> is the number of sCCEs in the sPDCCH-PRB-set, </w:t>
      </w:r>
      <w:r w:rsidRPr="008319ED">
        <w:rPr>
          <w:i/>
        </w:rPr>
        <w:t xml:space="preserve">Y </w:t>
      </w:r>
      <w:r>
        <w:t xml:space="preserve">refers to an UE specific offset that can be configured by the network over RRC or can be based on UE RNTI. It allows multiplexing of sPDCCH candidates as well as sharing the same search space region for different UEs. </w:t>
      </w:r>
      <w:r w:rsidRPr="008319ED">
        <w:rPr>
          <w:i/>
        </w:rPr>
        <w:t>L</w:t>
      </w:r>
      <w:r>
        <w:t xml:space="preserve"> is aggregation level and </w:t>
      </w:r>
      <m:oMath>
        <m:r>
          <m:rPr>
            <m:sty m:val="bi"/>
          </m:rPr>
          <w:rPr>
            <w:rFonts w:ascii="Cambria Math" w:hAnsi="Cambria Math"/>
          </w:rPr>
          <m:t>i=0,…,L-1</m:t>
        </m:r>
      </m:oMath>
      <w:r>
        <w:t xml:space="preserve">. This means that higher aggregation levels consist of consecutives sCCEs. If a UE is configured with a carrier indicator field, </w:t>
      </w:r>
      <w:r w:rsidRPr="008319ED">
        <w:rPr>
          <w:i/>
        </w:rPr>
        <w:t>b</w:t>
      </w:r>
      <w:r>
        <w:t xml:space="preserve"> is equal to the carrier indicator field value (</w:t>
      </w:r>
      <m:oMath>
        <m:r>
          <m:rPr>
            <m:sty m:val="bi"/>
          </m:rPr>
          <w:rPr>
            <w:rFonts w:ascii="Cambria Math" w:hAnsi="Cambria Math"/>
          </w:rPr>
          <m:t>nCI</m:t>
        </m:r>
      </m:oMath>
      <w:r>
        <w:t xml:space="preserve">), otherwise </w:t>
      </w:r>
      <w:r w:rsidRPr="008319ED">
        <w:rPr>
          <w:i/>
        </w:rPr>
        <w:t>b=0</w:t>
      </w:r>
      <w:r>
        <w:t xml:space="preserve">. Respectively, the sPDCCH candidates are defined as </w:t>
      </w:r>
      <m:oMath>
        <m:r>
          <m:rPr>
            <m:sty m:val="bi"/>
          </m:rPr>
          <w:rPr>
            <w:rFonts w:ascii="Cambria Math" w:hAnsi="Cambria Math"/>
          </w:rPr>
          <m:t>m=0,1,…,M(L)-1</m:t>
        </m:r>
      </m:oMath>
      <w:r>
        <w:t xml:space="preserve">, where </w:t>
      </w:r>
      <m:oMath>
        <m:r>
          <m:rPr>
            <m:sty m:val="bi"/>
          </m:rPr>
          <w:rPr>
            <w:rFonts w:ascii="Cambria Math" w:hAnsi="Cambria Math"/>
          </w:rPr>
          <m:t>M(L)</m:t>
        </m:r>
      </m:oMath>
      <w:r>
        <w:t xml:space="preserve"> is the number of sPDCCH candidates to monitor for each configured aggregation level L within the sPDCCH-PRB-set.</w:t>
      </w:r>
    </w:p>
    <w:p w14:paraId="5CD93061" w14:textId="77777777" w:rsidR="001578A0" w:rsidRPr="001578A0" w:rsidRDefault="001578A0">
      <w:pPr>
        <w:pStyle w:val="TOC1"/>
        <w:rPr>
          <w:rFonts w:asciiTheme="minorHAnsi" w:eastAsiaTheme="minorEastAsia" w:hAnsiTheme="minorHAnsi" w:cstheme="minorBidi"/>
          <w:b w:val="0"/>
          <w:sz w:val="22"/>
          <w:lang w:val="en-GB" w:eastAsia="sv-SE"/>
        </w:rPr>
      </w:pPr>
      <w:r>
        <w:t>Proposal 9</w:t>
      </w:r>
      <w:r w:rsidRPr="001578A0">
        <w:rPr>
          <w:rFonts w:asciiTheme="minorHAnsi" w:eastAsiaTheme="minorEastAsia" w:hAnsiTheme="minorHAnsi" w:cstheme="minorBidi"/>
          <w:b w:val="0"/>
          <w:sz w:val="22"/>
          <w:lang w:val="en-GB" w:eastAsia="sv-SE"/>
        </w:rPr>
        <w:tab/>
      </w:r>
      <w:r w:rsidRPr="008319ED">
        <w:t xml:space="preserve">Consider </w:t>
      </w:r>
      <w:r>
        <w:t xml:space="preserve">a RRC </w:t>
      </w:r>
      <w:r w:rsidRPr="008319ED">
        <w:t xml:space="preserve">parameter </w:t>
      </w:r>
      <w:r>
        <w:t>to indicate a reduction of candidates to monitor for a given sPDCCH-PRB-set</w:t>
      </w:r>
    </w:p>
    <w:p w14:paraId="11B05D63" w14:textId="70C39DEC" w:rsidR="008E065E" w:rsidRPr="00CE0424" w:rsidRDefault="008E065E" w:rsidP="002C1FAD">
      <w:pPr>
        <w:pStyle w:val="TOC1"/>
        <w:rPr>
          <w:b w:val="0"/>
          <w:bCs/>
        </w:rPr>
      </w:pPr>
      <w:r w:rsidRPr="00ED3015">
        <w:rPr>
          <w:b w:val="0"/>
          <w:bCs/>
        </w:rPr>
        <w:fldChar w:fldCharType="end"/>
      </w:r>
    </w:p>
    <w:p w14:paraId="35FB54EA" w14:textId="77777777" w:rsidR="00C01F33" w:rsidRPr="00CE0424" w:rsidRDefault="00C01F33" w:rsidP="006E062C">
      <w:bookmarkStart w:id="174" w:name="_GoBack"/>
      <w:bookmarkEnd w:id="174"/>
    </w:p>
    <w:p w14:paraId="05F56675" w14:textId="77777777" w:rsidR="00F507D1" w:rsidRPr="0078776C" w:rsidRDefault="00F507D1" w:rsidP="00CE0424">
      <w:pPr>
        <w:pStyle w:val="Heading1"/>
      </w:pPr>
      <w:bookmarkStart w:id="175" w:name="_In-sequence_SDU_delivery"/>
      <w:bookmarkEnd w:id="175"/>
      <w:r w:rsidRPr="0078776C">
        <w:lastRenderedPageBreak/>
        <w:t>References</w:t>
      </w:r>
    </w:p>
    <w:bookmarkStart w:id="176" w:name="_Ref465436503"/>
    <w:bookmarkStart w:id="177" w:name="_Ref174151459"/>
    <w:bookmarkStart w:id="178" w:name="_Ref189809556"/>
    <w:bookmarkStart w:id="179" w:name="_Ref449699977"/>
    <w:p w14:paraId="768EE387" w14:textId="71C6482E" w:rsidR="00C12C77" w:rsidRDefault="00FE5B03" w:rsidP="003A5C65">
      <w:pPr>
        <w:pStyle w:val="Reference"/>
      </w:pPr>
      <w:r>
        <w:fldChar w:fldCharType="begin"/>
      </w:r>
      <w:r>
        <w:instrText xml:space="preserve"> HYPERLINK "ftp://www.3gpp.org/tsg_ran/WG1_RL1//TSGR1_87/Docs/R1-1611511.zip" </w:instrText>
      </w:r>
      <w:r>
        <w:fldChar w:fldCharType="separate"/>
      </w:r>
      <w:r>
        <w:rPr>
          <w:rStyle w:val="Hyperlink"/>
        </w:rPr>
        <w:t>R1-1611511</w:t>
      </w:r>
      <w:r>
        <w:fldChar w:fldCharType="end"/>
      </w:r>
      <w:r w:rsidR="00C12C77" w:rsidRPr="00D56954">
        <w:t>, On sTTI scheduling options,3GPP TSG-RAN WG1 #87, November 2016</w:t>
      </w:r>
      <w:bookmarkEnd w:id="176"/>
    </w:p>
    <w:p w14:paraId="5ECC0FC2" w14:textId="36B278EC" w:rsidR="005C741E" w:rsidRDefault="005C741E" w:rsidP="003C1406">
      <w:pPr>
        <w:pStyle w:val="Reference"/>
      </w:pPr>
      <w:r w:rsidRPr="0069089B">
        <w:t>R1-163312</w:t>
      </w:r>
      <w:r w:rsidRPr="0016168E">
        <w:t>,</w:t>
      </w:r>
      <w:r w:rsidRPr="0016168E" w:rsidDel="00995A19">
        <w:t xml:space="preserve"> </w:t>
      </w:r>
      <w:r w:rsidRPr="00EF2D40">
        <w:rPr>
          <w:lang w:val="en-US"/>
        </w:rPr>
        <w:t>System level evaluation of short TTI</w:t>
      </w:r>
      <w:r w:rsidRPr="0016168E">
        <w:t>, Ericsson, 3GPP TSG RAN WG1 Meeting #84 bis, Ericsson Busan, 11th</w:t>
      </w:r>
      <w:r w:rsidRPr="003E1E1D">
        <w:t xml:space="preserve"> – 15th April 2016</w:t>
      </w:r>
    </w:p>
    <w:p w14:paraId="6AF1548F" w14:textId="20927C01" w:rsidR="008D3F5A" w:rsidRPr="009963CA" w:rsidRDefault="00FD2CE1" w:rsidP="00FD2CE1">
      <w:pPr>
        <w:pStyle w:val="Reference"/>
      </w:pPr>
      <w:r w:rsidRPr="00FD2CE1">
        <w:t>R1-1712895</w:t>
      </w:r>
      <w:r w:rsidR="00E6195A" w:rsidRPr="00FD2CE1">
        <w:t>, Design</w:t>
      </w:r>
      <w:r w:rsidR="00E6195A" w:rsidRPr="00E6195A">
        <w:t xml:space="preserve"> aspects of sPDCCH</w:t>
      </w:r>
      <w:r w:rsidR="00E6195A">
        <w:t>,</w:t>
      </w:r>
      <w:r w:rsidR="00210D60">
        <w:t xml:space="preserve"> Ericsson, </w:t>
      </w:r>
      <w:r w:rsidR="00E6195A">
        <w:t>3GPP TSG-RAN WG1 #</w:t>
      </w:r>
      <w:r w:rsidR="00FC6E01">
        <w:t>90</w:t>
      </w:r>
      <w:r w:rsidR="00E6195A" w:rsidRPr="00D56954">
        <w:t xml:space="preserve">, </w:t>
      </w:r>
      <w:r w:rsidR="00FC6E01">
        <w:t xml:space="preserve">August </w:t>
      </w:r>
      <w:r w:rsidR="00E6195A">
        <w:t>2017</w:t>
      </w:r>
      <w:bookmarkEnd w:id="177"/>
      <w:bookmarkEnd w:id="178"/>
      <w:bookmarkEnd w:id="179"/>
    </w:p>
    <w:sectPr w:rsidR="008D3F5A" w:rsidRPr="009963CA">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C0694" w14:textId="77777777" w:rsidR="00CD777D" w:rsidRDefault="00CD777D">
      <w:r>
        <w:separator/>
      </w:r>
    </w:p>
  </w:endnote>
  <w:endnote w:type="continuationSeparator" w:id="0">
    <w:p w14:paraId="72590157" w14:textId="77777777" w:rsidR="00CD777D" w:rsidRDefault="00CD777D">
      <w:r>
        <w:continuationSeparator/>
      </w:r>
    </w:p>
  </w:endnote>
  <w:endnote w:type="continuationNotice" w:id="1">
    <w:p w14:paraId="09AD9D7E" w14:textId="77777777" w:rsidR="00CD777D" w:rsidRDefault="00CD7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2207D" w14:textId="5BA7E61B" w:rsidR="002F1C55" w:rsidRDefault="002F1C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78A0">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78A0">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A55B0" w14:textId="77777777" w:rsidR="00CD777D" w:rsidRDefault="00CD777D">
      <w:r>
        <w:separator/>
      </w:r>
    </w:p>
  </w:footnote>
  <w:footnote w:type="continuationSeparator" w:id="0">
    <w:p w14:paraId="3C16AB2D" w14:textId="77777777" w:rsidR="00CD777D" w:rsidRDefault="00CD777D">
      <w:r>
        <w:continuationSeparator/>
      </w:r>
    </w:p>
  </w:footnote>
  <w:footnote w:type="continuationNotice" w:id="1">
    <w:p w14:paraId="5688D83B" w14:textId="77777777" w:rsidR="00CD777D" w:rsidRDefault="00CD77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6F6A" w14:textId="77777777" w:rsidR="002F1C55" w:rsidRDefault="002F1C5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93987" w14:textId="77777777" w:rsidR="002F1C55" w:rsidRDefault="002F1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259F0"/>
    <w:multiLevelType w:val="hybridMultilevel"/>
    <w:tmpl w:val="3B243C94"/>
    <w:lvl w:ilvl="0" w:tplc="659228B8">
      <w:start w:val="1"/>
      <w:numFmt w:val="bullet"/>
      <w:lvlText w:val="•"/>
      <w:lvlJc w:val="left"/>
      <w:pPr>
        <w:tabs>
          <w:tab w:val="num" w:pos="720"/>
        </w:tabs>
        <w:ind w:left="720" w:hanging="360"/>
      </w:pPr>
      <w:rPr>
        <w:rFonts w:ascii="Arial" w:hAnsi="Arial" w:hint="default"/>
      </w:rPr>
    </w:lvl>
    <w:lvl w:ilvl="1" w:tplc="901C2692">
      <w:start w:val="2372"/>
      <w:numFmt w:val="bullet"/>
      <w:lvlText w:val="–"/>
      <w:lvlJc w:val="left"/>
      <w:pPr>
        <w:tabs>
          <w:tab w:val="num" w:pos="1440"/>
        </w:tabs>
        <w:ind w:left="1440" w:hanging="360"/>
      </w:pPr>
      <w:rPr>
        <w:rFonts w:ascii="Arial" w:hAnsi="Arial" w:hint="default"/>
      </w:rPr>
    </w:lvl>
    <w:lvl w:ilvl="2" w:tplc="3856B592">
      <w:start w:val="2372"/>
      <w:numFmt w:val="bullet"/>
      <w:lvlText w:val="•"/>
      <w:lvlJc w:val="left"/>
      <w:pPr>
        <w:tabs>
          <w:tab w:val="num" w:pos="2160"/>
        </w:tabs>
        <w:ind w:left="2160" w:hanging="360"/>
      </w:pPr>
      <w:rPr>
        <w:rFonts w:ascii="Arial" w:hAnsi="Arial" w:hint="default"/>
      </w:rPr>
    </w:lvl>
    <w:lvl w:ilvl="3" w:tplc="3E163DFA">
      <w:start w:val="2372"/>
      <w:numFmt w:val="bullet"/>
      <w:lvlText w:val="–"/>
      <w:lvlJc w:val="left"/>
      <w:pPr>
        <w:tabs>
          <w:tab w:val="num" w:pos="2880"/>
        </w:tabs>
        <w:ind w:left="2880" w:hanging="360"/>
      </w:pPr>
      <w:rPr>
        <w:rFonts w:ascii="Arial" w:hAnsi="Arial" w:hint="default"/>
      </w:rPr>
    </w:lvl>
    <w:lvl w:ilvl="4" w:tplc="239EE17A" w:tentative="1">
      <w:start w:val="1"/>
      <w:numFmt w:val="bullet"/>
      <w:lvlText w:val="•"/>
      <w:lvlJc w:val="left"/>
      <w:pPr>
        <w:tabs>
          <w:tab w:val="num" w:pos="3600"/>
        </w:tabs>
        <w:ind w:left="3600" w:hanging="360"/>
      </w:pPr>
      <w:rPr>
        <w:rFonts w:ascii="Arial" w:hAnsi="Arial" w:hint="default"/>
      </w:rPr>
    </w:lvl>
    <w:lvl w:ilvl="5" w:tplc="CAB2C8E4" w:tentative="1">
      <w:start w:val="1"/>
      <w:numFmt w:val="bullet"/>
      <w:lvlText w:val="•"/>
      <w:lvlJc w:val="left"/>
      <w:pPr>
        <w:tabs>
          <w:tab w:val="num" w:pos="4320"/>
        </w:tabs>
        <w:ind w:left="4320" w:hanging="360"/>
      </w:pPr>
      <w:rPr>
        <w:rFonts w:ascii="Arial" w:hAnsi="Arial" w:hint="default"/>
      </w:rPr>
    </w:lvl>
    <w:lvl w:ilvl="6" w:tplc="67DCF4A8" w:tentative="1">
      <w:start w:val="1"/>
      <w:numFmt w:val="bullet"/>
      <w:lvlText w:val="•"/>
      <w:lvlJc w:val="left"/>
      <w:pPr>
        <w:tabs>
          <w:tab w:val="num" w:pos="5040"/>
        </w:tabs>
        <w:ind w:left="5040" w:hanging="360"/>
      </w:pPr>
      <w:rPr>
        <w:rFonts w:ascii="Arial" w:hAnsi="Arial" w:hint="default"/>
      </w:rPr>
    </w:lvl>
    <w:lvl w:ilvl="7" w:tplc="6F44E5A0" w:tentative="1">
      <w:start w:val="1"/>
      <w:numFmt w:val="bullet"/>
      <w:lvlText w:val="•"/>
      <w:lvlJc w:val="left"/>
      <w:pPr>
        <w:tabs>
          <w:tab w:val="num" w:pos="5760"/>
        </w:tabs>
        <w:ind w:left="5760" w:hanging="360"/>
      </w:pPr>
      <w:rPr>
        <w:rFonts w:ascii="Arial" w:hAnsi="Arial" w:hint="default"/>
      </w:rPr>
    </w:lvl>
    <w:lvl w:ilvl="8" w:tplc="AAE810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873D40"/>
    <w:multiLevelType w:val="hybridMultilevel"/>
    <w:tmpl w:val="E72285D0"/>
    <w:lvl w:ilvl="0" w:tplc="2546463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BB1F83"/>
    <w:multiLevelType w:val="hybridMultilevel"/>
    <w:tmpl w:val="317A8454"/>
    <w:lvl w:ilvl="0" w:tplc="1BBC7774">
      <w:start w:val="1"/>
      <w:numFmt w:val="bullet"/>
      <w:lvlText w:val="•"/>
      <w:lvlJc w:val="left"/>
      <w:pPr>
        <w:tabs>
          <w:tab w:val="num" w:pos="720"/>
        </w:tabs>
        <w:ind w:left="720" w:hanging="360"/>
      </w:pPr>
      <w:rPr>
        <w:rFonts w:ascii="Arial" w:hAnsi="Arial" w:hint="default"/>
      </w:rPr>
    </w:lvl>
    <w:lvl w:ilvl="1" w:tplc="16A4E244" w:tentative="1">
      <w:start w:val="1"/>
      <w:numFmt w:val="bullet"/>
      <w:lvlText w:val="•"/>
      <w:lvlJc w:val="left"/>
      <w:pPr>
        <w:tabs>
          <w:tab w:val="num" w:pos="1440"/>
        </w:tabs>
        <w:ind w:left="1440" w:hanging="360"/>
      </w:pPr>
      <w:rPr>
        <w:rFonts w:ascii="Arial" w:hAnsi="Arial" w:hint="default"/>
      </w:rPr>
    </w:lvl>
    <w:lvl w:ilvl="2" w:tplc="0562BBF2" w:tentative="1">
      <w:start w:val="1"/>
      <w:numFmt w:val="bullet"/>
      <w:lvlText w:val="•"/>
      <w:lvlJc w:val="left"/>
      <w:pPr>
        <w:tabs>
          <w:tab w:val="num" w:pos="2160"/>
        </w:tabs>
        <w:ind w:left="2160" w:hanging="360"/>
      </w:pPr>
      <w:rPr>
        <w:rFonts w:ascii="Arial" w:hAnsi="Arial" w:hint="default"/>
      </w:rPr>
    </w:lvl>
    <w:lvl w:ilvl="3" w:tplc="B4302DA6" w:tentative="1">
      <w:start w:val="1"/>
      <w:numFmt w:val="bullet"/>
      <w:lvlText w:val="•"/>
      <w:lvlJc w:val="left"/>
      <w:pPr>
        <w:tabs>
          <w:tab w:val="num" w:pos="2880"/>
        </w:tabs>
        <w:ind w:left="2880" w:hanging="360"/>
      </w:pPr>
      <w:rPr>
        <w:rFonts w:ascii="Arial" w:hAnsi="Arial" w:hint="default"/>
      </w:rPr>
    </w:lvl>
    <w:lvl w:ilvl="4" w:tplc="C34E3472" w:tentative="1">
      <w:start w:val="1"/>
      <w:numFmt w:val="bullet"/>
      <w:lvlText w:val="•"/>
      <w:lvlJc w:val="left"/>
      <w:pPr>
        <w:tabs>
          <w:tab w:val="num" w:pos="3600"/>
        </w:tabs>
        <w:ind w:left="3600" w:hanging="360"/>
      </w:pPr>
      <w:rPr>
        <w:rFonts w:ascii="Arial" w:hAnsi="Arial" w:hint="default"/>
      </w:rPr>
    </w:lvl>
    <w:lvl w:ilvl="5" w:tplc="53BA567E" w:tentative="1">
      <w:start w:val="1"/>
      <w:numFmt w:val="bullet"/>
      <w:lvlText w:val="•"/>
      <w:lvlJc w:val="left"/>
      <w:pPr>
        <w:tabs>
          <w:tab w:val="num" w:pos="4320"/>
        </w:tabs>
        <w:ind w:left="4320" w:hanging="360"/>
      </w:pPr>
      <w:rPr>
        <w:rFonts w:ascii="Arial" w:hAnsi="Arial" w:hint="default"/>
      </w:rPr>
    </w:lvl>
    <w:lvl w:ilvl="6" w:tplc="92C2AEEA" w:tentative="1">
      <w:start w:val="1"/>
      <w:numFmt w:val="bullet"/>
      <w:lvlText w:val="•"/>
      <w:lvlJc w:val="left"/>
      <w:pPr>
        <w:tabs>
          <w:tab w:val="num" w:pos="5040"/>
        </w:tabs>
        <w:ind w:left="5040" w:hanging="360"/>
      </w:pPr>
      <w:rPr>
        <w:rFonts w:ascii="Arial" w:hAnsi="Arial" w:hint="default"/>
      </w:rPr>
    </w:lvl>
    <w:lvl w:ilvl="7" w:tplc="E4FC5C86" w:tentative="1">
      <w:start w:val="1"/>
      <w:numFmt w:val="bullet"/>
      <w:lvlText w:val="•"/>
      <w:lvlJc w:val="left"/>
      <w:pPr>
        <w:tabs>
          <w:tab w:val="num" w:pos="5760"/>
        </w:tabs>
        <w:ind w:left="5760" w:hanging="360"/>
      </w:pPr>
      <w:rPr>
        <w:rFonts w:ascii="Arial" w:hAnsi="Arial" w:hint="default"/>
      </w:rPr>
    </w:lvl>
    <w:lvl w:ilvl="8" w:tplc="F54E3A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D62C86"/>
    <w:multiLevelType w:val="hybridMultilevel"/>
    <w:tmpl w:val="08EE1062"/>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D5712D"/>
    <w:multiLevelType w:val="hybridMultilevel"/>
    <w:tmpl w:val="34145BF2"/>
    <w:lvl w:ilvl="0" w:tplc="E8746E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B47F9"/>
    <w:multiLevelType w:val="hybridMultilevel"/>
    <w:tmpl w:val="1C86A864"/>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E60D6"/>
    <w:multiLevelType w:val="hybridMultilevel"/>
    <w:tmpl w:val="34088E0C"/>
    <w:lvl w:ilvl="0" w:tplc="9A9823F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05EDE"/>
    <w:multiLevelType w:val="hybridMultilevel"/>
    <w:tmpl w:val="4AA87C7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C2044"/>
    <w:multiLevelType w:val="hybridMultilevel"/>
    <w:tmpl w:val="F822C64E"/>
    <w:lvl w:ilvl="0" w:tplc="26EA6374">
      <w:start w:val="1"/>
      <w:numFmt w:val="bullet"/>
      <w:lvlText w:val="•"/>
      <w:lvlJc w:val="left"/>
      <w:pPr>
        <w:tabs>
          <w:tab w:val="num" w:pos="720"/>
        </w:tabs>
        <w:ind w:left="720" w:hanging="360"/>
      </w:pPr>
      <w:rPr>
        <w:rFonts w:ascii="Arial" w:hAnsi="Arial" w:hint="default"/>
      </w:rPr>
    </w:lvl>
    <w:lvl w:ilvl="1" w:tplc="B6F8CFC0" w:tentative="1">
      <w:start w:val="1"/>
      <w:numFmt w:val="bullet"/>
      <w:lvlText w:val="•"/>
      <w:lvlJc w:val="left"/>
      <w:pPr>
        <w:tabs>
          <w:tab w:val="num" w:pos="1440"/>
        </w:tabs>
        <w:ind w:left="1440" w:hanging="360"/>
      </w:pPr>
      <w:rPr>
        <w:rFonts w:ascii="Arial" w:hAnsi="Arial" w:hint="default"/>
      </w:rPr>
    </w:lvl>
    <w:lvl w:ilvl="2" w:tplc="6F72E13A" w:tentative="1">
      <w:start w:val="1"/>
      <w:numFmt w:val="bullet"/>
      <w:lvlText w:val="•"/>
      <w:lvlJc w:val="left"/>
      <w:pPr>
        <w:tabs>
          <w:tab w:val="num" w:pos="2160"/>
        </w:tabs>
        <w:ind w:left="2160" w:hanging="360"/>
      </w:pPr>
      <w:rPr>
        <w:rFonts w:ascii="Arial" w:hAnsi="Arial" w:hint="default"/>
      </w:rPr>
    </w:lvl>
    <w:lvl w:ilvl="3" w:tplc="F73C6946" w:tentative="1">
      <w:start w:val="1"/>
      <w:numFmt w:val="bullet"/>
      <w:lvlText w:val="•"/>
      <w:lvlJc w:val="left"/>
      <w:pPr>
        <w:tabs>
          <w:tab w:val="num" w:pos="2880"/>
        </w:tabs>
        <w:ind w:left="2880" w:hanging="360"/>
      </w:pPr>
      <w:rPr>
        <w:rFonts w:ascii="Arial" w:hAnsi="Arial" w:hint="default"/>
      </w:rPr>
    </w:lvl>
    <w:lvl w:ilvl="4" w:tplc="3E68A4CA" w:tentative="1">
      <w:start w:val="1"/>
      <w:numFmt w:val="bullet"/>
      <w:lvlText w:val="•"/>
      <w:lvlJc w:val="left"/>
      <w:pPr>
        <w:tabs>
          <w:tab w:val="num" w:pos="3600"/>
        </w:tabs>
        <w:ind w:left="3600" w:hanging="360"/>
      </w:pPr>
      <w:rPr>
        <w:rFonts w:ascii="Arial" w:hAnsi="Arial" w:hint="default"/>
      </w:rPr>
    </w:lvl>
    <w:lvl w:ilvl="5" w:tplc="5DA60340" w:tentative="1">
      <w:start w:val="1"/>
      <w:numFmt w:val="bullet"/>
      <w:lvlText w:val="•"/>
      <w:lvlJc w:val="left"/>
      <w:pPr>
        <w:tabs>
          <w:tab w:val="num" w:pos="4320"/>
        </w:tabs>
        <w:ind w:left="4320" w:hanging="360"/>
      </w:pPr>
      <w:rPr>
        <w:rFonts w:ascii="Arial" w:hAnsi="Arial" w:hint="default"/>
      </w:rPr>
    </w:lvl>
    <w:lvl w:ilvl="6" w:tplc="F57C17C8" w:tentative="1">
      <w:start w:val="1"/>
      <w:numFmt w:val="bullet"/>
      <w:lvlText w:val="•"/>
      <w:lvlJc w:val="left"/>
      <w:pPr>
        <w:tabs>
          <w:tab w:val="num" w:pos="5040"/>
        </w:tabs>
        <w:ind w:left="5040" w:hanging="360"/>
      </w:pPr>
      <w:rPr>
        <w:rFonts w:ascii="Arial" w:hAnsi="Arial" w:hint="default"/>
      </w:rPr>
    </w:lvl>
    <w:lvl w:ilvl="7" w:tplc="B43CCEE0" w:tentative="1">
      <w:start w:val="1"/>
      <w:numFmt w:val="bullet"/>
      <w:lvlText w:val="•"/>
      <w:lvlJc w:val="left"/>
      <w:pPr>
        <w:tabs>
          <w:tab w:val="num" w:pos="5760"/>
        </w:tabs>
        <w:ind w:left="5760" w:hanging="360"/>
      </w:pPr>
      <w:rPr>
        <w:rFonts w:ascii="Arial" w:hAnsi="Arial" w:hint="default"/>
      </w:rPr>
    </w:lvl>
    <w:lvl w:ilvl="8" w:tplc="0814315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1"/>
  </w:num>
  <w:num w:numId="3">
    <w:abstractNumId w:val="14"/>
  </w:num>
  <w:num w:numId="4">
    <w:abstractNumId w:val="15"/>
  </w:num>
  <w:num w:numId="5">
    <w:abstractNumId w:val="11"/>
  </w:num>
  <w:num w:numId="6">
    <w:abstractNumId w:val="17"/>
  </w:num>
  <w:num w:numId="7">
    <w:abstractNumId w:val="25"/>
  </w:num>
  <w:num w:numId="8">
    <w:abstractNumId w:val="12"/>
  </w:num>
  <w:num w:numId="9">
    <w:abstractNumId w:val="9"/>
  </w:num>
  <w:num w:numId="10">
    <w:abstractNumId w:val="3"/>
  </w:num>
  <w:num w:numId="11">
    <w:abstractNumId w:val="2"/>
  </w:num>
  <w:num w:numId="12">
    <w:abstractNumId w:val="1"/>
  </w:num>
  <w:num w:numId="13">
    <w:abstractNumId w:val="22"/>
  </w:num>
  <w:num w:numId="14">
    <w:abstractNumId w:val="0"/>
  </w:num>
  <w:num w:numId="15">
    <w:abstractNumId w:val="10"/>
  </w:num>
  <w:num w:numId="16">
    <w:abstractNumId w:val="26"/>
  </w:num>
  <w:num w:numId="17">
    <w:abstractNumId w:val="16"/>
  </w:num>
  <w:num w:numId="18">
    <w:abstractNumId w:val="2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8"/>
  </w:num>
  <w:num w:numId="22">
    <w:abstractNumId w:val="7"/>
  </w:num>
  <w:num w:numId="23">
    <w:abstractNumId w:val="4"/>
  </w:num>
  <w:num w:numId="24">
    <w:abstractNumId w:val="8"/>
  </w:num>
  <w:num w:numId="25">
    <w:abstractNumId w:val="27"/>
  </w:num>
  <w:num w:numId="26">
    <w:abstractNumId w:val="13"/>
  </w:num>
  <w:num w:numId="27">
    <w:abstractNumId w:val="6"/>
  </w:num>
  <w:num w:numId="28">
    <w:abstractNumId w:val="19"/>
  </w:num>
  <w:num w:numId="2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6"/>
    <w:rsid w:val="00003FC6"/>
    <w:rsid w:val="0000620F"/>
    <w:rsid w:val="00006446"/>
    <w:rsid w:val="00006896"/>
    <w:rsid w:val="00007CDC"/>
    <w:rsid w:val="00007EDB"/>
    <w:rsid w:val="00011B28"/>
    <w:rsid w:val="000136F9"/>
    <w:rsid w:val="00015D15"/>
    <w:rsid w:val="00017E13"/>
    <w:rsid w:val="0002564D"/>
    <w:rsid w:val="00025ECA"/>
    <w:rsid w:val="000325B8"/>
    <w:rsid w:val="00032982"/>
    <w:rsid w:val="00033BAB"/>
    <w:rsid w:val="000340C8"/>
    <w:rsid w:val="00034C15"/>
    <w:rsid w:val="00036BA1"/>
    <w:rsid w:val="000422E2"/>
    <w:rsid w:val="00042F22"/>
    <w:rsid w:val="000444EF"/>
    <w:rsid w:val="000448EA"/>
    <w:rsid w:val="00045CBA"/>
    <w:rsid w:val="00046E89"/>
    <w:rsid w:val="000524D6"/>
    <w:rsid w:val="00052A07"/>
    <w:rsid w:val="000534E3"/>
    <w:rsid w:val="00056039"/>
    <w:rsid w:val="0005606A"/>
    <w:rsid w:val="00057117"/>
    <w:rsid w:val="000603D1"/>
    <w:rsid w:val="000616E7"/>
    <w:rsid w:val="0006478A"/>
    <w:rsid w:val="0006487E"/>
    <w:rsid w:val="00065E1A"/>
    <w:rsid w:val="0007265B"/>
    <w:rsid w:val="0007593F"/>
    <w:rsid w:val="00076C39"/>
    <w:rsid w:val="00077E5F"/>
    <w:rsid w:val="0008036A"/>
    <w:rsid w:val="00081AE6"/>
    <w:rsid w:val="00081DC5"/>
    <w:rsid w:val="000855EB"/>
    <w:rsid w:val="00085B52"/>
    <w:rsid w:val="00086353"/>
    <w:rsid w:val="000866F2"/>
    <w:rsid w:val="0009009F"/>
    <w:rsid w:val="0009012F"/>
    <w:rsid w:val="00091557"/>
    <w:rsid w:val="000924C1"/>
    <w:rsid w:val="000924F0"/>
    <w:rsid w:val="00092B4B"/>
    <w:rsid w:val="00093474"/>
    <w:rsid w:val="0009510F"/>
    <w:rsid w:val="000A1B7B"/>
    <w:rsid w:val="000A326B"/>
    <w:rsid w:val="000A56F2"/>
    <w:rsid w:val="000B004E"/>
    <w:rsid w:val="000B2719"/>
    <w:rsid w:val="000B3A8F"/>
    <w:rsid w:val="000B4AB9"/>
    <w:rsid w:val="000B58C3"/>
    <w:rsid w:val="000B61E9"/>
    <w:rsid w:val="000B66A8"/>
    <w:rsid w:val="000B7B33"/>
    <w:rsid w:val="000C165A"/>
    <w:rsid w:val="000C21CB"/>
    <w:rsid w:val="000C22B6"/>
    <w:rsid w:val="000C2E19"/>
    <w:rsid w:val="000C3E6D"/>
    <w:rsid w:val="000C635D"/>
    <w:rsid w:val="000D0D07"/>
    <w:rsid w:val="000D4797"/>
    <w:rsid w:val="000E0527"/>
    <w:rsid w:val="000E1E92"/>
    <w:rsid w:val="000E27AD"/>
    <w:rsid w:val="000E2A68"/>
    <w:rsid w:val="000F0189"/>
    <w:rsid w:val="000F06D6"/>
    <w:rsid w:val="000F0EB1"/>
    <w:rsid w:val="000F1106"/>
    <w:rsid w:val="000F3BE9"/>
    <w:rsid w:val="000F3F6C"/>
    <w:rsid w:val="000F6DF3"/>
    <w:rsid w:val="001005FF"/>
    <w:rsid w:val="00101309"/>
    <w:rsid w:val="00101799"/>
    <w:rsid w:val="001062FB"/>
    <w:rsid w:val="001063E6"/>
    <w:rsid w:val="00110804"/>
    <w:rsid w:val="00111D0B"/>
    <w:rsid w:val="00111DC7"/>
    <w:rsid w:val="0011363E"/>
    <w:rsid w:val="00113CF4"/>
    <w:rsid w:val="001153EA"/>
    <w:rsid w:val="001155DC"/>
    <w:rsid w:val="00115643"/>
    <w:rsid w:val="001161E5"/>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0F4"/>
    <w:rsid w:val="00142AA9"/>
    <w:rsid w:val="00144E40"/>
    <w:rsid w:val="00151099"/>
    <w:rsid w:val="00151E23"/>
    <w:rsid w:val="001526E0"/>
    <w:rsid w:val="00154102"/>
    <w:rsid w:val="001551B5"/>
    <w:rsid w:val="001570E2"/>
    <w:rsid w:val="001578A0"/>
    <w:rsid w:val="0016168E"/>
    <w:rsid w:val="0016360E"/>
    <w:rsid w:val="001659C1"/>
    <w:rsid w:val="00166E7F"/>
    <w:rsid w:val="00170546"/>
    <w:rsid w:val="00170C0D"/>
    <w:rsid w:val="00173A8E"/>
    <w:rsid w:val="00174691"/>
    <w:rsid w:val="00174693"/>
    <w:rsid w:val="001748BD"/>
    <w:rsid w:val="00177795"/>
    <w:rsid w:val="0018143F"/>
    <w:rsid w:val="00183D3A"/>
    <w:rsid w:val="0018412F"/>
    <w:rsid w:val="00185502"/>
    <w:rsid w:val="00190AC1"/>
    <w:rsid w:val="0019341A"/>
    <w:rsid w:val="00197DF9"/>
    <w:rsid w:val="001A0368"/>
    <w:rsid w:val="001A0FF8"/>
    <w:rsid w:val="001A1987"/>
    <w:rsid w:val="001A1B6F"/>
    <w:rsid w:val="001A2564"/>
    <w:rsid w:val="001A39CF"/>
    <w:rsid w:val="001A506E"/>
    <w:rsid w:val="001A5EDD"/>
    <w:rsid w:val="001A6173"/>
    <w:rsid w:val="001A6CBA"/>
    <w:rsid w:val="001B0D97"/>
    <w:rsid w:val="001B501F"/>
    <w:rsid w:val="001B5A5D"/>
    <w:rsid w:val="001B5C4C"/>
    <w:rsid w:val="001B7F53"/>
    <w:rsid w:val="001C1CE5"/>
    <w:rsid w:val="001C3D2A"/>
    <w:rsid w:val="001C6429"/>
    <w:rsid w:val="001D51BA"/>
    <w:rsid w:val="001D6342"/>
    <w:rsid w:val="001D6D53"/>
    <w:rsid w:val="001D7642"/>
    <w:rsid w:val="001E0C83"/>
    <w:rsid w:val="001E3971"/>
    <w:rsid w:val="001E4E66"/>
    <w:rsid w:val="001E58E2"/>
    <w:rsid w:val="001E62BB"/>
    <w:rsid w:val="001E7AED"/>
    <w:rsid w:val="001F238A"/>
    <w:rsid w:val="001F319D"/>
    <w:rsid w:val="001F3916"/>
    <w:rsid w:val="001F5191"/>
    <w:rsid w:val="001F54C5"/>
    <w:rsid w:val="001F5B9B"/>
    <w:rsid w:val="001F662C"/>
    <w:rsid w:val="001F66D0"/>
    <w:rsid w:val="001F6F78"/>
    <w:rsid w:val="001F7074"/>
    <w:rsid w:val="00200490"/>
    <w:rsid w:val="00201F3A"/>
    <w:rsid w:val="00203F96"/>
    <w:rsid w:val="002054F1"/>
    <w:rsid w:val="002069B2"/>
    <w:rsid w:val="00207FA3"/>
    <w:rsid w:val="00210D60"/>
    <w:rsid w:val="0021180A"/>
    <w:rsid w:val="00214DA8"/>
    <w:rsid w:val="00215423"/>
    <w:rsid w:val="002158FA"/>
    <w:rsid w:val="00220600"/>
    <w:rsid w:val="002224DB"/>
    <w:rsid w:val="00223FCB"/>
    <w:rsid w:val="00224682"/>
    <w:rsid w:val="002252C3"/>
    <w:rsid w:val="00225C54"/>
    <w:rsid w:val="00227FED"/>
    <w:rsid w:val="00230765"/>
    <w:rsid w:val="002319E4"/>
    <w:rsid w:val="00231DAA"/>
    <w:rsid w:val="00232478"/>
    <w:rsid w:val="00235632"/>
    <w:rsid w:val="00235872"/>
    <w:rsid w:val="002408F6"/>
    <w:rsid w:val="00241559"/>
    <w:rsid w:val="002435B3"/>
    <w:rsid w:val="002458EB"/>
    <w:rsid w:val="00245A45"/>
    <w:rsid w:val="00246A01"/>
    <w:rsid w:val="002500C8"/>
    <w:rsid w:val="00255964"/>
    <w:rsid w:val="00257543"/>
    <w:rsid w:val="002617E7"/>
    <w:rsid w:val="00262232"/>
    <w:rsid w:val="00264228"/>
    <w:rsid w:val="00264334"/>
    <w:rsid w:val="0026473E"/>
    <w:rsid w:val="0026475A"/>
    <w:rsid w:val="00266214"/>
    <w:rsid w:val="00267C83"/>
    <w:rsid w:val="0027144F"/>
    <w:rsid w:val="00271F3A"/>
    <w:rsid w:val="00272738"/>
    <w:rsid w:val="00272AC7"/>
    <w:rsid w:val="00273278"/>
    <w:rsid w:val="002737F4"/>
    <w:rsid w:val="002746CF"/>
    <w:rsid w:val="002805F5"/>
    <w:rsid w:val="00280751"/>
    <w:rsid w:val="0028280A"/>
    <w:rsid w:val="00286ACD"/>
    <w:rsid w:val="00287838"/>
    <w:rsid w:val="002907B5"/>
    <w:rsid w:val="00292EB7"/>
    <w:rsid w:val="00296227"/>
    <w:rsid w:val="00296F44"/>
    <w:rsid w:val="0029777D"/>
    <w:rsid w:val="002A055E"/>
    <w:rsid w:val="002A1D4E"/>
    <w:rsid w:val="002A2869"/>
    <w:rsid w:val="002A34FE"/>
    <w:rsid w:val="002B24D6"/>
    <w:rsid w:val="002B4CE9"/>
    <w:rsid w:val="002C17EA"/>
    <w:rsid w:val="002C1FAD"/>
    <w:rsid w:val="002C41E6"/>
    <w:rsid w:val="002D071A"/>
    <w:rsid w:val="002D1464"/>
    <w:rsid w:val="002D23B3"/>
    <w:rsid w:val="002D34B2"/>
    <w:rsid w:val="002D4A15"/>
    <w:rsid w:val="002D7225"/>
    <w:rsid w:val="002D7637"/>
    <w:rsid w:val="002E17F2"/>
    <w:rsid w:val="002E7C88"/>
    <w:rsid w:val="002E7CAE"/>
    <w:rsid w:val="002F1C55"/>
    <w:rsid w:val="002F2771"/>
    <w:rsid w:val="002F37A9"/>
    <w:rsid w:val="002F5BBD"/>
    <w:rsid w:val="00301CE6"/>
    <w:rsid w:val="0030256B"/>
    <w:rsid w:val="00302CA2"/>
    <w:rsid w:val="0030340C"/>
    <w:rsid w:val="0030501F"/>
    <w:rsid w:val="0030638C"/>
    <w:rsid w:val="00307BA1"/>
    <w:rsid w:val="00310A30"/>
    <w:rsid w:val="003110D0"/>
    <w:rsid w:val="00311702"/>
    <w:rsid w:val="00311CC7"/>
    <w:rsid w:val="00311E82"/>
    <w:rsid w:val="00313FD6"/>
    <w:rsid w:val="003143BD"/>
    <w:rsid w:val="00317548"/>
    <w:rsid w:val="003203ED"/>
    <w:rsid w:val="00322C9F"/>
    <w:rsid w:val="003235D3"/>
    <w:rsid w:val="003244F4"/>
    <w:rsid w:val="00324D23"/>
    <w:rsid w:val="003268E0"/>
    <w:rsid w:val="00331751"/>
    <w:rsid w:val="00334579"/>
    <w:rsid w:val="00335858"/>
    <w:rsid w:val="0033662A"/>
    <w:rsid w:val="00336BDA"/>
    <w:rsid w:val="00337F45"/>
    <w:rsid w:val="003410C7"/>
    <w:rsid w:val="00342466"/>
    <w:rsid w:val="00342BD7"/>
    <w:rsid w:val="00343A07"/>
    <w:rsid w:val="00346597"/>
    <w:rsid w:val="00346DB5"/>
    <w:rsid w:val="003477B1"/>
    <w:rsid w:val="00350245"/>
    <w:rsid w:val="003527AC"/>
    <w:rsid w:val="00353414"/>
    <w:rsid w:val="00357380"/>
    <w:rsid w:val="00357F54"/>
    <w:rsid w:val="003602D9"/>
    <w:rsid w:val="003604CE"/>
    <w:rsid w:val="0036550A"/>
    <w:rsid w:val="00365F79"/>
    <w:rsid w:val="00370E47"/>
    <w:rsid w:val="003742AC"/>
    <w:rsid w:val="003766F3"/>
    <w:rsid w:val="00377CE1"/>
    <w:rsid w:val="00385BF0"/>
    <w:rsid w:val="0038799F"/>
    <w:rsid w:val="00387CDE"/>
    <w:rsid w:val="003932C4"/>
    <w:rsid w:val="003939FF"/>
    <w:rsid w:val="003972D6"/>
    <w:rsid w:val="003A1EC8"/>
    <w:rsid w:val="003A2097"/>
    <w:rsid w:val="003A2223"/>
    <w:rsid w:val="003A2A0F"/>
    <w:rsid w:val="003A33D1"/>
    <w:rsid w:val="003A3FB3"/>
    <w:rsid w:val="003A45A1"/>
    <w:rsid w:val="003A5B0A"/>
    <w:rsid w:val="003A5C65"/>
    <w:rsid w:val="003A6265"/>
    <w:rsid w:val="003A6BAC"/>
    <w:rsid w:val="003A7EF3"/>
    <w:rsid w:val="003B159C"/>
    <w:rsid w:val="003B369F"/>
    <w:rsid w:val="003B36A3"/>
    <w:rsid w:val="003B6BAD"/>
    <w:rsid w:val="003B7FE5"/>
    <w:rsid w:val="003C11C8"/>
    <w:rsid w:val="003C1406"/>
    <w:rsid w:val="003C2702"/>
    <w:rsid w:val="003C2ACE"/>
    <w:rsid w:val="003C7806"/>
    <w:rsid w:val="003D0CD4"/>
    <w:rsid w:val="003D109F"/>
    <w:rsid w:val="003D2478"/>
    <w:rsid w:val="003D3C45"/>
    <w:rsid w:val="003D5B1F"/>
    <w:rsid w:val="003E15FA"/>
    <w:rsid w:val="003E1E1D"/>
    <w:rsid w:val="003E55E4"/>
    <w:rsid w:val="003E5F40"/>
    <w:rsid w:val="003E74E3"/>
    <w:rsid w:val="003F05C7"/>
    <w:rsid w:val="003F271A"/>
    <w:rsid w:val="003F2CD4"/>
    <w:rsid w:val="003F6BBE"/>
    <w:rsid w:val="003F7F56"/>
    <w:rsid w:val="004000E8"/>
    <w:rsid w:val="00402BCE"/>
    <w:rsid w:val="00402E2B"/>
    <w:rsid w:val="0040512B"/>
    <w:rsid w:val="00405CA5"/>
    <w:rsid w:val="00405E9B"/>
    <w:rsid w:val="00407CD3"/>
    <w:rsid w:val="00410134"/>
    <w:rsid w:val="00410842"/>
    <w:rsid w:val="00410B72"/>
    <w:rsid w:val="00410F18"/>
    <w:rsid w:val="004125E4"/>
    <w:rsid w:val="0041263E"/>
    <w:rsid w:val="00413AAC"/>
    <w:rsid w:val="00414805"/>
    <w:rsid w:val="00415340"/>
    <w:rsid w:val="00415760"/>
    <w:rsid w:val="00421105"/>
    <w:rsid w:val="004242F4"/>
    <w:rsid w:val="00425C30"/>
    <w:rsid w:val="00427248"/>
    <w:rsid w:val="00427252"/>
    <w:rsid w:val="004309FB"/>
    <w:rsid w:val="00437447"/>
    <w:rsid w:val="00441A92"/>
    <w:rsid w:val="0044405D"/>
    <w:rsid w:val="00444719"/>
    <w:rsid w:val="00444F56"/>
    <w:rsid w:val="00446488"/>
    <w:rsid w:val="004517AA"/>
    <w:rsid w:val="00452B53"/>
    <w:rsid w:val="00452CAC"/>
    <w:rsid w:val="00453C15"/>
    <w:rsid w:val="00457565"/>
    <w:rsid w:val="00457B71"/>
    <w:rsid w:val="0046275E"/>
    <w:rsid w:val="004669E2"/>
    <w:rsid w:val="00467304"/>
    <w:rsid w:val="00470C31"/>
    <w:rsid w:val="004734D0"/>
    <w:rsid w:val="0047447B"/>
    <w:rsid w:val="0047556B"/>
    <w:rsid w:val="00477768"/>
    <w:rsid w:val="004808B3"/>
    <w:rsid w:val="00480ACB"/>
    <w:rsid w:val="00484963"/>
    <w:rsid w:val="00484FD1"/>
    <w:rsid w:val="004903E5"/>
    <w:rsid w:val="00490A33"/>
    <w:rsid w:val="00492BC5"/>
    <w:rsid w:val="004964F1"/>
    <w:rsid w:val="004A0379"/>
    <w:rsid w:val="004A163A"/>
    <w:rsid w:val="004A16BC"/>
    <w:rsid w:val="004A2715"/>
    <w:rsid w:val="004A2B94"/>
    <w:rsid w:val="004A5010"/>
    <w:rsid w:val="004B1570"/>
    <w:rsid w:val="004B2263"/>
    <w:rsid w:val="004B25D4"/>
    <w:rsid w:val="004B3837"/>
    <w:rsid w:val="004B732B"/>
    <w:rsid w:val="004B7C0C"/>
    <w:rsid w:val="004B7DB3"/>
    <w:rsid w:val="004C13E4"/>
    <w:rsid w:val="004C3898"/>
    <w:rsid w:val="004C4D69"/>
    <w:rsid w:val="004C62D9"/>
    <w:rsid w:val="004C6818"/>
    <w:rsid w:val="004D36B1"/>
    <w:rsid w:val="004D49A7"/>
    <w:rsid w:val="004D49D5"/>
    <w:rsid w:val="004D4FC8"/>
    <w:rsid w:val="004D559D"/>
    <w:rsid w:val="004D7EBD"/>
    <w:rsid w:val="004E0478"/>
    <w:rsid w:val="004E267D"/>
    <w:rsid w:val="004E2680"/>
    <w:rsid w:val="004E28F9"/>
    <w:rsid w:val="004E2E61"/>
    <w:rsid w:val="004E462E"/>
    <w:rsid w:val="004E56DC"/>
    <w:rsid w:val="004E5829"/>
    <w:rsid w:val="004E6B56"/>
    <w:rsid w:val="004E76F4"/>
    <w:rsid w:val="004F0B4E"/>
    <w:rsid w:val="004F0B6C"/>
    <w:rsid w:val="004F2078"/>
    <w:rsid w:val="004F4DA3"/>
    <w:rsid w:val="00500B4A"/>
    <w:rsid w:val="00502872"/>
    <w:rsid w:val="00504538"/>
    <w:rsid w:val="00504778"/>
    <w:rsid w:val="0050591F"/>
    <w:rsid w:val="005062FE"/>
    <w:rsid w:val="00506557"/>
    <w:rsid w:val="00506746"/>
    <w:rsid w:val="0050677A"/>
    <w:rsid w:val="005108D8"/>
    <w:rsid w:val="005116F9"/>
    <w:rsid w:val="00514695"/>
    <w:rsid w:val="005153A7"/>
    <w:rsid w:val="005219CF"/>
    <w:rsid w:val="00523C4C"/>
    <w:rsid w:val="0052768C"/>
    <w:rsid w:val="00532914"/>
    <w:rsid w:val="00534B59"/>
    <w:rsid w:val="00536759"/>
    <w:rsid w:val="00537C62"/>
    <w:rsid w:val="00540879"/>
    <w:rsid w:val="00543986"/>
    <w:rsid w:val="00544D5B"/>
    <w:rsid w:val="00546970"/>
    <w:rsid w:val="00546C74"/>
    <w:rsid w:val="0055187D"/>
    <w:rsid w:val="00554E19"/>
    <w:rsid w:val="00555435"/>
    <w:rsid w:val="0056121F"/>
    <w:rsid w:val="00563300"/>
    <w:rsid w:val="00564129"/>
    <w:rsid w:val="005675F3"/>
    <w:rsid w:val="00570285"/>
    <w:rsid w:val="0057036A"/>
    <w:rsid w:val="00572505"/>
    <w:rsid w:val="00582809"/>
    <w:rsid w:val="00583B4E"/>
    <w:rsid w:val="00584762"/>
    <w:rsid w:val="0058798C"/>
    <w:rsid w:val="005900FA"/>
    <w:rsid w:val="005907B0"/>
    <w:rsid w:val="00590F2B"/>
    <w:rsid w:val="005935A4"/>
    <w:rsid w:val="005948C2"/>
    <w:rsid w:val="00595DCA"/>
    <w:rsid w:val="0059779B"/>
    <w:rsid w:val="00597A81"/>
    <w:rsid w:val="005A0CC7"/>
    <w:rsid w:val="005A209A"/>
    <w:rsid w:val="005A30A2"/>
    <w:rsid w:val="005A3DFE"/>
    <w:rsid w:val="005A44C1"/>
    <w:rsid w:val="005A4689"/>
    <w:rsid w:val="005A61E5"/>
    <w:rsid w:val="005A662D"/>
    <w:rsid w:val="005B35D7"/>
    <w:rsid w:val="005B392A"/>
    <w:rsid w:val="005B3AA3"/>
    <w:rsid w:val="005B6F83"/>
    <w:rsid w:val="005C087F"/>
    <w:rsid w:val="005C0904"/>
    <w:rsid w:val="005C4644"/>
    <w:rsid w:val="005C741E"/>
    <w:rsid w:val="005C74FB"/>
    <w:rsid w:val="005D1602"/>
    <w:rsid w:val="005D22E6"/>
    <w:rsid w:val="005E385F"/>
    <w:rsid w:val="005E5469"/>
    <w:rsid w:val="005E578E"/>
    <w:rsid w:val="005E5B81"/>
    <w:rsid w:val="005E6859"/>
    <w:rsid w:val="005F1611"/>
    <w:rsid w:val="005F2CB1"/>
    <w:rsid w:val="005F3025"/>
    <w:rsid w:val="005F5283"/>
    <w:rsid w:val="005F618C"/>
    <w:rsid w:val="005F61DD"/>
    <w:rsid w:val="005F70BD"/>
    <w:rsid w:val="0060283C"/>
    <w:rsid w:val="00604F14"/>
    <w:rsid w:val="00611B83"/>
    <w:rsid w:val="00613257"/>
    <w:rsid w:val="00620A71"/>
    <w:rsid w:val="00620D80"/>
    <w:rsid w:val="006234A6"/>
    <w:rsid w:val="00630001"/>
    <w:rsid w:val="006306F0"/>
    <w:rsid w:val="006311B3"/>
    <w:rsid w:val="0063284C"/>
    <w:rsid w:val="00636398"/>
    <w:rsid w:val="006368D3"/>
    <w:rsid w:val="00637408"/>
    <w:rsid w:val="006377EC"/>
    <w:rsid w:val="00640457"/>
    <w:rsid w:val="0064055A"/>
    <w:rsid w:val="0064151F"/>
    <w:rsid w:val="00641533"/>
    <w:rsid w:val="0064208D"/>
    <w:rsid w:val="00643475"/>
    <w:rsid w:val="0064396A"/>
    <w:rsid w:val="0064624E"/>
    <w:rsid w:val="00650AB9"/>
    <w:rsid w:val="00653B73"/>
    <w:rsid w:val="00655733"/>
    <w:rsid w:val="00655ACD"/>
    <w:rsid w:val="00656A92"/>
    <w:rsid w:val="00656DDE"/>
    <w:rsid w:val="006570E8"/>
    <w:rsid w:val="0066011D"/>
    <w:rsid w:val="006607C0"/>
    <w:rsid w:val="006613A6"/>
    <w:rsid w:val="006627A2"/>
    <w:rsid w:val="00662E0C"/>
    <w:rsid w:val="006634E6"/>
    <w:rsid w:val="00663BFB"/>
    <w:rsid w:val="006655EE"/>
    <w:rsid w:val="00667EE7"/>
    <w:rsid w:val="00670922"/>
    <w:rsid w:val="00670BE1"/>
    <w:rsid w:val="0067218F"/>
    <w:rsid w:val="00673734"/>
    <w:rsid w:val="006741F2"/>
    <w:rsid w:val="00674CC3"/>
    <w:rsid w:val="00675C72"/>
    <w:rsid w:val="00675DE5"/>
    <w:rsid w:val="006771F9"/>
    <w:rsid w:val="006776D7"/>
    <w:rsid w:val="00681003"/>
    <w:rsid w:val="006817C9"/>
    <w:rsid w:val="006821B0"/>
    <w:rsid w:val="00683ECE"/>
    <w:rsid w:val="006876D5"/>
    <w:rsid w:val="0069089B"/>
    <w:rsid w:val="00692E66"/>
    <w:rsid w:val="00695FC2"/>
    <w:rsid w:val="00696949"/>
    <w:rsid w:val="00697052"/>
    <w:rsid w:val="006A28CD"/>
    <w:rsid w:val="006A46FB"/>
    <w:rsid w:val="006A5E28"/>
    <w:rsid w:val="006A697B"/>
    <w:rsid w:val="006A7AFF"/>
    <w:rsid w:val="006B1816"/>
    <w:rsid w:val="006B2099"/>
    <w:rsid w:val="006B2666"/>
    <w:rsid w:val="006B50CF"/>
    <w:rsid w:val="006B5BE6"/>
    <w:rsid w:val="006B6620"/>
    <w:rsid w:val="006B698A"/>
    <w:rsid w:val="006C03B8"/>
    <w:rsid w:val="006C1935"/>
    <w:rsid w:val="006C2CDF"/>
    <w:rsid w:val="006C3409"/>
    <w:rsid w:val="006C5EC9"/>
    <w:rsid w:val="006C6059"/>
    <w:rsid w:val="006C7522"/>
    <w:rsid w:val="006D1623"/>
    <w:rsid w:val="006D2139"/>
    <w:rsid w:val="006D2EEA"/>
    <w:rsid w:val="006D633D"/>
    <w:rsid w:val="006D6F08"/>
    <w:rsid w:val="006E062C"/>
    <w:rsid w:val="006E28B7"/>
    <w:rsid w:val="006E3310"/>
    <w:rsid w:val="006E3F07"/>
    <w:rsid w:val="006E4E39"/>
    <w:rsid w:val="006E565E"/>
    <w:rsid w:val="006E5E70"/>
    <w:rsid w:val="006E673D"/>
    <w:rsid w:val="006E7CF4"/>
    <w:rsid w:val="006E7D3B"/>
    <w:rsid w:val="006F1B70"/>
    <w:rsid w:val="006F341D"/>
    <w:rsid w:val="006F3CDE"/>
    <w:rsid w:val="006F58D4"/>
    <w:rsid w:val="006F642D"/>
    <w:rsid w:val="0070346E"/>
    <w:rsid w:val="00704C6C"/>
    <w:rsid w:val="00704EDB"/>
    <w:rsid w:val="00706101"/>
    <w:rsid w:val="00707072"/>
    <w:rsid w:val="00707D61"/>
    <w:rsid w:val="007121FE"/>
    <w:rsid w:val="00712287"/>
    <w:rsid w:val="00712772"/>
    <w:rsid w:val="0071324F"/>
    <w:rsid w:val="007148D3"/>
    <w:rsid w:val="0071544A"/>
    <w:rsid w:val="0071565A"/>
    <w:rsid w:val="00715B9A"/>
    <w:rsid w:val="00720D98"/>
    <w:rsid w:val="0072300F"/>
    <w:rsid w:val="00724FF6"/>
    <w:rsid w:val="00725360"/>
    <w:rsid w:val="00725CEF"/>
    <w:rsid w:val="00726EA6"/>
    <w:rsid w:val="00727208"/>
    <w:rsid w:val="00727680"/>
    <w:rsid w:val="00730A5D"/>
    <w:rsid w:val="00730E5A"/>
    <w:rsid w:val="007348B1"/>
    <w:rsid w:val="007362A6"/>
    <w:rsid w:val="00736D7D"/>
    <w:rsid w:val="00740E58"/>
    <w:rsid w:val="007420E3"/>
    <w:rsid w:val="00742371"/>
    <w:rsid w:val="007445A0"/>
    <w:rsid w:val="0074469B"/>
    <w:rsid w:val="0074524B"/>
    <w:rsid w:val="00747D8B"/>
    <w:rsid w:val="00750E8F"/>
    <w:rsid w:val="00751228"/>
    <w:rsid w:val="007557B4"/>
    <w:rsid w:val="007571E1"/>
    <w:rsid w:val="007604B2"/>
    <w:rsid w:val="00763A70"/>
    <w:rsid w:val="00765281"/>
    <w:rsid w:val="007660C5"/>
    <w:rsid w:val="00766BAD"/>
    <w:rsid w:val="007730BD"/>
    <w:rsid w:val="007755F2"/>
    <w:rsid w:val="00776971"/>
    <w:rsid w:val="0078177E"/>
    <w:rsid w:val="0078304C"/>
    <w:rsid w:val="007834E3"/>
    <w:rsid w:val="00783673"/>
    <w:rsid w:val="00785490"/>
    <w:rsid w:val="0078776C"/>
    <w:rsid w:val="00791306"/>
    <w:rsid w:val="0079200E"/>
    <w:rsid w:val="007925EA"/>
    <w:rsid w:val="00793A12"/>
    <w:rsid w:val="00793CD8"/>
    <w:rsid w:val="00795C92"/>
    <w:rsid w:val="00796231"/>
    <w:rsid w:val="00796954"/>
    <w:rsid w:val="00797169"/>
    <w:rsid w:val="007A1CB3"/>
    <w:rsid w:val="007A306F"/>
    <w:rsid w:val="007A43A6"/>
    <w:rsid w:val="007A4840"/>
    <w:rsid w:val="007A4F5B"/>
    <w:rsid w:val="007A512C"/>
    <w:rsid w:val="007A58A6"/>
    <w:rsid w:val="007A5B1B"/>
    <w:rsid w:val="007A70FE"/>
    <w:rsid w:val="007B05CF"/>
    <w:rsid w:val="007B2BB4"/>
    <w:rsid w:val="007B3D2D"/>
    <w:rsid w:val="007B50AE"/>
    <w:rsid w:val="007B51DF"/>
    <w:rsid w:val="007B5283"/>
    <w:rsid w:val="007B71A3"/>
    <w:rsid w:val="007C011F"/>
    <w:rsid w:val="007C05DD"/>
    <w:rsid w:val="007C1095"/>
    <w:rsid w:val="007C2169"/>
    <w:rsid w:val="007C3D18"/>
    <w:rsid w:val="007C60BF"/>
    <w:rsid w:val="007C6A07"/>
    <w:rsid w:val="007C75A1"/>
    <w:rsid w:val="007C77A5"/>
    <w:rsid w:val="007D04E5"/>
    <w:rsid w:val="007D497F"/>
    <w:rsid w:val="007D5901"/>
    <w:rsid w:val="007D7526"/>
    <w:rsid w:val="007D77B8"/>
    <w:rsid w:val="007E1602"/>
    <w:rsid w:val="007E302B"/>
    <w:rsid w:val="007E4610"/>
    <w:rsid w:val="007E4715"/>
    <w:rsid w:val="007E505B"/>
    <w:rsid w:val="007E5DA0"/>
    <w:rsid w:val="007E7091"/>
    <w:rsid w:val="007E70FA"/>
    <w:rsid w:val="007F0DE8"/>
    <w:rsid w:val="007F1EC4"/>
    <w:rsid w:val="00801917"/>
    <w:rsid w:val="00803FAE"/>
    <w:rsid w:val="00804708"/>
    <w:rsid w:val="0080605F"/>
    <w:rsid w:val="008063A7"/>
    <w:rsid w:val="00807786"/>
    <w:rsid w:val="0081185B"/>
    <w:rsid w:val="00811FCB"/>
    <w:rsid w:val="00813746"/>
    <w:rsid w:val="008158D6"/>
    <w:rsid w:val="00817196"/>
    <w:rsid w:val="0082276B"/>
    <w:rsid w:val="00822B61"/>
    <w:rsid w:val="008235DB"/>
    <w:rsid w:val="00824AB4"/>
    <w:rsid w:val="00825C42"/>
    <w:rsid w:val="00825D25"/>
    <w:rsid w:val="00827D6F"/>
    <w:rsid w:val="00834058"/>
    <w:rsid w:val="00836B3D"/>
    <w:rsid w:val="00836CFE"/>
    <w:rsid w:val="008376AC"/>
    <w:rsid w:val="00840A7C"/>
    <w:rsid w:val="008444E8"/>
    <w:rsid w:val="00844E80"/>
    <w:rsid w:val="00846FE7"/>
    <w:rsid w:val="0085071A"/>
    <w:rsid w:val="00851435"/>
    <w:rsid w:val="00851771"/>
    <w:rsid w:val="00852D00"/>
    <w:rsid w:val="00856911"/>
    <w:rsid w:val="008600D3"/>
    <w:rsid w:val="00864766"/>
    <w:rsid w:val="008657AB"/>
    <w:rsid w:val="008677FD"/>
    <w:rsid w:val="008706D4"/>
    <w:rsid w:val="00870F8A"/>
    <w:rsid w:val="008719A4"/>
    <w:rsid w:val="00871D23"/>
    <w:rsid w:val="008732C4"/>
    <w:rsid w:val="00874312"/>
    <w:rsid w:val="0087437C"/>
    <w:rsid w:val="00875CD7"/>
    <w:rsid w:val="00876B4D"/>
    <w:rsid w:val="00877F18"/>
    <w:rsid w:val="00884EBD"/>
    <w:rsid w:val="00892E67"/>
    <w:rsid w:val="0089370B"/>
    <w:rsid w:val="00894A88"/>
    <w:rsid w:val="00895386"/>
    <w:rsid w:val="00895561"/>
    <w:rsid w:val="008967DC"/>
    <w:rsid w:val="008A21FF"/>
    <w:rsid w:val="008A2CE2"/>
    <w:rsid w:val="008A30AC"/>
    <w:rsid w:val="008A44B8"/>
    <w:rsid w:val="008A51A8"/>
    <w:rsid w:val="008A54C7"/>
    <w:rsid w:val="008A64BF"/>
    <w:rsid w:val="008A77D8"/>
    <w:rsid w:val="008B0483"/>
    <w:rsid w:val="008B120C"/>
    <w:rsid w:val="008B51A0"/>
    <w:rsid w:val="008B52A5"/>
    <w:rsid w:val="008B592A"/>
    <w:rsid w:val="008B7B5C"/>
    <w:rsid w:val="008C0C99"/>
    <w:rsid w:val="008C2017"/>
    <w:rsid w:val="008C2B48"/>
    <w:rsid w:val="008C3E6D"/>
    <w:rsid w:val="008C48D4"/>
    <w:rsid w:val="008C48E6"/>
    <w:rsid w:val="008C4958"/>
    <w:rsid w:val="008C4BAA"/>
    <w:rsid w:val="008C6AE8"/>
    <w:rsid w:val="008C7117"/>
    <w:rsid w:val="008C7573"/>
    <w:rsid w:val="008D34F1"/>
    <w:rsid w:val="008D39D8"/>
    <w:rsid w:val="008D3F5A"/>
    <w:rsid w:val="008D6D1A"/>
    <w:rsid w:val="008D76C3"/>
    <w:rsid w:val="008D7778"/>
    <w:rsid w:val="008D7E22"/>
    <w:rsid w:val="008E0440"/>
    <w:rsid w:val="008E065E"/>
    <w:rsid w:val="008E0927"/>
    <w:rsid w:val="008E0D13"/>
    <w:rsid w:val="008E1909"/>
    <w:rsid w:val="008E389D"/>
    <w:rsid w:val="008E4C4B"/>
    <w:rsid w:val="008E5175"/>
    <w:rsid w:val="008E58A9"/>
    <w:rsid w:val="008F1EAB"/>
    <w:rsid w:val="008F33DC"/>
    <w:rsid w:val="008F477F"/>
    <w:rsid w:val="00902350"/>
    <w:rsid w:val="0090336B"/>
    <w:rsid w:val="00903B34"/>
    <w:rsid w:val="009053AA"/>
    <w:rsid w:val="009067AB"/>
    <w:rsid w:val="00906939"/>
    <w:rsid w:val="00906AC7"/>
    <w:rsid w:val="0090754D"/>
    <w:rsid w:val="00907D51"/>
    <w:rsid w:val="00910B7D"/>
    <w:rsid w:val="00911CAC"/>
    <w:rsid w:val="00911DFB"/>
    <w:rsid w:val="009139D9"/>
    <w:rsid w:val="00914AD8"/>
    <w:rsid w:val="00916079"/>
    <w:rsid w:val="00917194"/>
    <w:rsid w:val="00917648"/>
    <w:rsid w:val="00917CE9"/>
    <w:rsid w:val="00920BF2"/>
    <w:rsid w:val="00922010"/>
    <w:rsid w:val="00924101"/>
    <w:rsid w:val="00927F94"/>
    <w:rsid w:val="0093095C"/>
    <w:rsid w:val="00931BD9"/>
    <w:rsid w:val="009339A3"/>
    <w:rsid w:val="00934D42"/>
    <w:rsid w:val="009368F3"/>
    <w:rsid w:val="009413F8"/>
    <w:rsid w:val="009414E8"/>
    <w:rsid w:val="00941636"/>
    <w:rsid w:val="00943742"/>
    <w:rsid w:val="00945C05"/>
    <w:rsid w:val="00946945"/>
    <w:rsid w:val="00947713"/>
    <w:rsid w:val="00950DE7"/>
    <w:rsid w:val="00953920"/>
    <w:rsid w:val="00953D47"/>
    <w:rsid w:val="0095681E"/>
    <w:rsid w:val="00956DFA"/>
    <w:rsid w:val="009572D4"/>
    <w:rsid w:val="009601D3"/>
    <w:rsid w:val="00961921"/>
    <w:rsid w:val="009626C4"/>
    <w:rsid w:val="0096430A"/>
    <w:rsid w:val="0096518D"/>
    <w:rsid w:val="0096554B"/>
    <w:rsid w:val="0096584A"/>
    <w:rsid w:val="00971F08"/>
    <w:rsid w:val="0097213C"/>
    <w:rsid w:val="009750F3"/>
    <w:rsid w:val="00975DD8"/>
    <w:rsid w:val="0097603D"/>
    <w:rsid w:val="00976949"/>
    <w:rsid w:val="00976AF1"/>
    <w:rsid w:val="00976E66"/>
    <w:rsid w:val="00977145"/>
    <w:rsid w:val="00980477"/>
    <w:rsid w:val="00980D30"/>
    <w:rsid w:val="00983260"/>
    <w:rsid w:val="0098381D"/>
    <w:rsid w:val="00985253"/>
    <w:rsid w:val="009853B3"/>
    <w:rsid w:val="00986084"/>
    <w:rsid w:val="0098620A"/>
    <w:rsid w:val="00990630"/>
    <w:rsid w:val="00991761"/>
    <w:rsid w:val="009921F5"/>
    <w:rsid w:val="00992A22"/>
    <w:rsid w:val="00994DCA"/>
    <w:rsid w:val="00995A19"/>
    <w:rsid w:val="009960EC"/>
    <w:rsid w:val="009963CA"/>
    <w:rsid w:val="009970DD"/>
    <w:rsid w:val="009A06C8"/>
    <w:rsid w:val="009A0FBA"/>
    <w:rsid w:val="009A1601"/>
    <w:rsid w:val="009A462D"/>
    <w:rsid w:val="009A5334"/>
    <w:rsid w:val="009A5CBA"/>
    <w:rsid w:val="009B1F30"/>
    <w:rsid w:val="009B3AC2"/>
    <w:rsid w:val="009B4DF4"/>
    <w:rsid w:val="009B564E"/>
    <w:rsid w:val="009B7E87"/>
    <w:rsid w:val="009C11C1"/>
    <w:rsid w:val="009C35A2"/>
    <w:rsid w:val="009C403E"/>
    <w:rsid w:val="009C52E1"/>
    <w:rsid w:val="009C5B09"/>
    <w:rsid w:val="009C5D6A"/>
    <w:rsid w:val="009D4FF0"/>
    <w:rsid w:val="009D53C0"/>
    <w:rsid w:val="009D703C"/>
    <w:rsid w:val="009D718F"/>
    <w:rsid w:val="009D7939"/>
    <w:rsid w:val="009E068F"/>
    <w:rsid w:val="009E14E0"/>
    <w:rsid w:val="009E35DB"/>
    <w:rsid w:val="009E47A3"/>
    <w:rsid w:val="009F041A"/>
    <w:rsid w:val="009F08F3"/>
    <w:rsid w:val="009F344F"/>
    <w:rsid w:val="00A048A8"/>
    <w:rsid w:val="00A04F49"/>
    <w:rsid w:val="00A0601C"/>
    <w:rsid w:val="00A10DC4"/>
    <w:rsid w:val="00A13E54"/>
    <w:rsid w:val="00A14AD1"/>
    <w:rsid w:val="00A17CC8"/>
    <w:rsid w:val="00A17F63"/>
    <w:rsid w:val="00A2193B"/>
    <w:rsid w:val="00A21C3C"/>
    <w:rsid w:val="00A21F05"/>
    <w:rsid w:val="00A22813"/>
    <w:rsid w:val="00A2351A"/>
    <w:rsid w:val="00A23DC9"/>
    <w:rsid w:val="00A264A9"/>
    <w:rsid w:val="00A275C6"/>
    <w:rsid w:val="00A27785"/>
    <w:rsid w:val="00A30187"/>
    <w:rsid w:val="00A3448A"/>
    <w:rsid w:val="00A36297"/>
    <w:rsid w:val="00A3796E"/>
    <w:rsid w:val="00A41E2B"/>
    <w:rsid w:val="00A45B74"/>
    <w:rsid w:val="00A45BF4"/>
    <w:rsid w:val="00A50FE2"/>
    <w:rsid w:val="00A517C2"/>
    <w:rsid w:val="00A52E1D"/>
    <w:rsid w:val="00A54B08"/>
    <w:rsid w:val="00A6148B"/>
    <w:rsid w:val="00A61499"/>
    <w:rsid w:val="00A62A77"/>
    <w:rsid w:val="00A63483"/>
    <w:rsid w:val="00A653DB"/>
    <w:rsid w:val="00A657D7"/>
    <w:rsid w:val="00A660AC"/>
    <w:rsid w:val="00A67E6C"/>
    <w:rsid w:val="00A71B99"/>
    <w:rsid w:val="00A7315F"/>
    <w:rsid w:val="00A739D0"/>
    <w:rsid w:val="00A75E8B"/>
    <w:rsid w:val="00A761D4"/>
    <w:rsid w:val="00A77441"/>
    <w:rsid w:val="00A77EC4"/>
    <w:rsid w:val="00A8033B"/>
    <w:rsid w:val="00A92879"/>
    <w:rsid w:val="00A9442A"/>
    <w:rsid w:val="00A95CF5"/>
    <w:rsid w:val="00A967B9"/>
    <w:rsid w:val="00AA016F"/>
    <w:rsid w:val="00AA09F9"/>
    <w:rsid w:val="00AA1ED6"/>
    <w:rsid w:val="00AA3BFA"/>
    <w:rsid w:val="00AA4801"/>
    <w:rsid w:val="00AA51D6"/>
    <w:rsid w:val="00AB0BC8"/>
    <w:rsid w:val="00AB11CA"/>
    <w:rsid w:val="00AB14D9"/>
    <w:rsid w:val="00AB1598"/>
    <w:rsid w:val="00AB4AB8"/>
    <w:rsid w:val="00AB655E"/>
    <w:rsid w:val="00AC007F"/>
    <w:rsid w:val="00AC080B"/>
    <w:rsid w:val="00AC2ECD"/>
    <w:rsid w:val="00AC3119"/>
    <w:rsid w:val="00AC4754"/>
    <w:rsid w:val="00AC49FB"/>
    <w:rsid w:val="00AC4DFF"/>
    <w:rsid w:val="00AC591B"/>
    <w:rsid w:val="00AC5A10"/>
    <w:rsid w:val="00AD0AA3"/>
    <w:rsid w:val="00AD1BA7"/>
    <w:rsid w:val="00AD3D47"/>
    <w:rsid w:val="00AD3F94"/>
    <w:rsid w:val="00AD4A5A"/>
    <w:rsid w:val="00AD610F"/>
    <w:rsid w:val="00AD7014"/>
    <w:rsid w:val="00AE12D4"/>
    <w:rsid w:val="00AE27AC"/>
    <w:rsid w:val="00AE40E0"/>
    <w:rsid w:val="00AE4DBA"/>
    <w:rsid w:val="00AE4F07"/>
    <w:rsid w:val="00AE5AE8"/>
    <w:rsid w:val="00AE6FE0"/>
    <w:rsid w:val="00AE7243"/>
    <w:rsid w:val="00AF1C5D"/>
    <w:rsid w:val="00AF329E"/>
    <w:rsid w:val="00AF3798"/>
    <w:rsid w:val="00AF42D7"/>
    <w:rsid w:val="00AF4FE6"/>
    <w:rsid w:val="00AF5F01"/>
    <w:rsid w:val="00AF7DBC"/>
    <w:rsid w:val="00B006FE"/>
    <w:rsid w:val="00B007CB"/>
    <w:rsid w:val="00B01FFD"/>
    <w:rsid w:val="00B02AA9"/>
    <w:rsid w:val="00B02FA3"/>
    <w:rsid w:val="00B05084"/>
    <w:rsid w:val="00B05920"/>
    <w:rsid w:val="00B119E8"/>
    <w:rsid w:val="00B13CEC"/>
    <w:rsid w:val="00B157F9"/>
    <w:rsid w:val="00B20256"/>
    <w:rsid w:val="00B20D09"/>
    <w:rsid w:val="00B2763F"/>
    <w:rsid w:val="00B27AAC"/>
    <w:rsid w:val="00B30929"/>
    <w:rsid w:val="00B3108B"/>
    <w:rsid w:val="00B33D1A"/>
    <w:rsid w:val="00B345C9"/>
    <w:rsid w:val="00B358BB"/>
    <w:rsid w:val="00B35B53"/>
    <w:rsid w:val="00B372AA"/>
    <w:rsid w:val="00B40009"/>
    <w:rsid w:val="00B40445"/>
    <w:rsid w:val="00B41888"/>
    <w:rsid w:val="00B4408D"/>
    <w:rsid w:val="00B45A52"/>
    <w:rsid w:val="00B46175"/>
    <w:rsid w:val="00B47779"/>
    <w:rsid w:val="00B47E43"/>
    <w:rsid w:val="00B52A3A"/>
    <w:rsid w:val="00B5335A"/>
    <w:rsid w:val="00B55A12"/>
    <w:rsid w:val="00B5723B"/>
    <w:rsid w:val="00B60EF1"/>
    <w:rsid w:val="00B6188F"/>
    <w:rsid w:val="00B619DE"/>
    <w:rsid w:val="00B61C29"/>
    <w:rsid w:val="00B6441B"/>
    <w:rsid w:val="00B64E41"/>
    <w:rsid w:val="00B664C7"/>
    <w:rsid w:val="00B67CA4"/>
    <w:rsid w:val="00B70F7A"/>
    <w:rsid w:val="00B7131C"/>
    <w:rsid w:val="00B71E1F"/>
    <w:rsid w:val="00B739F6"/>
    <w:rsid w:val="00B74BCC"/>
    <w:rsid w:val="00B75BC2"/>
    <w:rsid w:val="00B81A6C"/>
    <w:rsid w:val="00B81E10"/>
    <w:rsid w:val="00B82BD0"/>
    <w:rsid w:val="00B842A0"/>
    <w:rsid w:val="00B85247"/>
    <w:rsid w:val="00B85DE5"/>
    <w:rsid w:val="00B87891"/>
    <w:rsid w:val="00B90F73"/>
    <w:rsid w:val="00B9371D"/>
    <w:rsid w:val="00B93B59"/>
    <w:rsid w:val="00B9406A"/>
    <w:rsid w:val="00BA2280"/>
    <w:rsid w:val="00BA2632"/>
    <w:rsid w:val="00BA2A08"/>
    <w:rsid w:val="00BA360A"/>
    <w:rsid w:val="00BA56D2"/>
    <w:rsid w:val="00BA6C49"/>
    <w:rsid w:val="00BA76E0"/>
    <w:rsid w:val="00BB207A"/>
    <w:rsid w:val="00BB2A25"/>
    <w:rsid w:val="00BB51E9"/>
    <w:rsid w:val="00BB661A"/>
    <w:rsid w:val="00BB7415"/>
    <w:rsid w:val="00BC0FDC"/>
    <w:rsid w:val="00BC3053"/>
    <w:rsid w:val="00BC4D2E"/>
    <w:rsid w:val="00BD2605"/>
    <w:rsid w:val="00BD399E"/>
    <w:rsid w:val="00BD48AC"/>
    <w:rsid w:val="00BD5C65"/>
    <w:rsid w:val="00BD5F1A"/>
    <w:rsid w:val="00BE1234"/>
    <w:rsid w:val="00BE1337"/>
    <w:rsid w:val="00BE2FA6"/>
    <w:rsid w:val="00BE333F"/>
    <w:rsid w:val="00BE436F"/>
    <w:rsid w:val="00BE7406"/>
    <w:rsid w:val="00BE7603"/>
    <w:rsid w:val="00BF278F"/>
    <w:rsid w:val="00BF3279"/>
    <w:rsid w:val="00BF74C7"/>
    <w:rsid w:val="00BF7E76"/>
    <w:rsid w:val="00C015F1"/>
    <w:rsid w:val="00C01F33"/>
    <w:rsid w:val="00C02CC6"/>
    <w:rsid w:val="00C040F7"/>
    <w:rsid w:val="00C041B0"/>
    <w:rsid w:val="00C044AB"/>
    <w:rsid w:val="00C05706"/>
    <w:rsid w:val="00C05E90"/>
    <w:rsid w:val="00C07377"/>
    <w:rsid w:val="00C075C6"/>
    <w:rsid w:val="00C10478"/>
    <w:rsid w:val="00C11AD4"/>
    <w:rsid w:val="00C12107"/>
    <w:rsid w:val="00C12C77"/>
    <w:rsid w:val="00C14D4B"/>
    <w:rsid w:val="00C1512E"/>
    <w:rsid w:val="00C154BB"/>
    <w:rsid w:val="00C15AF2"/>
    <w:rsid w:val="00C15EBA"/>
    <w:rsid w:val="00C215B8"/>
    <w:rsid w:val="00C224C6"/>
    <w:rsid w:val="00C230EF"/>
    <w:rsid w:val="00C25F2F"/>
    <w:rsid w:val="00C27624"/>
    <w:rsid w:val="00C279B5"/>
    <w:rsid w:val="00C27C45"/>
    <w:rsid w:val="00C34799"/>
    <w:rsid w:val="00C3719D"/>
    <w:rsid w:val="00C476E3"/>
    <w:rsid w:val="00C502E5"/>
    <w:rsid w:val="00C53D4A"/>
    <w:rsid w:val="00C54995"/>
    <w:rsid w:val="00C54D41"/>
    <w:rsid w:val="00C569D6"/>
    <w:rsid w:val="00C57B03"/>
    <w:rsid w:val="00C601A2"/>
    <w:rsid w:val="00C60783"/>
    <w:rsid w:val="00C64672"/>
    <w:rsid w:val="00C70697"/>
    <w:rsid w:val="00C72EF4"/>
    <w:rsid w:val="00C75D2F"/>
    <w:rsid w:val="00C767BE"/>
    <w:rsid w:val="00C769D4"/>
    <w:rsid w:val="00C76E3C"/>
    <w:rsid w:val="00C77721"/>
    <w:rsid w:val="00C77D04"/>
    <w:rsid w:val="00C81568"/>
    <w:rsid w:val="00C9027A"/>
    <w:rsid w:val="00C9068E"/>
    <w:rsid w:val="00C912DA"/>
    <w:rsid w:val="00C91B07"/>
    <w:rsid w:val="00C93C4B"/>
    <w:rsid w:val="00C944AB"/>
    <w:rsid w:val="00C95B40"/>
    <w:rsid w:val="00CA0F5F"/>
    <w:rsid w:val="00CA1B65"/>
    <w:rsid w:val="00CA1C8C"/>
    <w:rsid w:val="00CA1ED8"/>
    <w:rsid w:val="00CA424B"/>
    <w:rsid w:val="00CA4AE4"/>
    <w:rsid w:val="00CB13FD"/>
    <w:rsid w:val="00CB1F63"/>
    <w:rsid w:val="00CB462A"/>
    <w:rsid w:val="00CB7170"/>
    <w:rsid w:val="00CC040E"/>
    <w:rsid w:val="00CC111F"/>
    <w:rsid w:val="00CC2011"/>
    <w:rsid w:val="00CC3EA0"/>
    <w:rsid w:val="00CC5691"/>
    <w:rsid w:val="00CC6F59"/>
    <w:rsid w:val="00CC7B45"/>
    <w:rsid w:val="00CD02F2"/>
    <w:rsid w:val="00CD1188"/>
    <w:rsid w:val="00CD2ED1"/>
    <w:rsid w:val="00CD337B"/>
    <w:rsid w:val="00CD582F"/>
    <w:rsid w:val="00CD676E"/>
    <w:rsid w:val="00CD777D"/>
    <w:rsid w:val="00CE0424"/>
    <w:rsid w:val="00CE0A6F"/>
    <w:rsid w:val="00CE36CF"/>
    <w:rsid w:val="00CE6967"/>
    <w:rsid w:val="00CE7561"/>
    <w:rsid w:val="00CF1354"/>
    <w:rsid w:val="00CF2B05"/>
    <w:rsid w:val="00CF31B5"/>
    <w:rsid w:val="00CF3B1F"/>
    <w:rsid w:val="00CF3BF6"/>
    <w:rsid w:val="00CF625B"/>
    <w:rsid w:val="00CF687E"/>
    <w:rsid w:val="00D00035"/>
    <w:rsid w:val="00D0088E"/>
    <w:rsid w:val="00D0349B"/>
    <w:rsid w:val="00D0776A"/>
    <w:rsid w:val="00D10249"/>
    <w:rsid w:val="00D115C3"/>
    <w:rsid w:val="00D11897"/>
    <w:rsid w:val="00D1275E"/>
    <w:rsid w:val="00D13135"/>
    <w:rsid w:val="00D13E4E"/>
    <w:rsid w:val="00D17D6A"/>
    <w:rsid w:val="00D2016B"/>
    <w:rsid w:val="00D22D54"/>
    <w:rsid w:val="00D239A7"/>
    <w:rsid w:val="00D23F47"/>
    <w:rsid w:val="00D25953"/>
    <w:rsid w:val="00D26586"/>
    <w:rsid w:val="00D346F3"/>
    <w:rsid w:val="00D34D96"/>
    <w:rsid w:val="00D36BB2"/>
    <w:rsid w:val="00D36E71"/>
    <w:rsid w:val="00D37D87"/>
    <w:rsid w:val="00D40B33"/>
    <w:rsid w:val="00D4129B"/>
    <w:rsid w:val="00D4318F"/>
    <w:rsid w:val="00D438BF"/>
    <w:rsid w:val="00D440F8"/>
    <w:rsid w:val="00D44E8C"/>
    <w:rsid w:val="00D459BE"/>
    <w:rsid w:val="00D50F97"/>
    <w:rsid w:val="00D516AA"/>
    <w:rsid w:val="00D5231F"/>
    <w:rsid w:val="00D52371"/>
    <w:rsid w:val="00D546FF"/>
    <w:rsid w:val="00D55AD5"/>
    <w:rsid w:val="00D56954"/>
    <w:rsid w:val="00D576CA"/>
    <w:rsid w:val="00D60D0C"/>
    <w:rsid w:val="00D61AF5"/>
    <w:rsid w:val="00D64519"/>
    <w:rsid w:val="00D652B5"/>
    <w:rsid w:val="00D65EDE"/>
    <w:rsid w:val="00D66155"/>
    <w:rsid w:val="00D708B0"/>
    <w:rsid w:val="00D77B1D"/>
    <w:rsid w:val="00D77F6F"/>
    <w:rsid w:val="00D8021F"/>
    <w:rsid w:val="00D80383"/>
    <w:rsid w:val="00D80534"/>
    <w:rsid w:val="00D823C6"/>
    <w:rsid w:val="00D86CA3"/>
    <w:rsid w:val="00D871CE"/>
    <w:rsid w:val="00D9196D"/>
    <w:rsid w:val="00D92982"/>
    <w:rsid w:val="00D94E83"/>
    <w:rsid w:val="00D96761"/>
    <w:rsid w:val="00DA305E"/>
    <w:rsid w:val="00DA5417"/>
    <w:rsid w:val="00DA56E8"/>
    <w:rsid w:val="00DA616B"/>
    <w:rsid w:val="00DB094B"/>
    <w:rsid w:val="00DB0A9F"/>
    <w:rsid w:val="00DB2E53"/>
    <w:rsid w:val="00DB377D"/>
    <w:rsid w:val="00DC2D36"/>
    <w:rsid w:val="00DC2D80"/>
    <w:rsid w:val="00DC53EF"/>
    <w:rsid w:val="00DD5680"/>
    <w:rsid w:val="00DE40B0"/>
    <w:rsid w:val="00DE5608"/>
    <w:rsid w:val="00DE58D0"/>
    <w:rsid w:val="00DE5B8A"/>
    <w:rsid w:val="00DE654F"/>
    <w:rsid w:val="00DE7171"/>
    <w:rsid w:val="00DF0B6E"/>
    <w:rsid w:val="00DF15E0"/>
    <w:rsid w:val="00DF37A0"/>
    <w:rsid w:val="00E01DE5"/>
    <w:rsid w:val="00E03DFA"/>
    <w:rsid w:val="00E110E7"/>
    <w:rsid w:val="00E11B20"/>
    <w:rsid w:val="00E17FA2"/>
    <w:rsid w:val="00E22330"/>
    <w:rsid w:val="00E27AA3"/>
    <w:rsid w:val="00E30225"/>
    <w:rsid w:val="00E30B5A"/>
    <w:rsid w:val="00E3123D"/>
    <w:rsid w:val="00E31461"/>
    <w:rsid w:val="00E31778"/>
    <w:rsid w:val="00E31B75"/>
    <w:rsid w:val="00E31D43"/>
    <w:rsid w:val="00E32608"/>
    <w:rsid w:val="00E34188"/>
    <w:rsid w:val="00E34B6E"/>
    <w:rsid w:val="00E35559"/>
    <w:rsid w:val="00E3723A"/>
    <w:rsid w:val="00E37860"/>
    <w:rsid w:val="00E37F81"/>
    <w:rsid w:val="00E41093"/>
    <w:rsid w:val="00E429DC"/>
    <w:rsid w:val="00E446F1"/>
    <w:rsid w:val="00E46886"/>
    <w:rsid w:val="00E47AEF"/>
    <w:rsid w:val="00E5205E"/>
    <w:rsid w:val="00E53B75"/>
    <w:rsid w:val="00E547D4"/>
    <w:rsid w:val="00E54E3B"/>
    <w:rsid w:val="00E57565"/>
    <w:rsid w:val="00E6042C"/>
    <w:rsid w:val="00E6159C"/>
    <w:rsid w:val="00E6195A"/>
    <w:rsid w:val="00E62CF0"/>
    <w:rsid w:val="00E63838"/>
    <w:rsid w:val="00E64434"/>
    <w:rsid w:val="00E668B1"/>
    <w:rsid w:val="00E67C51"/>
    <w:rsid w:val="00E71CF8"/>
    <w:rsid w:val="00E71E34"/>
    <w:rsid w:val="00E72B9D"/>
    <w:rsid w:val="00E72EFC"/>
    <w:rsid w:val="00E758EC"/>
    <w:rsid w:val="00E76E18"/>
    <w:rsid w:val="00E8234C"/>
    <w:rsid w:val="00E82C4D"/>
    <w:rsid w:val="00E82F54"/>
    <w:rsid w:val="00E83AA9"/>
    <w:rsid w:val="00E85928"/>
    <w:rsid w:val="00E87822"/>
    <w:rsid w:val="00E87A02"/>
    <w:rsid w:val="00E90395"/>
    <w:rsid w:val="00E90E49"/>
    <w:rsid w:val="00E9153F"/>
    <w:rsid w:val="00E917F9"/>
    <w:rsid w:val="00E91B6A"/>
    <w:rsid w:val="00E9291C"/>
    <w:rsid w:val="00E93FFE"/>
    <w:rsid w:val="00E94F8A"/>
    <w:rsid w:val="00E96127"/>
    <w:rsid w:val="00EA350B"/>
    <w:rsid w:val="00EA3963"/>
    <w:rsid w:val="00EA41B8"/>
    <w:rsid w:val="00EA4A9E"/>
    <w:rsid w:val="00EA7A41"/>
    <w:rsid w:val="00EB077B"/>
    <w:rsid w:val="00EB38DB"/>
    <w:rsid w:val="00EB3AF5"/>
    <w:rsid w:val="00EB4EA2"/>
    <w:rsid w:val="00EC27C6"/>
    <w:rsid w:val="00EC4207"/>
    <w:rsid w:val="00EC5653"/>
    <w:rsid w:val="00EC71CE"/>
    <w:rsid w:val="00ED1006"/>
    <w:rsid w:val="00ED2F1D"/>
    <w:rsid w:val="00ED3015"/>
    <w:rsid w:val="00ED3BA3"/>
    <w:rsid w:val="00ED5C09"/>
    <w:rsid w:val="00EE2BFC"/>
    <w:rsid w:val="00EE58E7"/>
    <w:rsid w:val="00EE66C7"/>
    <w:rsid w:val="00EE7DBF"/>
    <w:rsid w:val="00EF0AED"/>
    <w:rsid w:val="00EF18FE"/>
    <w:rsid w:val="00EF191A"/>
    <w:rsid w:val="00EF1EA9"/>
    <w:rsid w:val="00EF2A81"/>
    <w:rsid w:val="00EF2D40"/>
    <w:rsid w:val="00EF49C5"/>
    <w:rsid w:val="00EF4E32"/>
    <w:rsid w:val="00EF5787"/>
    <w:rsid w:val="00EF60D0"/>
    <w:rsid w:val="00F02322"/>
    <w:rsid w:val="00F02DB2"/>
    <w:rsid w:val="00F02EAC"/>
    <w:rsid w:val="00F0320F"/>
    <w:rsid w:val="00F036C0"/>
    <w:rsid w:val="00F03D6C"/>
    <w:rsid w:val="00F0528D"/>
    <w:rsid w:val="00F06C67"/>
    <w:rsid w:val="00F06DFD"/>
    <w:rsid w:val="00F071D1"/>
    <w:rsid w:val="00F07533"/>
    <w:rsid w:val="00F10512"/>
    <w:rsid w:val="00F10629"/>
    <w:rsid w:val="00F1107C"/>
    <w:rsid w:val="00F15FA5"/>
    <w:rsid w:val="00F209B7"/>
    <w:rsid w:val="00F22164"/>
    <w:rsid w:val="00F2376F"/>
    <w:rsid w:val="00F243D8"/>
    <w:rsid w:val="00F30828"/>
    <w:rsid w:val="00F311CB"/>
    <w:rsid w:val="00F313D6"/>
    <w:rsid w:val="00F3519B"/>
    <w:rsid w:val="00F36BFA"/>
    <w:rsid w:val="00F37D2F"/>
    <w:rsid w:val="00F40F0C"/>
    <w:rsid w:val="00F42CAA"/>
    <w:rsid w:val="00F45B81"/>
    <w:rsid w:val="00F4766C"/>
    <w:rsid w:val="00F507D1"/>
    <w:rsid w:val="00F519CE"/>
    <w:rsid w:val="00F51ADA"/>
    <w:rsid w:val="00F55C39"/>
    <w:rsid w:val="00F57507"/>
    <w:rsid w:val="00F607C5"/>
    <w:rsid w:val="00F60DEA"/>
    <w:rsid w:val="00F62CE6"/>
    <w:rsid w:val="00F6302A"/>
    <w:rsid w:val="00F6386A"/>
    <w:rsid w:val="00F64C2B"/>
    <w:rsid w:val="00F651BE"/>
    <w:rsid w:val="00F6629D"/>
    <w:rsid w:val="00F665DB"/>
    <w:rsid w:val="00F66EB7"/>
    <w:rsid w:val="00F67F53"/>
    <w:rsid w:val="00F703BE"/>
    <w:rsid w:val="00F71F69"/>
    <w:rsid w:val="00F72B72"/>
    <w:rsid w:val="00F72EFB"/>
    <w:rsid w:val="00F74BA1"/>
    <w:rsid w:val="00F74BB9"/>
    <w:rsid w:val="00F75582"/>
    <w:rsid w:val="00F75832"/>
    <w:rsid w:val="00F76EFA"/>
    <w:rsid w:val="00F804BE"/>
    <w:rsid w:val="00F817CE"/>
    <w:rsid w:val="00F83485"/>
    <w:rsid w:val="00F83B0B"/>
    <w:rsid w:val="00F84440"/>
    <w:rsid w:val="00F8456C"/>
    <w:rsid w:val="00F859D8"/>
    <w:rsid w:val="00F85C69"/>
    <w:rsid w:val="00F85C6C"/>
    <w:rsid w:val="00F868F5"/>
    <w:rsid w:val="00F9056A"/>
    <w:rsid w:val="00F90F68"/>
    <w:rsid w:val="00F90F8D"/>
    <w:rsid w:val="00F92782"/>
    <w:rsid w:val="00F93AA9"/>
    <w:rsid w:val="00F94690"/>
    <w:rsid w:val="00F96985"/>
    <w:rsid w:val="00F97838"/>
    <w:rsid w:val="00FA2BB3"/>
    <w:rsid w:val="00FA5217"/>
    <w:rsid w:val="00FA6F0B"/>
    <w:rsid w:val="00FB4C80"/>
    <w:rsid w:val="00FB6A6A"/>
    <w:rsid w:val="00FB7F0D"/>
    <w:rsid w:val="00FC1D86"/>
    <w:rsid w:val="00FC3D4F"/>
    <w:rsid w:val="00FC6E01"/>
    <w:rsid w:val="00FC7429"/>
    <w:rsid w:val="00FD0620"/>
    <w:rsid w:val="00FD07F6"/>
    <w:rsid w:val="00FD1EC8"/>
    <w:rsid w:val="00FD25AA"/>
    <w:rsid w:val="00FD2CE1"/>
    <w:rsid w:val="00FD4497"/>
    <w:rsid w:val="00FD47ED"/>
    <w:rsid w:val="00FD67F9"/>
    <w:rsid w:val="00FD74DB"/>
    <w:rsid w:val="00FD7660"/>
    <w:rsid w:val="00FE0655"/>
    <w:rsid w:val="00FE2365"/>
    <w:rsid w:val="00FE4C7B"/>
    <w:rsid w:val="00FE5B03"/>
    <w:rsid w:val="00FE6989"/>
    <w:rsid w:val="00FE7336"/>
    <w:rsid w:val="00FE787C"/>
    <w:rsid w:val="00FF0D49"/>
    <w:rsid w:val="00FF117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EE07CDA"/>
  <w15:chartTrackingRefBased/>
  <w15:docId w15:val="{F0F77D30-8C91-4DFF-B2DF-1286E3A2E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5205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520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5205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5205E"/>
    <w:pPr>
      <w:numPr>
        <w:ilvl w:val="2"/>
      </w:numPr>
      <w:spacing w:before="120"/>
      <w:outlineLvl w:val="2"/>
    </w:pPr>
    <w:rPr>
      <w:sz w:val="28"/>
      <w:szCs w:val="28"/>
    </w:rPr>
  </w:style>
  <w:style w:type="paragraph" w:styleId="Heading4">
    <w:name w:val="heading 4"/>
    <w:basedOn w:val="Heading3"/>
    <w:next w:val="Normal"/>
    <w:qFormat/>
    <w:rsid w:val="00E5205E"/>
    <w:pPr>
      <w:numPr>
        <w:ilvl w:val="3"/>
      </w:numPr>
      <w:outlineLvl w:val="3"/>
    </w:pPr>
    <w:rPr>
      <w:sz w:val="24"/>
      <w:szCs w:val="24"/>
    </w:rPr>
  </w:style>
  <w:style w:type="paragraph" w:styleId="Heading5">
    <w:name w:val="heading 5"/>
    <w:basedOn w:val="Heading4"/>
    <w:next w:val="Normal"/>
    <w:qFormat/>
    <w:rsid w:val="00E5205E"/>
    <w:pPr>
      <w:numPr>
        <w:ilvl w:val="4"/>
      </w:numPr>
      <w:outlineLvl w:val="4"/>
    </w:pPr>
    <w:rPr>
      <w:sz w:val="22"/>
      <w:szCs w:val="22"/>
    </w:rPr>
  </w:style>
  <w:style w:type="paragraph" w:styleId="Heading6">
    <w:name w:val="heading 6"/>
    <w:basedOn w:val="Normal"/>
    <w:next w:val="Normal"/>
    <w:qFormat/>
    <w:rsid w:val="00E5205E"/>
    <w:pPr>
      <w:keepNext/>
      <w:keepLines/>
      <w:numPr>
        <w:ilvl w:val="5"/>
        <w:numId w:val="1"/>
      </w:numPr>
      <w:spacing w:before="120"/>
      <w:outlineLvl w:val="5"/>
    </w:pPr>
    <w:rPr>
      <w:rFonts w:cs="Arial"/>
    </w:rPr>
  </w:style>
  <w:style w:type="paragraph" w:styleId="Heading7">
    <w:name w:val="heading 7"/>
    <w:basedOn w:val="Normal"/>
    <w:next w:val="Normal"/>
    <w:qFormat/>
    <w:rsid w:val="00E5205E"/>
    <w:pPr>
      <w:keepNext/>
      <w:keepLines/>
      <w:numPr>
        <w:ilvl w:val="6"/>
        <w:numId w:val="1"/>
      </w:numPr>
      <w:spacing w:before="120"/>
      <w:outlineLvl w:val="6"/>
    </w:pPr>
    <w:rPr>
      <w:rFonts w:cs="Arial"/>
    </w:rPr>
  </w:style>
  <w:style w:type="paragraph" w:styleId="Heading8">
    <w:name w:val="heading 8"/>
    <w:basedOn w:val="Heading7"/>
    <w:next w:val="Normal"/>
    <w:qFormat/>
    <w:rsid w:val="00E5205E"/>
    <w:pPr>
      <w:numPr>
        <w:ilvl w:val="7"/>
      </w:numPr>
      <w:outlineLvl w:val="7"/>
    </w:pPr>
  </w:style>
  <w:style w:type="paragraph" w:styleId="Heading9">
    <w:name w:val="heading 9"/>
    <w:basedOn w:val="Heading8"/>
    <w:next w:val="Normal"/>
    <w:qFormat/>
    <w:rsid w:val="00E520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205E"/>
    <w:pPr>
      <w:spacing w:before="180"/>
      <w:ind w:left="2693" w:hanging="2693"/>
    </w:pPr>
    <w:rPr>
      <w:b w:val="0"/>
      <w:bCs/>
    </w:rPr>
  </w:style>
  <w:style w:type="paragraph" w:styleId="TOC1">
    <w:name w:val="toc 1"/>
    <w:aliases w:val="Observation TOC2"/>
    <w:uiPriority w:val="39"/>
    <w:rsid w:val="00E520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5205E"/>
    <w:pPr>
      <w:keepNext/>
      <w:keepLines/>
      <w:spacing w:before="180"/>
      <w:jc w:val="center"/>
    </w:pPr>
  </w:style>
  <w:style w:type="paragraph" w:styleId="Caption">
    <w:name w:val="caption"/>
    <w:basedOn w:val="Normal"/>
    <w:next w:val="Normal"/>
    <w:qFormat/>
    <w:rsid w:val="00E5205E"/>
    <w:pPr>
      <w:spacing w:after="240"/>
      <w:jc w:val="center"/>
    </w:pPr>
    <w:rPr>
      <w:b/>
      <w:bCs/>
    </w:rPr>
  </w:style>
  <w:style w:type="paragraph" w:styleId="TOC5">
    <w:name w:val="toc 5"/>
    <w:aliases w:val="Observation TOC"/>
    <w:basedOn w:val="TOC4"/>
    <w:semiHidden/>
    <w:rsid w:val="00E5205E"/>
    <w:pPr>
      <w:tabs>
        <w:tab w:val="right" w:pos="1701"/>
      </w:tabs>
      <w:ind w:left="1701" w:hanging="1701"/>
    </w:pPr>
  </w:style>
  <w:style w:type="paragraph" w:styleId="TOC4">
    <w:name w:val="toc 4"/>
    <w:basedOn w:val="TOC3"/>
    <w:semiHidden/>
    <w:rsid w:val="00E5205E"/>
    <w:pPr>
      <w:ind w:left="1418" w:hanging="1418"/>
    </w:pPr>
  </w:style>
  <w:style w:type="paragraph" w:styleId="TOC3">
    <w:name w:val="toc 3"/>
    <w:basedOn w:val="TOC2"/>
    <w:semiHidden/>
    <w:rsid w:val="00E5205E"/>
    <w:pPr>
      <w:ind w:left="1134" w:hanging="1134"/>
    </w:pPr>
  </w:style>
  <w:style w:type="paragraph" w:styleId="TOC2">
    <w:name w:val="toc 2"/>
    <w:basedOn w:val="TOC1"/>
    <w:semiHidden/>
    <w:rsid w:val="00E5205E"/>
    <w:pPr>
      <w:keepNext w:val="0"/>
      <w:spacing w:before="0"/>
      <w:ind w:left="851" w:hanging="851"/>
    </w:pPr>
    <w:rPr>
      <w:szCs w:val="20"/>
    </w:rPr>
  </w:style>
  <w:style w:type="paragraph" w:styleId="Index2">
    <w:name w:val="index 2"/>
    <w:basedOn w:val="Index1"/>
    <w:semiHidden/>
    <w:rsid w:val="00E5205E"/>
    <w:pPr>
      <w:ind w:left="284"/>
    </w:pPr>
  </w:style>
  <w:style w:type="paragraph" w:styleId="Index1">
    <w:name w:val="index 1"/>
    <w:basedOn w:val="Normal"/>
    <w:semiHidden/>
    <w:rsid w:val="00E5205E"/>
    <w:pPr>
      <w:keepLines/>
      <w:spacing w:after="0"/>
    </w:pPr>
  </w:style>
  <w:style w:type="paragraph" w:styleId="DocumentMap">
    <w:name w:val="Document Map"/>
    <w:basedOn w:val="Normal"/>
    <w:semiHidden/>
    <w:rsid w:val="00E5205E"/>
    <w:pPr>
      <w:shd w:val="clear" w:color="auto" w:fill="000080"/>
    </w:pPr>
    <w:rPr>
      <w:rFonts w:ascii="Tahoma" w:hAnsi="Tahoma" w:cs="Tahoma"/>
    </w:rPr>
  </w:style>
  <w:style w:type="paragraph" w:styleId="ListNumber2">
    <w:name w:val="List Number 2"/>
    <w:basedOn w:val="ListNumber"/>
    <w:rsid w:val="00E5205E"/>
    <w:pPr>
      <w:ind w:left="851"/>
    </w:pPr>
  </w:style>
  <w:style w:type="paragraph" w:styleId="ListNumber">
    <w:name w:val="List Number"/>
    <w:basedOn w:val="List"/>
    <w:rsid w:val="00E5205E"/>
  </w:style>
  <w:style w:type="paragraph" w:styleId="List">
    <w:name w:val="List"/>
    <w:basedOn w:val="Normal"/>
    <w:rsid w:val="00E5205E"/>
    <w:pPr>
      <w:ind w:left="568" w:hanging="284"/>
    </w:pPr>
  </w:style>
  <w:style w:type="paragraph" w:styleId="Header">
    <w:name w:val="header"/>
    <w:rsid w:val="00E5205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5205E"/>
    <w:rPr>
      <w:b/>
      <w:bCs/>
      <w:position w:val="6"/>
      <w:sz w:val="16"/>
      <w:szCs w:val="16"/>
    </w:rPr>
  </w:style>
  <w:style w:type="paragraph" w:styleId="FootnoteText">
    <w:name w:val="footnote text"/>
    <w:basedOn w:val="Normal"/>
    <w:semiHidden/>
    <w:rsid w:val="00E5205E"/>
    <w:pPr>
      <w:keepLines/>
      <w:spacing w:after="0"/>
      <w:ind w:left="454" w:hanging="454"/>
    </w:pPr>
    <w:rPr>
      <w:sz w:val="16"/>
      <w:szCs w:val="16"/>
    </w:rPr>
  </w:style>
  <w:style w:type="paragraph" w:customStyle="1" w:styleId="3GPPHeader">
    <w:name w:val="3GPP_Header"/>
    <w:basedOn w:val="Normal"/>
    <w:rsid w:val="00E5205E"/>
    <w:pPr>
      <w:tabs>
        <w:tab w:val="left" w:pos="1701"/>
        <w:tab w:val="right" w:pos="9639"/>
      </w:tabs>
      <w:spacing w:after="240"/>
    </w:pPr>
    <w:rPr>
      <w:b/>
      <w:sz w:val="24"/>
    </w:rPr>
  </w:style>
  <w:style w:type="paragraph" w:styleId="TOC9">
    <w:name w:val="toc 9"/>
    <w:basedOn w:val="TOC8"/>
    <w:semiHidden/>
    <w:rsid w:val="00E5205E"/>
    <w:pPr>
      <w:ind w:left="1418" w:hanging="1418"/>
    </w:pPr>
  </w:style>
  <w:style w:type="paragraph" w:styleId="TOC6">
    <w:name w:val="toc 6"/>
    <w:basedOn w:val="TOC5"/>
    <w:next w:val="Normal"/>
    <w:semiHidden/>
    <w:rsid w:val="00E5205E"/>
    <w:pPr>
      <w:ind w:left="1985" w:hanging="1985"/>
    </w:pPr>
  </w:style>
  <w:style w:type="paragraph" w:styleId="TOC7">
    <w:name w:val="toc 7"/>
    <w:basedOn w:val="TOC6"/>
    <w:next w:val="Normal"/>
    <w:semiHidden/>
    <w:rsid w:val="00E5205E"/>
    <w:pPr>
      <w:ind w:left="2268" w:hanging="2268"/>
    </w:pPr>
  </w:style>
  <w:style w:type="paragraph" w:styleId="ListBullet2">
    <w:name w:val="List Bullet 2"/>
    <w:basedOn w:val="ListBullet"/>
    <w:rsid w:val="00E5205E"/>
    <w:pPr>
      <w:numPr>
        <w:numId w:val="6"/>
      </w:numPr>
    </w:pPr>
  </w:style>
  <w:style w:type="paragraph" w:styleId="ListBullet">
    <w:name w:val="List Bullet"/>
    <w:basedOn w:val="BodyText"/>
    <w:rsid w:val="00E5205E"/>
    <w:pPr>
      <w:numPr>
        <w:numId w:val="5"/>
      </w:numPr>
    </w:pPr>
  </w:style>
  <w:style w:type="paragraph" w:styleId="ListBullet3">
    <w:name w:val="List Bullet 3"/>
    <w:basedOn w:val="ListBullet2"/>
    <w:rsid w:val="00E5205E"/>
    <w:pPr>
      <w:numPr>
        <w:numId w:val="7"/>
      </w:numPr>
    </w:pPr>
  </w:style>
  <w:style w:type="paragraph" w:customStyle="1" w:styleId="EQ">
    <w:name w:val="EQ"/>
    <w:basedOn w:val="Normal"/>
    <w:next w:val="Normal"/>
    <w:rsid w:val="00E5205E"/>
    <w:pPr>
      <w:keepLines/>
      <w:tabs>
        <w:tab w:val="center" w:pos="4536"/>
        <w:tab w:val="right" w:pos="9072"/>
      </w:tabs>
      <w:spacing w:after="180"/>
      <w:jc w:val="left"/>
    </w:pPr>
    <w:rPr>
      <w:noProof/>
      <w:lang w:eastAsia="en-US"/>
    </w:rPr>
  </w:style>
  <w:style w:type="paragraph" w:styleId="List2">
    <w:name w:val="List 2"/>
    <w:basedOn w:val="List"/>
    <w:rsid w:val="00E5205E"/>
    <w:pPr>
      <w:ind w:left="851"/>
    </w:pPr>
  </w:style>
  <w:style w:type="paragraph" w:styleId="List3">
    <w:name w:val="List 3"/>
    <w:basedOn w:val="List2"/>
    <w:rsid w:val="00E5205E"/>
    <w:pPr>
      <w:ind w:left="1135"/>
    </w:pPr>
  </w:style>
  <w:style w:type="paragraph" w:styleId="List4">
    <w:name w:val="List 4"/>
    <w:basedOn w:val="List3"/>
    <w:rsid w:val="00E5205E"/>
    <w:pPr>
      <w:ind w:left="1418"/>
    </w:pPr>
  </w:style>
  <w:style w:type="paragraph" w:styleId="List5">
    <w:name w:val="List 5"/>
    <w:basedOn w:val="List4"/>
    <w:rsid w:val="00E5205E"/>
    <w:pPr>
      <w:ind w:left="1702"/>
    </w:pPr>
  </w:style>
  <w:style w:type="paragraph" w:customStyle="1" w:styleId="EditorsNote">
    <w:name w:val="Editor's Note"/>
    <w:basedOn w:val="Normal"/>
    <w:rsid w:val="00E5205E"/>
    <w:pPr>
      <w:keepLines/>
      <w:spacing w:after="180"/>
      <w:ind w:left="1135" w:hanging="851"/>
      <w:jc w:val="left"/>
    </w:pPr>
    <w:rPr>
      <w:color w:val="FF0000"/>
      <w:lang w:eastAsia="en-US"/>
    </w:rPr>
  </w:style>
  <w:style w:type="paragraph" w:styleId="ListBullet4">
    <w:name w:val="List Bullet 4"/>
    <w:basedOn w:val="ListBullet3"/>
    <w:rsid w:val="00E5205E"/>
    <w:pPr>
      <w:numPr>
        <w:numId w:val="8"/>
      </w:numPr>
    </w:pPr>
  </w:style>
  <w:style w:type="paragraph" w:styleId="ListBullet5">
    <w:name w:val="List Bullet 5"/>
    <w:basedOn w:val="ListBullet4"/>
    <w:rsid w:val="00E5205E"/>
    <w:pPr>
      <w:numPr>
        <w:numId w:val="4"/>
      </w:numPr>
    </w:pPr>
  </w:style>
  <w:style w:type="paragraph" w:styleId="Footer">
    <w:name w:val="footer"/>
    <w:basedOn w:val="Header"/>
    <w:semiHidden/>
    <w:rsid w:val="00E5205E"/>
    <w:pPr>
      <w:jc w:val="center"/>
    </w:pPr>
    <w:rPr>
      <w:i/>
      <w:iCs/>
    </w:rPr>
  </w:style>
  <w:style w:type="paragraph" w:customStyle="1" w:styleId="Reference">
    <w:name w:val="Reference"/>
    <w:basedOn w:val="Normal"/>
    <w:link w:val="ReferenceChar"/>
    <w:rsid w:val="00E5205E"/>
    <w:pPr>
      <w:numPr>
        <w:numId w:val="2"/>
      </w:numPr>
    </w:pPr>
  </w:style>
  <w:style w:type="paragraph" w:styleId="BalloonText">
    <w:name w:val="Balloon Text"/>
    <w:basedOn w:val="Normal"/>
    <w:semiHidden/>
    <w:rsid w:val="00E5205E"/>
    <w:rPr>
      <w:rFonts w:ascii="Tahoma" w:hAnsi="Tahoma" w:cs="Tahoma"/>
      <w:sz w:val="16"/>
      <w:szCs w:val="16"/>
    </w:rPr>
  </w:style>
  <w:style w:type="character" w:styleId="PageNumber">
    <w:name w:val="page number"/>
    <w:basedOn w:val="DefaultParagraphFont"/>
    <w:semiHidden/>
    <w:rsid w:val="00E5205E"/>
  </w:style>
  <w:style w:type="paragraph" w:styleId="BodyText">
    <w:name w:val="Body Text"/>
    <w:basedOn w:val="Normal"/>
    <w:link w:val="BodyTextChar"/>
    <w:rsid w:val="00E5205E"/>
  </w:style>
  <w:style w:type="character" w:styleId="Hyperlink">
    <w:name w:val="Hyperlink"/>
    <w:uiPriority w:val="99"/>
    <w:rsid w:val="00E5205E"/>
    <w:rPr>
      <w:color w:val="0000FF"/>
      <w:u w:val="single"/>
      <w:lang w:val="en-GB"/>
    </w:rPr>
  </w:style>
  <w:style w:type="character" w:styleId="FollowedHyperlink">
    <w:name w:val="FollowedHyperlink"/>
    <w:semiHidden/>
    <w:rsid w:val="00E5205E"/>
    <w:rPr>
      <w:color w:val="FF0000"/>
      <w:u w:val="single"/>
    </w:rPr>
  </w:style>
  <w:style w:type="character" w:styleId="CommentReference">
    <w:name w:val="annotation reference"/>
    <w:semiHidden/>
    <w:rsid w:val="00E5205E"/>
    <w:rPr>
      <w:sz w:val="16"/>
      <w:szCs w:val="16"/>
    </w:rPr>
  </w:style>
  <w:style w:type="paragraph" w:styleId="CommentText">
    <w:name w:val="annotation text"/>
    <w:basedOn w:val="Normal"/>
    <w:semiHidden/>
    <w:rsid w:val="00E5205E"/>
  </w:style>
  <w:style w:type="paragraph" w:styleId="CommentSubject">
    <w:name w:val="annotation subject"/>
    <w:basedOn w:val="CommentText"/>
    <w:next w:val="CommentText"/>
    <w:semiHidden/>
    <w:rsid w:val="00E5205E"/>
    <w:rPr>
      <w:b/>
      <w:bCs/>
    </w:rPr>
  </w:style>
  <w:style w:type="character" w:customStyle="1" w:styleId="Heading1Char">
    <w:name w:val="Heading 1 Char"/>
    <w:link w:val="Heading1"/>
    <w:rsid w:val="00E5205E"/>
    <w:rPr>
      <w:rFonts w:ascii="Arial" w:hAnsi="Arial" w:cs="Arial"/>
      <w:sz w:val="36"/>
      <w:szCs w:val="36"/>
      <w:lang w:val="en-GB" w:eastAsia="zh-CN"/>
    </w:rPr>
  </w:style>
  <w:style w:type="paragraph" w:customStyle="1" w:styleId="B1">
    <w:name w:val="B1"/>
    <w:basedOn w:val="List"/>
    <w:rsid w:val="00E5205E"/>
    <w:pPr>
      <w:spacing w:after="180"/>
      <w:jc w:val="left"/>
    </w:pPr>
    <w:rPr>
      <w:lang w:eastAsia="en-US"/>
    </w:rPr>
  </w:style>
  <w:style w:type="paragraph" w:customStyle="1" w:styleId="B2">
    <w:name w:val="B2"/>
    <w:basedOn w:val="List2"/>
    <w:rsid w:val="00E5205E"/>
    <w:pPr>
      <w:spacing w:after="180"/>
      <w:jc w:val="left"/>
    </w:pPr>
    <w:rPr>
      <w:lang w:eastAsia="en-US"/>
    </w:rPr>
  </w:style>
  <w:style w:type="paragraph" w:customStyle="1" w:styleId="B3">
    <w:name w:val="B3"/>
    <w:basedOn w:val="List3"/>
    <w:rsid w:val="00E5205E"/>
    <w:pPr>
      <w:spacing w:after="180"/>
      <w:jc w:val="left"/>
    </w:pPr>
    <w:rPr>
      <w:lang w:eastAsia="en-US"/>
    </w:rPr>
  </w:style>
  <w:style w:type="paragraph" w:customStyle="1" w:styleId="B4">
    <w:name w:val="B4"/>
    <w:basedOn w:val="List4"/>
    <w:rsid w:val="00E5205E"/>
    <w:pPr>
      <w:spacing w:after="180"/>
      <w:jc w:val="left"/>
    </w:pPr>
    <w:rPr>
      <w:lang w:eastAsia="en-US"/>
    </w:rPr>
  </w:style>
  <w:style w:type="paragraph" w:customStyle="1" w:styleId="Proposal">
    <w:name w:val="Proposal"/>
    <w:basedOn w:val="Normal"/>
    <w:rsid w:val="00E5205E"/>
    <w:pPr>
      <w:numPr>
        <w:numId w:val="3"/>
      </w:numPr>
      <w:tabs>
        <w:tab w:val="clear" w:pos="1304"/>
        <w:tab w:val="left" w:pos="1701"/>
      </w:tabs>
      <w:ind w:left="1701" w:hanging="1701"/>
    </w:pPr>
    <w:rPr>
      <w:b/>
      <w:bCs/>
    </w:rPr>
  </w:style>
  <w:style w:type="character" w:customStyle="1" w:styleId="BodyTextChar">
    <w:name w:val="Body Text Char"/>
    <w:link w:val="BodyText"/>
    <w:rsid w:val="00E5205E"/>
    <w:rPr>
      <w:rFonts w:ascii="Arial" w:hAnsi="Arial"/>
      <w:lang w:val="en-GB" w:eastAsia="zh-CN"/>
    </w:rPr>
  </w:style>
  <w:style w:type="paragraph" w:customStyle="1" w:styleId="B5">
    <w:name w:val="B5"/>
    <w:basedOn w:val="List5"/>
    <w:rsid w:val="00E5205E"/>
    <w:pPr>
      <w:spacing w:after="180"/>
      <w:jc w:val="left"/>
    </w:pPr>
    <w:rPr>
      <w:lang w:eastAsia="en-US"/>
    </w:rPr>
  </w:style>
  <w:style w:type="paragraph" w:customStyle="1" w:styleId="EX">
    <w:name w:val="EX"/>
    <w:basedOn w:val="Normal"/>
    <w:rsid w:val="00E5205E"/>
    <w:pPr>
      <w:keepLines/>
      <w:spacing w:after="180"/>
      <w:ind w:left="1702" w:hanging="1418"/>
      <w:jc w:val="left"/>
    </w:pPr>
    <w:rPr>
      <w:lang w:eastAsia="en-US"/>
    </w:rPr>
  </w:style>
  <w:style w:type="paragraph" w:customStyle="1" w:styleId="EW">
    <w:name w:val="EW"/>
    <w:basedOn w:val="EX"/>
    <w:rsid w:val="00E5205E"/>
    <w:pPr>
      <w:spacing w:after="0"/>
    </w:pPr>
  </w:style>
  <w:style w:type="paragraph" w:customStyle="1" w:styleId="TAL">
    <w:name w:val="TAL"/>
    <w:basedOn w:val="Normal"/>
    <w:rsid w:val="00E5205E"/>
    <w:pPr>
      <w:keepNext/>
      <w:keepLines/>
      <w:spacing w:after="0"/>
      <w:jc w:val="left"/>
    </w:pPr>
    <w:rPr>
      <w:sz w:val="18"/>
      <w:lang w:eastAsia="en-US"/>
    </w:rPr>
  </w:style>
  <w:style w:type="paragraph" w:customStyle="1" w:styleId="TAC">
    <w:name w:val="TAC"/>
    <w:basedOn w:val="TAL"/>
    <w:rsid w:val="00E5205E"/>
    <w:pPr>
      <w:jc w:val="center"/>
    </w:pPr>
  </w:style>
  <w:style w:type="paragraph" w:customStyle="1" w:styleId="TAH">
    <w:name w:val="TAH"/>
    <w:basedOn w:val="TAC"/>
    <w:rsid w:val="00E5205E"/>
    <w:rPr>
      <w:b/>
    </w:rPr>
  </w:style>
  <w:style w:type="paragraph" w:customStyle="1" w:styleId="TAN">
    <w:name w:val="TAN"/>
    <w:basedOn w:val="TAL"/>
    <w:rsid w:val="00E5205E"/>
    <w:pPr>
      <w:ind w:left="851" w:hanging="851"/>
    </w:pPr>
  </w:style>
  <w:style w:type="paragraph" w:customStyle="1" w:styleId="TAR">
    <w:name w:val="TAR"/>
    <w:basedOn w:val="TAL"/>
    <w:rsid w:val="00E5205E"/>
    <w:pPr>
      <w:jc w:val="right"/>
    </w:pPr>
  </w:style>
  <w:style w:type="paragraph" w:customStyle="1" w:styleId="TH">
    <w:name w:val="TH"/>
    <w:basedOn w:val="Normal"/>
    <w:rsid w:val="00E5205E"/>
    <w:pPr>
      <w:keepNext/>
      <w:keepLines/>
      <w:spacing w:before="60" w:after="180"/>
      <w:jc w:val="center"/>
    </w:pPr>
    <w:rPr>
      <w:b/>
      <w:lang w:eastAsia="en-US"/>
    </w:rPr>
  </w:style>
  <w:style w:type="paragraph" w:customStyle="1" w:styleId="TF">
    <w:name w:val="TF"/>
    <w:basedOn w:val="TH"/>
    <w:rsid w:val="00E5205E"/>
    <w:pPr>
      <w:keepNext w:val="0"/>
      <w:spacing w:before="0" w:after="240"/>
    </w:pPr>
  </w:style>
  <w:style w:type="paragraph" w:customStyle="1" w:styleId="TT">
    <w:name w:val="TT"/>
    <w:basedOn w:val="Heading1"/>
    <w:next w:val="Normal"/>
    <w:rsid w:val="00E5205E"/>
    <w:pPr>
      <w:numPr>
        <w:numId w:val="0"/>
      </w:numPr>
      <w:ind w:left="1134" w:hanging="1134"/>
      <w:outlineLvl w:val="9"/>
    </w:pPr>
    <w:rPr>
      <w:rFonts w:cs="Times New Roman"/>
      <w:szCs w:val="20"/>
      <w:lang w:eastAsia="en-US"/>
    </w:rPr>
  </w:style>
  <w:style w:type="paragraph" w:customStyle="1" w:styleId="ZA">
    <w:name w:val="ZA"/>
    <w:rsid w:val="00E520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520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520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520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5205E"/>
  </w:style>
  <w:style w:type="paragraph" w:customStyle="1" w:styleId="ZH">
    <w:name w:val="ZH"/>
    <w:rsid w:val="00E520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520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5205E"/>
    <w:pPr>
      <w:framePr w:hRule="auto" w:wrap="notBeside" w:y="852"/>
    </w:pPr>
    <w:rPr>
      <w:i w:val="0"/>
      <w:sz w:val="40"/>
    </w:rPr>
  </w:style>
  <w:style w:type="paragraph" w:customStyle="1" w:styleId="ZU">
    <w:name w:val="ZU"/>
    <w:rsid w:val="00E520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5205E"/>
    <w:pPr>
      <w:framePr w:wrap="notBeside" w:y="16161"/>
    </w:pPr>
  </w:style>
  <w:style w:type="paragraph" w:customStyle="1" w:styleId="FP">
    <w:name w:val="FP"/>
    <w:basedOn w:val="Normal"/>
    <w:rsid w:val="00E5205E"/>
    <w:pPr>
      <w:spacing w:after="0"/>
      <w:jc w:val="left"/>
    </w:pPr>
    <w:rPr>
      <w:lang w:eastAsia="en-US"/>
    </w:rPr>
  </w:style>
  <w:style w:type="paragraph" w:customStyle="1" w:styleId="Observation">
    <w:name w:val="Observation"/>
    <w:basedOn w:val="Proposal"/>
    <w:qFormat/>
    <w:rsid w:val="00E5205E"/>
    <w:pPr>
      <w:numPr>
        <w:numId w:val="13"/>
      </w:numPr>
      <w:ind w:left="1701" w:hanging="1701"/>
    </w:pPr>
  </w:style>
  <w:style w:type="paragraph" w:styleId="TableofFigures">
    <w:name w:val="table of figures"/>
    <w:basedOn w:val="Normal"/>
    <w:next w:val="Normal"/>
    <w:uiPriority w:val="99"/>
    <w:rsid w:val="00E5205E"/>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paragraph" w:styleId="NormalWeb">
    <w:name w:val="Normal (Web)"/>
    <w:basedOn w:val="Normal"/>
    <w:uiPriority w:val="99"/>
    <w:unhideWhenUsed/>
    <w:rsid w:val="000E2A68"/>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ListParagraph">
    <w:name w:val="List Paragraph"/>
    <w:basedOn w:val="Normal"/>
    <w:uiPriority w:val="34"/>
    <w:qFormat/>
    <w:rsid w:val="00245A45"/>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character" w:styleId="PlaceholderText">
    <w:name w:val="Placeholder Text"/>
    <w:basedOn w:val="DefaultParagraphFont"/>
    <w:uiPriority w:val="99"/>
    <w:semiHidden/>
    <w:rsid w:val="001E39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147">
      <w:bodyDiv w:val="1"/>
      <w:marLeft w:val="0"/>
      <w:marRight w:val="0"/>
      <w:marTop w:val="0"/>
      <w:marBottom w:val="0"/>
      <w:divBdr>
        <w:top w:val="none" w:sz="0" w:space="0" w:color="auto"/>
        <w:left w:val="none" w:sz="0" w:space="0" w:color="auto"/>
        <w:bottom w:val="none" w:sz="0" w:space="0" w:color="auto"/>
        <w:right w:val="none" w:sz="0" w:space="0" w:color="auto"/>
      </w:divBdr>
      <w:divsChild>
        <w:div w:id="1661693236">
          <w:marLeft w:val="547"/>
          <w:marRight w:val="0"/>
          <w:marTop w:val="115"/>
          <w:marBottom w:val="0"/>
          <w:divBdr>
            <w:top w:val="none" w:sz="0" w:space="0" w:color="auto"/>
            <w:left w:val="none" w:sz="0" w:space="0" w:color="auto"/>
            <w:bottom w:val="none" w:sz="0" w:space="0" w:color="auto"/>
            <w:right w:val="none" w:sz="0" w:space="0" w:color="auto"/>
          </w:divBdr>
        </w:div>
      </w:divsChild>
    </w:div>
    <w:div w:id="183977279">
      <w:bodyDiv w:val="1"/>
      <w:marLeft w:val="0"/>
      <w:marRight w:val="0"/>
      <w:marTop w:val="0"/>
      <w:marBottom w:val="0"/>
      <w:divBdr>
        <w:top w:val="none" w:sz="0" w:space="0" w:color="auto"/>
        <w:left w:val="none" w:sz="0" w:space="0" w:color="auto"/>
        <w:bottom w:val="none" w:sz="0" w:space="0" w:color="auto"/>
        <w:right w:val="none" w:sz="0" w:space="0" w:color="auto"/>
      </w:divBdr>
    </w:div>
    <w:div w:id="294914901">
      <w:bodyDiv w:val="1"/>
      <w:marLeft w:val="0"/>
      <w:marRight w:val="0"/>
      <w:marTop w:val="0"/>
      <w:marBottom w:val="0"/>
      <w:divBdr>
        <w:top w:val="none" w:sz="0" w:space="0" w:color="auto"/>
        <w:left w:val="none" w:sz="0" w:space="0" w:color="auto"/>
        <w:bottom w:val="none" w:sz="0" w:space="0" w:color="auto"/>
        <w:right w:val="none" w:sz="0" w:space="0" w:color="auto"/>
      </w:divBdr>
    </w:div>
    <w:div w:id="372312793">
      <w:bodyDiv w:val="1"/>
      <w:marLeft w:val="0"/>
      <w:marRight w:val="0"/>
      <w:marTop w:val="0"/>
      <w:marBottom w:val="0"/>
      <w:divBdr>
        <w:top w:val="none" w:sz="0" w:space="0" w:color="auto"/>
        <w:left w:val="none" w:sz="0" w:space="0" w:color="auto"/>
        <w:bottom w:val="none" w:sz="0" w:space="0" w:color="auto"/>
        <w:right w:val="none" w:sz="0" w:space="0" w:color="auto"/>
      </w:divBdr>
    </w:div>
    <w:div w:id="396629218">
      <w:bodyDiv w:val="1"/>
      <w:marLeft w:val="0"/>
      <w:marRight w:val="0"/>
      <w:marTop w:val="0"/>
      <w:marBottom w:val="0"/>
      <w:divBdr>
        <w:top w:val="none" w:sz="0" w:space="0" w:color="auto"/>
        <w:left w:val="none" w:sz="0" w:space="0" w:color="auto"/>
        <w:bottom w:val="none" w:sz="0" w:space="0" w:color="auto"/>
        <w:right w:val="none" w:sz="0" w:space="0" w:color="auto"/>
      </w:divBdr>
    </w:div>
    <w:div w:id="439418926">
      <w:bodyDiv w:val="1"/>
      <w:marLeft w:val="0"/>
      <w:marRight w:val="0"/>
      <w:marTop w:val="0"/>
      <w:marBottom w:val="0"/>
      <w:divBdr>
        <w:top w:val="none" w:sz="0" w:space="0" w:color="auto"/>
        <w:left w:val="none" w:sz="0" w:space="0" w:color="auto"/>
        <w:bottom w:val="none" w:sz="0" w:space="0" w:color="auto"/>
        <w:right w:val="none" w:sz="0" w:space="0" w:color="auto"/>
      </w:divBdr>
    </w:div>
    <w:div w:id="498497614">
      <w:bodyDiv w:val="1"/>
      <w:marLeft w:val="0"/>
      <w:marRight w:val="0"/>
      <w:marTop w:val="0"/>
      <w:marBottom w:val="0"/>
      <w:divBdr>
        <w:top w:val="none" w:sz="0" w:space="0" w:color="auto"/>
        <w:left w:val="none" w:sz="0" w:space="0" w:color="auto"/>
        <w:bottom w:val="none" w:sz="0" w:space="0" w:color="auto"/>
        <w:right w:val="none" w:sz="0" w:space="0" w:color="auto"/>
      </w:divBdr>
    </w:div>
    <w:div w:id="589629034">
      <w:bodyDiv w:val="1"/>
      <w:marLeft w:val="0"/>
      <w:marRight w:val="0"/>
      <w:marTop w:val="0"/>
      <w:marBottom w:val="0"/>
      <w:divBdr>
        <w:top w:val="none" w:sz="0" w:space="0" w:color="auto"/>
        <w:left w:val="none" w:sz="0" w:space="0" w:color="auto"/>
        <w:bottom w:val="none" w:sz="0" w:space="0" w:color="auto"/>
        <w:right w:val="none" w:sz="0" w:space="0" w:color="auto"/>
      </w:divBdr>
    </w:div>
    <w:div w:id="651713439">
      <w:bodyDiv w:val="1"/>
      <w:marLeft w:val="0"/>
      <w:marRight w:val="0"/>
      <w:marTop w:val="0"/>
      <w:marBottom w:val="0"/>
      <w:divBdr>
        <w:top w:val="none" w:sz="0" w:space="0" w:color="auto"/>
        <w:left w:val="none" w:sz="0" w:space="0" w:color="auto"/>
        <w:bottom w:val="none" w:sz="0" w:space="0" w:color="auto"/>
        <w:right w:val="none" w:sz="0" w:space="0" w:color="auto"/>
      </w:divBdr>
    </w:div>
    <w:div w:id="689112681">
      <w:bodyDiv w:val="1"/>
      <w:marLeft w:val="0"/>
      <w:marRight w:val="0"/>
      <w:marTop w:val="0"/>
      <w:marBottom w:val="0"/>
      <w:divBdr>
        <w:top w:val="none" w:sz="0" w:space="0" w:color="auto"/>
        <w:left w:val="none" w:sz="0" w:space="0" w:color="auto"/>
        <w:bottom w:val="none" w:sz="0" w:space="0" w:color="auto"/>
        <w:right w:val="none" w:sz="0" w:space="0" w:color="auto"/>
      </w:divBdr>
    </w:div>
    <w:div w:id="735007101">
      <w:bodyDiv w:val="1"/>
      <w:marLeft w:val="0"/>
      <w:marRight w:val="0"/>
      <w:marTop w:val="0"/>
      <w:marBottom w:val="0"/>
      <w:divBdr>
        <w:top w:val="none" w:sz="0" w:space="0" w:color="auto"/>
        <w:left w:val="none" w:sz="0" w:space="0" w:color="auto"/>
        <w:bottom w:val="none" w:sz="0" w:space="0" w:color="auto"/>
        <w:right w:val="none" w:sz="0" w:space="0" w:color="auto"/>
      </w:divBdr>
    </w:div>
    <w:div w:id="771248369">
      <w:bodyDiv w:val="1"/>
      <w:marLeft w:val="0"/>
      <w:marRight w:val="0"/>
      <w:marTop w:val="0"/>
      <w:marBottom w:val="0"/>
      <w:divBdr>
        <w:top w:val="none" w:sz="0" w:space="0" w:color="auto"/>
        <w:left w:val="none" w:sz="0" w:space="0" w:color="auto"/>
        <w:bottom w:val="none" w:sz="0" w:space="0" w:color="auto"/>
        <w:right w:val="none" w:sz="0" w:space="0" w:color="auto"/>
      </w:divBdr>
    </w:div>
    <w:div w:id="879785187">
      <w:bodyDiv w:val="1"/>
      <w:marLeft w:val="0"/>
      <w:marRight w:val="0"/>
      <w:marTop w:val="0"/>
      <w:marBottom w:val="0"/>
      <w:divBdr>
        <w:top w:val="none" w:sz="0" w:space="0" w:color="auto"/>
        <w:left w:val="none" w:sz="0" w:space="0" w:color="auto"/>
        <w:bottom w:val="none" w:sz="0" w:space="0" w:color="auto"/>
        <w:right w:val="none" w:sz="0" w:space="0" w:color="auto"/>
      </w:divBdr>
    </w:div>
    <w:div w:id="911744697">
      <w:bodyDiv w:val="1"/>
      <w:marLeft w:val="0"/>
      <w:marRight w:val="0"/>
      <w:marTop w:val="0"/>
      <w:marBottom w:val="0"/>
      <w:divBdr>
        <w:top w:val="none" w:sz="0" w:space="0" w:color="auto"/>
        <w:left w:val="none" w:sz="0" w:space="0" w:color="auto"/>
        <w:bottom w:val="none" w:sz="0" w:space="0" w:color="auto"/>
        <w:right w:val="none" w:sz="0" w:space="0" w:color="auto"/>
      </w:divBdr>
    </w:div>
    <w:div w:id="995259967">
      <w:bodyDiv w:val="1"/>
      <w:marLeft w:val="0"/>
      <w:marRight w:val="0"/>
      <w:marTop w:val="0"/>
      <w:marBottom w:val="0"/>
      <w:divBdr>
        <w:top w:val="none" w:sz="0" w:space="0" w:color="auto"/>
        <w:left w:val="none" w:sz="0" w:space="0" w:color="auto"/>
        <w:bottom w:val="none" w:sz="0" w:space="0" w:color="auto"/>
        <w:right w:val="none" w:sz="0" w:space="0" w:color="auto"/>
      </w:divBdr>
    </w:div>
    <w:div w:id="1156145615">
      <w:bodyDiv w:val="1"/>
      <w:marLeft w:val="0"/>
      <w:marRight w:val="0"/>
      <w:marTop w:val="0"/>
      <w:marBottom w:val="0"/>
      <w:divBdr>
        <w:top w:val="none" w:sz="0" w:space="0" w:color="auto"/>
        <w:left w:val="none" w:sz="0" w:space="0" w:color="auto"/>
        <w:bottom w:val="none" w:sz="0" w:space="0" w:color="auto"/>
        <w:right w:val="none" w:sz="0" w:space="0" w:color="auto"/>
      </w:divBdr>
      <w:divsChild>
        <w:div w:id="1184779478">
          <w:marLeft w:val="547"/>
          <w:marRight w:val="0"/>
          <w:marTop w:val="115"/>
          <w:marBottom w:val="0"/>
          <w:divBdr>
            <w:top w:val="none" w:sz="0" w:space="0" w:color="auto"/>
            <w:left w:val="none" w:sz="0" w:space="0" w:color="auto"/>
            <w:bottom w:val="none" w:sz="0" w:space="0" w:color="auto"/>
            <w:right w:val="none" w:sz="0" w:space="0" w:color="auto"/>
          </w:divBdr>
        </w:div>
      </w:divsChild>
    </w:div>
    <w:div w:id="1245870552">
      <w:bodyDiv w:val="1"/>
      <w:marLeft w:val="0"/>
      <w:marRight w:val="0"/>
      <w:marTop w:val="0"/>
      <w:marBottom w:val="0"/>
      <w:divBdr>
        <w:top w:val="none" w:sz="0" w:space="0" w:color="auto"/>
        <w:left w:val="none" w:sz="0" w:space="0" w:color="auto"/>
        <w:bottom w:val="none" w:sz="0" w:space="0" w:color="auto"/>
        <w:right w:val="none" w:sz="0" w:space="0" w:color="auto"/>
      </w:divBdr>
    </w:div>
    <w:div w:id="1309094474">
      <w:bodyDiv w:val="1"/>
      <w:marLeft w:val="0"/>
      <w:marRight w:val="0"/>
      <w:marTop w:val="0"/>
      <w:marBottom w:val="0"/>
      <w:divBdr>
        <w:top w:val="none" w:sz="0" w:space="0" w:color="auto"/>
        <w:left w:val="none" w:sz="0" w:space="0" w:color="auto"/>
        <w:bottom w:val="none" w:sz="0" w:space="0" w:color="auto"/>
        <w:right w:val="none" w:sz="0" w:space="0" w:color="auto"/>
      </w:divBdr>
    </w:div>
    <w:div w:id="1353848274">
      <w:bodyDiv w:val="1"/>
      <w:marLeft w:val="0"/>
      <w:marRight w:val="0"/>
      <w:marTop w:val="0"/>
      <w:marBottom w:val="0"/>
      <w:divBdr>
        <w:top w:val="none" w:sz="0" w:space="0" w:color="auto"/>
        <w:left w:val="none" w:sz="0" w:space="0" w:color="auto"/>
        <w:bottom w:val="none" w:sz="0" w:space="0" w:color="auto"/>
        <w:right w:val="none" w:sz="0" w:space="0" w:color="auto"/>
      </w:divBdr>
    </w:div>
    <w:div w:id="1410732301">
      <w:bodyDiv w:val="1"/>
      <w:marLeft w:val="0"/>
      <w:marRight w:val="0"/>
      <w:marTop w:val="0"/>
      <w:marBottom w:val="0"/>
      <w:divBdr>
        <w:top w:val="none" w:sz="0" w:space="0" w:color="auto"/>
        <w:left w:val="none" w:sz="0" w:space="0" w:color="auto"/>
        <w:bottom w:val="none" w:sz="0" w:space="0" w:color="auto"/>
        <w:right w:val="none" w:sz="0" w:space="0" w:color="auto"/>
      </w:divBdr>
    </w:div>
    <w:div w:id="1596523981">
      <w:bodyDiv w:val="1"/>
      <w:marLeft w:val="0"/>
      <w:marRight w:val="0"/>
      <w:marTop w:val="0"/>
      <w:marBottom w:val="0"/>
      <w:divBdr>
        <w:top w:val="none" w:sz="0" w:space="0" w:color="auto"/>
        <w:left w:val="none" w:sz="0" w:space="0" w:color="auto"/>
        <w:bottom w:val="none" w:sz="0" w:space="0" w:color="auto"/>
        <w:right w:val="none" w:sz="0" w:space="0" w:color="auto"/>
      </w:divBdr>
    </w:div>
    <w:div w:id="1606156675">
      <w:bodyDiv w:val="1"/>
      <w:marLeft w:val="0"/>
      <w:marRight w:val="0"/>
      <w:marTop w:val="0"/>
      <w:marBottom w:val="0"/>
      <w:divBdr>
        <w:top w:val="none" w:sz="0" w:space="0" w:color="auto"/>
        <w:left w:val="none" w:sz="0" w:space="0" w:color="auto"/>
        <w:bottom w:val="none" w:sz="0" w:space="0" w:color="auto"/>
        <w:right w:val="none" w:sz="0" w:space="0" w:color="auto"/>
      </w:divBdr>
    </w:div>
    <w:div w:id="1682776158">
      <w:bodyDiv w:val="1"/>
      <w:marLeft w:val="0"/>
      <w:marRight w:val="0"/>
      <w:marTop w:val="0"/>
      <w:marBottom w:val="0"/>
      <w:divBdr>
        <w:top w:val="none" w:sz="0" w:space="0" w:color="auto"/>
        <w:left w:val="none" w:sz="0" w:space="0" w:color="auto"/>
        <w:bottom w:val="none" w:sz="0" w:space="0" w:color="auto"/>
        <w:right w:val="none" w:sz="0" w:space="0" w:color="auto"/>
      </w:divBdr>
    </w:div>
    <w:div w:id="1937206128">
      <w:bodyDiv w:val="1"/>
      <w:marLeft w:val="0"/>
      <w:marRight w:val="0"/>
      <w:marTop w:val="0"/>
      <w:marBottom w:val="0"/>
      <w:divBdr>
        <w:top w:val="none" w:sz="0" w:space="0" w:color="auto"/>
        <w:left w:val="none" w:sz="0" w:space="0" w:color="auto"/>
        <w:bottom w:val="none" w:sz="0" w:space="0" w:color="auto"/>
        <w:right w:val="none" w:sz="0" w:space="0" w:color="auto"/>
      </w:divBdr>
    </w:div>
    <w:div w:id="1997495537">
      <w:bodyDiv w:val="1"/>
      <w:marLeft w:val="0"/>
      <w:marRight w:val="0"/>
      <w:marTop w:val="0"/>
      <w:marBottom w:val="0"/>
      <w:divBdr>
        <w:top w:val="none" w:sz="0" w:space="0" w:color="auto"/>
        <w:left w:val="none" w:sz="0" w:space="0" w:color="auto"/>
        <w:bottom w:val="none" w:sz="0" w:space="0" w:color="auto"/>
        <w:right w:val="none" w:sz="0" w:space="0" w:color="auto"/>
      </w:divBdr>
      <w:divsChild>
        <w:div w:id="616376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5NUHHDQN7SK2-1-175247</_dlc_DocId>
    <_dlc_DocIdUrl xmlns="08b2df90-05d3-4030-90d4-c9feeb4a1cd9">
      <Url>https://ericoll.internal.ericsson.com/sites/star/_layouts/DocIdRedir.aspx?ID=5NUHHDQN7SK2-1-175247</Url>
      <Description>5NUHHDQN7SK2-1-175247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15E69-631E-4A28-B9CA-65FD1357BA82}">
  <ds:schemaRefs>
    <ds:schemaRef ds:uri="http://schemas.microsoft.com/sharepoint/events"/>
  </ds:schemaRefs>
</ds:datastoreItem>
</file>

<file path=customXml/itemProps2.xml><?xml version="1.0" encoding="utf-8"?>
<ds:datastoreItem xmlns:ds="http://schemas.openxmlformats.org/officeDocument/2006/customXml" ds:itemID="{C50A7DAC-B5A7-4535-81A4-24E8EE9E412B}">
  <ds:schemaRefs>
    <ds:schemaRef ds:uri="Microsoft.SharePoint.Taxonomy.ContentTypeSync"/>
  </ds:schemaRefs>
</ds:datastoreItem>
</file>

<file path=customXml/itemProps3.xml><?xml version="1.0" encoding="utf-8"?>
<ds:datastoreItem xmlns:ds="http://schemas.openxmlformats.org/officeDocument/2006/customXml" ds:itemID="{453873D5-FA9A-44ED-87A8-FB24C94EF90E}">
  <ds:schemaRefs>
    <ds:schemaRef ds:uri="http://schemas.microsoft.com/office/2006/metadata/longProperties"/>
  </ds:schemaRefs>
</ds:datastoreItem>
</file>

<file path=customXml/itemProps4.xml><?xml version="1.0" encoding="utf-8"?>
<ds:datastoreItem xmlns:ds="http://schemas.openxmlformats.org/officeDocument/2006/customXml" ds:itemID="{9F4709EA-696F-4FC4-80CE-A58B5DF3253E}">
  <ds:schemaRefs>
    <ds:schemaRef ds:uri="http://schemas.microsoft.com/sharepoint/v3/contenttype/forms"/>
  </ds:schemaRefs>
</ds:datastoreItem>
</file>

<file path=customXml/itemProps5.xml><?xml version="1.0" encoding="utf-8"?>
<ds:datastoreItem xmlns:ds="http://schemas.openxmlformats.org/officeDocument/2006/customXml" ds:itemID="{B00525F6-178F-4CBC-939F-62E734CEF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120EFC-6D8A-40DC-99B1-89F1B163BB87}">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B8977E02-2216-4572-9EA3-3B8AD579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69</TotalTime>
  <Pages>8</Pages>
  <Words>3376</Words>
  <Characters>17898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21232</CharactersWithSpaces>
  <SharedDoc>false</SharedDoc>
  <HLinks>
    <vt:vector size="30" baseType="variant">
      <vt:variant>
        <vt:i4>65569</vt:i4>
      </vt:variant>
      <vt:variant>
        <vt:i4>111</vt:i4>
      </vt:variant>
      <vt:variant>
        <vt:i4>0</vt:i4>
      </vt:variant>
      <vt:variant>
        <vt:i4>5</vt:i4>
      </vt:variant>
      <vt:variant>
        <vt:lpwstr>ftp://www.3gpp.org/Specs/archive/36_series/36.213/36213-e00.zip</vt:lpwstr>
      </vt:variant>
      <vt:variant>
        <vt:lpwstr/>
      </vt:variant>
      <vt:variant>
        <vt:i4>65569</vt:i4>
      </vt:variant>
      <vt:variant>
        <vt:i4>108</vt:i4>
      </vt:variant>
      <vt:variant>
        <vt:i4>0</vt:i4>
      </vt:variant>
      <vt:variant>
        <vt:i4>5</vt:i4>
      </vt:variant>
      <vt:variant>
        <vt:lpwstr>ftp://www.3gpp.org/Specs/archive/36_series/36.212/36212-e00.zip</vt:lpwstr>
      </vt:variant>
      <vt:variant>
        <vt:lpwstr/>
      </vt:variant>
      <vt:variant>
        <vt:i4>8126487</vt:i4>
      </vt:variant>
      <vt:variant>
        <vt:i4>105</vt:i4>
      </vt:variant>
      <vt:variant>
        <vt:i4>0</vt:i4>
      </vt:variant>
      <vt:variant>
        <vt:i4>5</vt:i4>
      </vt:variant>
      <vt:variant>
        <vt:lpwstr>ftp://www.3gpp.org/tsg_ran/WG1_RL1//TSGR1_87/Docs/R1-1611511.zip</vt:lpwstr>
      </vt:variant>
      <vt:variant>
        <vt:lpwstr/>
      </vt:variant>
      <vt:variant>
        <vt:i4>65569</vt:i4>
      </vt:variant>
      <vt:variant>
        <vt:i4>102</vt:i4>
      </vt:variant>
      <vt:variant>
        <vt:i4>0</vt:i4>
      </vt:variant>
      <vt:variant>
        <vt:i4>5</vt:i4>
      </vt:variant>
      <vt:variant>
        <vt:lpwstr>ftp://www.3gpp.org/Specs/archive/36_series/36.881/36881-e00.zip</vt:lpwstr>
      </vt:variant>
      <vt:variant>
        <vt:lpwstr/>
      </vt:variant>
      <vt:variant>
        <vt:i4>3735557</vt:i4>
      </vt:variant>
      <vt:variant>
        <vt:i4>99</vt:i4>
      </vt:variant>
      <vt:variant>
        <vt:i4>0</vt:i4>
      </vt:variant>
      <vt:variant>
        <vt:i4>5</vt:i4>
      </vt:variant>
      <vt:variant>
        <vt:lpwstr>ftp://www.3gpp.org/tsg_ran/WG1_RL1//TSGR1_84b/Docs/R1-163312.zip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157</cp:revision>
  <cp:lastPrinted>2008-01-31T07:09:00Z</cp:lastPrinted>
  <dcterms:created xsi:type="dcterms:W3CDTF">2017-04-20T08:44:00Z</dcterms:created>
  <dcterms:modified xsi:type="dcterms:W3CDTF">2017-08-11T16:53:00Z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c2881057-88b7-4fae-b2ee-e6e7ff8207dd</vt:lpwstr>
  </property>
</Properties>
</file>