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84B27" w:rsidRPr="00B14A49" w:rsidRDefault="00A84B27" w:rsidP="00A84B27">
      <w:pPr>
        <w:pStyle w:val="ad"/>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#90</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R1-1712397</w:t>
      </w:r>
    </w:p>
    <w:p w:rsidR="00C11ED7" w:rsidRPr="005D47C0" w:rsidRDefault="00A84B27" w:rsidP="00A84B27">
      <w:pPr>
        <w:pStyle w:val="ad"/>
        <w:widowControl w:val="0"/>
        <w:tabs>
          <w:tab w:val="clear" w:pos="9072"/>
          <w:tab w:val="right" w:pos="8280"/>
          <w:tab w:val="right" w:pos="9781"/>
        </w:tabs>
        <w:snapToGrid w:val="0"/>
        <w:ind w:left="-2" w:right="-57"/>
        <w:rPr>
          <w:rFonts w:cs="Arial"/>
          <w:bCs/>
          <w:sz w:val="22"/>
        </w:rPr>
      </w:pPr>
      <w:r>
        <w:rPr>
          <w:rFonts w:cs="Arial"/>
          <w:bCs/>
          <w:sz w:val="22"/>
        </w:rPr>
        <w:t>Prague</w:t>
      </w:r>
      <w:r w:rsidRPr="00F2358D">
        <w:rPr>
          <w:rFonts w:cs="Arial"/>
          <w:bCs/>
          <w:sz w:val="22"/>
        </w:rPr>
        <w:t xml:space="preserve">, </w:t>
      </w:r>
      <w:proofErr w:type="spellStart"/>
      <w:r>
        <w:rPr>
          <w:rFonts w:cs="Arial"/>
          <w:bCs/>
          <w:sz w:val="22"/>
        </w:rPr>
        <w:t>Czech</w:t>
      </w:r>
      <w:r w:rsidR="000F45FE">
        <w:rPr>
          <w:rFonts w:cs="Arial"/>
          <w:bCs/>
          <w:sz w:val="22"/>
        </w:rPr>
        <w:t>ia</w:t>
      </w:r>
      <w:proofErr w:type="spellEnd"/>
      <w:r>
        <w:rPr>
          <w:rFonts w:cs="Arial"/>
          <w:bCs/>
          <w:sz w:val="22"/>
        </w:rPr>
        <w:t>, 21</w:t>
      </w:r>
      <w:r w:rsidRPr="00CB4087">
        <w:rPr>
          <w:rFonts w:cs="Arial"/>
          <w:bCs/>
          <w:sz w:val="22"/>
          <w:vertAlign w:val="superscript"/>
        </w:rPr>
        <w:t>st</w:t>
      </w:r>
      <w:r>
        <w:rPr>
          <w:rFonts w:cs="Arial"/>
          <w:bCs/>
          <w:sz w:val="22"/>
        </w:rPr>
        <w:t xml:space="preserve"> – 25</w:t>
      </w:r>
      <w:r w:rsidRPr="00236DB3">
        <w:rPr>
          <w:rFonts w:cs="Arial"/>
          <w:bCs/>
          <w:sz w:val="22"/>
          <w:vertAlign w:val="superscript"/>
        </w:rPr>
        <w:t>th</w:t>
      </w:r>
      <w:r>
        <w:rPr>
          <w:rFonts w:cs="Arial"/>
          <w:bCs/>
          <w:sz w:val="22"/>
        </w:rPr>
        <w:t xml:space="preserve"> August</w:t>
      </w:r>
      <w:r w:rsidRPr="00F2358D">
        <w:rPr>
          <w:rFonts w:cs="Arial"/>
          <w:bCs/>
          <w:sz w:val="22"/>
        </w:rPr>
        <w:t xml:space="preserve"> 201</w:t>
      </w:r>
      <w:r>
        <w:rPr>
          <w:rFonts w:cs="Arial"/>
          <w:bCs/>
          <w:sz w:val="22"/>
        </w:rPr>
        <w:t>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963599" w:rsidRPr="00963599">
        <w:rPr>
          <w:sz w:val="22"/>
          <w:szCs w:val="22"/>
        </w:rPr>
        <w:t>Contents of the group-common PDCCH</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A84B27">
        <w:rPr>
          <w:sz w:val="22"/>
          <w:szCs w:val="22"/>
        </w:rPr>
        <w:t>6</w:t>
      </w:r>
      <w:r w:rsidR="008C27F9">
        <w:rPr>
          <w:rFonts w:eastAsia="SimSun"/>
          <w:sz w:val="22"/>
          <w:szCs w:val="22"/>
          <w:lang w:eastAsia="zh-CN"/>
        </w:rPr>
        <w:t>.1.</w:t>
      </w:r>
      <w:r w:rsidR="003909AE">
        <w:rPr>
          <w:rFonts w:eastAsia="SimSun"/>
          <w:sz w:val="22"/>
          <w:szCs w:val="22"/>
          <w:lang w:eastAsia="zh-CN"/>
        </w:rPr>
        <w:t>3</w:t>
      </w:r>
      <w:r w:rsidR="00EF17B1">
        <w:rPr>
          <w:rFonts w:eastAsia="SimSun"/>
          <w:sz w:val="22"/>
          <w:szCs w:val="22"/>
          <w:lang w:eastAsia="zh-CN"/>
        </w:rPr>
        <w:t>.1.4.2</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A35236" w:rsidRDefault="004A12E4" w:rsidP="00423654">
      <w:pPr>
        <w:pStyle w:val="a0"/>
        <w:rPr>
          <w:rFonts w:eastAsia="SimSun"/>
          <w:lang w:eastAsia="zh-CN"/>
        </w:rPr>
      </w:pPr>
      <w:r>
        <w:rPr>
          <w:rFonts w:eastAsia="SimSun"/>
          <w:lang w:eastAsia="zh-CN"/>
        </w:rPr>
        <w:t xml:space="preserve">A group-common </w:t>
      </w:r>
      <w:r w:rsidR="000F45FE">
        <w:rPr>
          <w:rFonts w:eastAsia="SimSun"/>
          <w:lang w:eastAsia="zh-CN"/>
        </w:rPr>
        <w:t xml:space="preserve">PDCCH </w:t>
      </w:r>
      <w:r>
        <w:rPr>
          <w:rFonts w:eastAsia="SimSun"/>
          <w:lang w:eastAsia="zh-CN"/>
        </w:rPr>
        <w:t xml:space="preserve">shall be specified in NR Release 15 carrying at least slot format related information (SFI). </w:t>
      </w:r>
      <w:r w:rsidR="00EE2281">
        <w:rPr>
          <w:rFonts w:eastAsia="SimSun"/>
          <w:lang w:eastAsia="zh-CN"/>
        </w:rPr>
        <w:t xml:space="preserve">In addition to the SFI, other </w:t>
      </w:r>
      <w:r w:rsidR="0089692A">
        <w:rPr>
          <w:rFonts w:eastAsia="SimSun"/>
          <w:lang w:eastAsia="zh-CN"/>
        </w:rPr>
        <w:t xml:space="preserve">types of control information have been proposed </w:t>
      </w:r>
      <w:r w:rsidR="000F45FE">
        <w:rPr>
          <w:rFonts w:eastAsia="SimSun"/>
          <w:lang w:eastAsia="zh-CN"/>
        </w:rPr>
        <w:t xml:space="preserve">to be included in the </w:t>
      </w:r>
      <w:r w:rsidR="00EE2281">
        <w:rPr>
          <w:rFonts w:eastAsia="SimSun"/>
          <w:lang w:eastAsia="zh-CN"/>
        </w:rPr>
        <w:t xml:space="preserve">group-common PDCCH </w:t>
      </w:r>
      <w:r w:rsidR="00A35236">
        <w:rPr>
          <w:rFonts w:eastAsia="SimSun"/>
          <w:lang w:eastAsia="zh-CN"/>
        </w:rPr>
        <w:t xml:space="preserve">either separately or in combination with the SFI (see e.g. email discussion summary in </w:t>
      </w:r>
      <w:r w:rsidR="004B510E">
        <w:rPr>
          <w:rFonts w:eastAsia="SimSun"/>
          <w:lang w:eastAsia="zh-CN"/>
        </w:rPr>
        <w:fldChar w:fldCharType="begin"/>
      </w:r>
      <w:r w:rsidR="00A35236">
        <w:rPr>
          <w:rFonts w:eastAsia="SimSun"/>
          <w:lang w:eastAsia="zh-CN"/>
        </w:rPr>
        <w:instrText xml:space="preserve"> REF _Ref489862339 \n \h </w:instrText>
      </w:r>
      <w:r w:rsidR="004B510E">
        <w:rPr>
          <w:rFonts w:eastAsia="SimSun"/>
          <w:lang w:eastAsia="zh-CN"/>
        </w:rPr>
      </w:r>
      <w:r w:rsidR="004B510E">
        <w:rPr>
          <w:rFonts w:eastAsia="SimSun"/>
          <w:lang w:eastAsia="zh-CN"/>
        </w:rPr>
        <w:fldChar w:fldCharType="separate"/>
      </w:r>
      <w:r w:rsidR="00A35236">
        <w:rPr>
          <w:rFonts w:eastAsia="SimSun"/>
          <w:lang w:eastAsia="zh-CN"/>
        </w:rPr>
        <w:t>[1]</w:t>
      </w:r>
      <w:r w:rsidR="004B510E">
        <w:rPr>
          <w:rFonts w:eastAsia="SimSun"/>
          <w:lang w:eastAsia="zh-CN"/>
        </w:rPr>
        <w:fldChar w:fldCharType="end"/>
      </w:r>
      <w:r w:rsidR="00A35236">
        <w:rPr>
          <w:rFonts w:eastAsia="SimSun"/>
          <w:lang w:eastAsia="zh-CN"/>
        </w:rPr>
        <w:t>). As this was hindering progress on other details of the group common PDCCH such as the channel structure it was agreed at the RAN1 #NR_AH2 meeting to p</w:t>
      </w:r>
      <w:r w:rsidR="00A35236" w:rsidRPr="00A35236">
        <w:rPr>
          <w:rFonts w:eastAsia="SimSun"/>
          <w:lang w:eastAsia="zh-CN"/>
        </w:rPr>
        <w:t>rioritize discussion of SFI funct</w:t>
      </w:r>
      <w:r w:rsidR="00A35236">
        <w:rPr>
          <w:rFonts w:eastAsia="SimSun"/>
          <w:lang w:eastAsia="zh-CN"/>
        </w:rPr>
        <w:t>ionality in a group common PDCCH at least for this meeting. Other agreements regarding SFI at RAN1 #AH_NR2 include</w:t>
      </w:r>
    </w:p>
    <w:p w:rsidR="00A35236" w:rsidRDefault="00A35236" w:rsidP="00A3523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rsidR="00A35236" w:rsidRPr="00EA3BCA" w:rsidRDefault="00A35236" w:rsidP="00A35236">
      <w:pPr>
        <w:numPr>
          <w:ilvl w:val="0"/>
          <w:numId w:val="19"/>
        </w:numPr>
        <w:rPr>
          <w:rFonts w:eastAsia="MS Mincho"/>
          <w:lang w:eastAsia="ja-JP"/>
        </w:rPr>
      </w:pPr>
      <w:r w:rsidRPr="00EA3BCA">
        <w:rPr>
          <w:rFonts w:eastAsia="MS Mincho"/>
          <w:lang w:eastAsia="ja-JP"/>
        </w:rPr>
        <w:t>In ‘Slot format related information’, ‘Empty’ is not indicated explicitly.</w:t>
      </w:r>
    </w:p>
    <w:p w:rsidR="00A35236" w:rsidRPr="00EA3BCA" w:rsidRDefault="00A35236" w:rsidP="00A35236">
      <w:pPr>
        <w:numPr>
          <w:ilvl w:val="0"/>
          <w:numId w:val="19"/>
        </w:numPr>
        <w:rPr>
          <w:rFonts w:eastAsia="MS Mincho"/>
          <w:lang w:eastAsia="ja-JP"/>
        </w:rPr>
      </w:pPr>
      <w:r w:rsidRPr="00EA3BCA">
        <w:rPr>
          <w:rFonts w:eastAsia="MS Mincho"/>
          <w:lang w:eastAsia="ja-JP"/>
        </w:rPr>
        <w:t>Note: RAN1 specification ensures that UE(s) is/are aware of which resources can be for ‘gap for DL-UL switching’ and/or ‘gap’</w:t>
      </w:r>
    </w:p>
    <w:p w:rsidR="00A35236" w:rsidRPr="00EA3BCA" w:rsidRDefault="00A35236" w:rsidP="00A35236">
      <w:pPr>
        <w:numPr>
          <w:ilvl w:val="0"/>
          <w:numId w:val="19"/>
        </w:numPr>
        <w:rPr>
          <w:rFonts w:eastAsia="MS Mincho"/>
          <w:lang w:eastAsia="ja-JP"/>
        </w:rPr>
      </w:pPr>
      <w:r w:rsidRPr="00EA3BCA">
        <w:rPr>
          <w:rFonts w:eastAsia="MS Mincho"/>
          <w:lang w:eastAsia="ja-JP"/>
        </w:rPr>
        <w:t>Note: RAN1 specification ensures that UE(s) is/are aware of which resources are for ‘CSI/interference measurement’.</w:t>
      </w:r>
    </w:p>
    <w:p w:rsidR="00A35236" w:rsidRDefault="00A35236" w:rsidP="00423654">
      <w:pPr>
        <w:pStyle w:val="a0"/>
        <w:rPr>
          <w:rFonts w:eastAsia="SimSun"/>
          <w:lang w:eastAsia="zh-CN"/>
        </w:rPr>
      </w:pPr>
    </w:p>
    <w:p w:rsidR="005F0567" w:rsidRDefault="00A35236" w:rsidP="00423654">
      <w:pPr>
        <w:pStyle w:val="a0"/>
        <w:rPr>
          <w:rFonts w:eastAsia="SimSun"/>
          <w:lang w:eastAsia="zh-CN"/>
        </w:rPr>
      </w:pPr>
      <w:r>
        <w:rPr>
          <w:rFonts w:eastAsia="SimSun"/>
          <w:lang w:eastAsia="zh-CN"/>
        </w:rPr>
        <w:t>This contribution addr</w:t>
      </w:r>
      <w:r w:rsidR="00173557">
        <w:rPr>
          <w:rFonts w:eastAsia="SimSun"/>
          <w:lang w:eastAsia="zh-CN"/>
        </w:rPr>
        <w:t>esses the outstanding details of</w:t>
      </w:r>
      <w:r>
        <w:rPr>
          <w:rFonts w:eastAsia="SimSun"/>
          <w:lang w:eastAsia="zh-CN"/>
        </w:rPr>
        <w:t xml:space="preserve"> SFI functionality including its applicability to bandwidth parts and numerologies in a given </w:t>
      </w:r>
      <w:r w:rsidR="00173557">
        <w:rPr>
          <w:rFonts w:eastAsia="SimSun"/>
          <w:lang w:eastAsia="zh-CN"/>
        </w:rPr>
        <w:t xml:space="preserve">serving cell as well as across serving cells. Other aspects including channel structure, configuration and monitoring are discussed in related contributions </w:t>
      </w:r>
      <w:r w:rsidR="004B510E">
        <w:rPr>
          <w:rFonts w:eastAsia="SimSun"/>
          <w:lang w:eastAsia="zh-CN"/>
        </w:rPr>
        <w:fldChar w:fldCharType="begin"/>
      </w:r>
      <w:r w:rsidR="00173557">
        <w:rPr>
          <w:rFonts w:eastAsia="SimSun"/>
          <w:lang w:eastAsia="zh-CN"/>
        </w:rPr>
        <w:instrText xml:space="preserve"> REF _Ref489862743 \n \h </w:instrText>
      </w:r>
      <w:r w:rsidR="004B510E">
        <w:rPr>
          <w:rFonts w:eastAsia="SimSun"/>
          <w:lang w:eastAsia="zh-CN"/>
        </w:rPr>
      </w:r>
      <w:r w:rsidR="004B510E">
        <w:rPr>
          <w:rFonts w:eastAsia="SimSun"/>
          <w:lang w:eastAsia="zh-CN"/>
        </w:rPr>
        <w:fldChar w:fldCharType="separate"/>
      </w:r>
      <w:r w:rsidR="00173557">
        <w:rPr>
          <w:rFonts w:eastAsia="SimSun"/>
          <w:lang w:eastAsia="zh-CN"/>
        </w:rPr>
        <w:t>[2]</w:t>
      </w:r>
      <w:r w:rsidR="004B510E">
        <w:rPr>
          <w:rFonts w:eastAsia="SimSun"/>
          <w:lang w:eastAsia="zh-CN"/>
        </w:rPr>
        <w:fldChar w:fldCharType="end"/>
      </w:r>
      <w:r w:rsidR="00173557">
        <w:rPr>
          <w:rFonts w:eastAsia="SimSun"/>
          <w:lang w:eastAsia="zh-CN"/>
        </w:rPr>
        <w:t xml:space="preserve">, </w:t>
      </w:r>
      <w:r w:rsidR="004B510E">
        <w:rPr>
          <w:rFonts w:eastAsia="SimSun"/>
          <w:lang w:eastAsia="zh-CN"/>
        </w:rPr>
        <w:fldChar w:fldCharType="begin"/>
      </w:r>
      <w:r w:rsidR="00173557">
        <w:rPr>
          <w:rFonts w:eastAsia="SimSun"/>
          <w:lang w:eastAsia="zh-CN"/>
        </w:rPr>
        <w:instrText xml:space="preserve"> REF _Ref489862753 \n \h </w:instrText>
      </w:r>
      <w:r w:rsidR="004B510E">
        <w:rPr>
          <w:rFonts w:eastAsia="SimSun"/>
          <w:lang w:eastAsia="zh-CN"/>
        </w:rPr>
      </w:r>
      <w:r w:rsidR="004B510E">
        <w:rPr>
          <w:rFonts w:eastAsia="SimSun"/>
          <w:lang w:eastAsia="zh-CN"/>
        </w:rPr>
        <w:fldChar w:fldCharType="separate"/>
      </w:r>
      <w:r w:rsidR="00173557">
        <w:rPr>
          <w:rFonts w:eastAsia="SimSun"/>
          <w:lang w:eastAsia="zh-CN"/>
        </w:rPr>
        <w:t>[3]</w:t>
      </w:r>
      <w:r w:rsidR="004B510E">
        <w:rPr>
          <w:rFonts w:eastAsia="SimSun"/>
          <w:lang w:eastAsia="zh-CN"/>
        </w:rPr>
        <w:fldChar w:fldCharType="end"/>
      </w:r>
      <w:r w:rsidR="00173557">
        <w:rPr>
          <w:rFonts w:eastAsia="SimSun"/>
          <w:lang w:eastAsia="zh-CN"/>
        </w:rPr>
        <w:t xml:space="preserve">. Although not the focus of this paper, we also address how other group common control information types may be transmitted on a </w:t>
      </w:r>
      <w:r w:rsidR="000F45FE">
        <w:rPr>
          <w:rFonts w:eastAsia="SimSun"/>
          <w:lang w:eastAsia="zh-CN"/>
        </w:rPr>
        <w:t xml:space="preserve">regular </w:t>
      </w:r>
      <w:r w:rsidR="00173557">
        <w:rPr>
          <w:rFonts w:eastAsia="SimSun"/>
          <w:lang w:eastAsia="zh-CN"/>
        </w:rPr>
        <w:t>PDCCH.</w:t>
      </w:r>
    </w:p>
    <w:p w:rsidR="00EE2281" w:rsidRDefault="00EE2281" w:rsidP="00EE2281">
      <w:pPr>
        <w:pStyle w:val="1"/>
      </w:pPr>
      <w:r>
        <w:t>Details of SFI</w:t>
      </w:r>
    </w:p>
    <w:p w:rsidR="00EE2281" w:rsidRDefault="00EE2281" w:rsidP="00EE2281">
      <w:pPr>
        <w:jc w:val="both"/>
        <w:rPr>
          <w:rFonts w:eastAsia="SimSun"/>
          <w:lang w:eastAsia="zh-CN"/>
        </w:rPr>
      </w:pPr>
      <w:r>
        <w:rPr>
          <w:rFonts w:eastAsia="SimSun"/>
          <w:lang w:eastAsia="zh-CN"/>
        </w:rPr>
        <w:t xml:space="preserve">The SFI </w:t>
      </w:r>
      <w:r w:rsidR="00F47DFB">
        <w:rPr>
          <w:rFonts w:eastAsia="SimSun"/>
          <w:lang w:eastAsia="zh-CN"/>
        </w:rPr>
        <w:t>transmitted</w:t>
      </w:r>
      <w:r>
        <w:rPr>
          <w:rFonts w:eastAsia="SimSun"/>
          <w:lang w:eastAsia="zh-CN"/>
        </w:rPr>
        <w:t xml:space="preserve"> in a group-common PDCCH indicates the subset of symbols that are DL, UL or Unknown in a slot or set of slots. </w:t>
      </w:r>
      <w:r w:rsidR="0089692A">
        <w:rPr>
          <w:rFonts w:eastAsia="SimSun"/>
          <w:lang w:eastAsia="zh-CN"/>
        </w:rPr>
        <w:t>Not all combinations of DL, UL, Unknown, would be applicable in some d</w:t>
      </w:r>
      <w:r w:rsidR="00E75A7F">
        <w:rPr>
          <w:rFonts w:eastAsia="SimSun"/>
          <w:lang w:eastAsia="zh-CN"/>
        </w:rPr>
        <w:t>eployment scenarios.</w:t>
      </w:r>
      <w:r w:rsidR="0089692A">
        <w:rPr>
          <w:rFonts w:eastAsia="SimSun"/>
          <w:lang w:eastAsia="zh-CN"/>
        </w:rPr>
        <w:t xml:space="preserve"> </w:t>
      </w:r>
      <w:r w:rsidR="00E75A7F">
        <w:rPr>
          <w:rFonts w:eastAsia="SimSun"/>
          <w:lang w:eastAsia="zh-CN"/>
        </w:rPr>
        <w:t xml:space="preserve">For </w:t>
      </w:r>
      <w:r>
        <w:rPr>
          <w:rFonts w:eastAsia="SimSun"/>
          <w:lang w:eastAsia="zh-CN"/>
        </w:rPr>
        <w:t>dynamic TDD</w:t>
      </w:r>
      <w:r>
        <w:rPr>
          <w:rFonts w:eastAsia="SimSun" w:hint="eastAsia"/>
          <w:lang w:eastAsia="zh-CN"/>
        </w:rPr>
        <w:t>, flexible DL/GP/UL partition</w:t>
      </w:r>
      <w:r>
        <w:rPr>
          <w:rFonts w:eastAsia="SimSun"/>
          <w:lang w:eastAsia="zh-CN"/>
        </w:rPr>
        <w:t>ing</w:t>
      </w:r>
      <w:r>
        <w:rPr>
          <w:rFonts w:eastAsia="SimSun" w:hint="eastAsia"/>
          <w:lang w:eastAsia="zh-CN"/>
        </w:rPr>
        <w:t xml:space="preserve"> </w:t>
      </w:r>
      <w:r>
        <w:rPr>
          <w:rFonts w:eastAsia="SimSun"/>
          <w:lang w:eastAsia="zh-CN"/>
        </w:rPr>
        <w:t xml:space="preserve">in a slot </w:t>
      </w:r>
      <w:r>
        <w:rPr>
          <w:rFonts w:eastAsia="SimSun" w:hint="eastAsia"/>
          <w:lang w:eastAsia="zh-CN"/>
        </w:rPr>
        <w:t xml:space="preserve">should be specified to allow dynamic adaptation to multiple factors, such as DL/UL traffic </w:t>
      </w:r>
      <w:r>
        <w:rPr>
          <w:rFonts w:eastAsia="SimSun"/>
          <w:lang w:eastAsia="zh-CN"/>
        </w:rPr>
        <w:t xml:space="preserve">variation </w:t>
      </w:r>
      <w:r w:rsidR="0089692A">
        <w:rPr>
          <w:rFonts w:eastAsia="SimSun"/>
          <w:lang w:eastAsia="zh-CN"/>
        </w:rPr>
        <w:t xml:space="preserve">(including the associated </w:t>
      </w:r>
      <w:r>
        <w:rPr>
          <w:rFonts w:eastAsia="SimSun" w:hint="eastAsia"/>
          <w:lang w:eastAsia="zh-CN"/>
        </w:rPr>
        <w:t>latency requirements</w:t>
      </w:r>
      <w:r w:rsidR="0089692A">
        <w:rPr>
          <w:rFonts w:eastAsia="SimSun"/>
          <w:lang w:eastAsia="zh-CN"/>
        </w:rPr>
        <w:t>)</w:t>
      </w:r>
      <w:r>
        <w:rPr>
          <w:rFonts w:eastAsia="SimSun" w:hint="eastAsia"/>
          <w:lang w:eastAsia="zh-CN"/>
        </w:rPr>
        <w:t xml:space="preserve">, UL coverage, strength of cross-link </w:t>
      </w:r>
      <w:r>
        <w:rPr>
          <w:rFonts w:eastAsia="SimSun"/>
          <w:lang w:eastAsia="zh-CN"/>
        </w:rPr>
        <w:t>interference</w:t>
      </w:r>
      <w:r>
        <w:rPr>
          <w:rFonts w:eastAsia="SimSun" w:hint="eastAsia"/>
          <w:lang w:eastAsia="zh-CN"/>
        </w:rPr>
        <w:t>, etc.</w:t>
      </w:r>
      <w:r w:rsidRPr="009902AE">
        <w:rPr>
          <w:rFonts w:eastAsia="SimSun" w:hint="eastAsia"/>
          <w:lang w:eastAsia="zh-CN"/>
        </w:rPr>
        <w:t xml:space="preserve"> </w:t>
      </w:r>
      <w:r>
        <w:rPr>
          <w:rFonts w:eastAsia="SimSun" w:hint="eastAsia"/>
          <w:lang w:eastAsia="zh-CN"/>
        </w:rPr>
        <w:t xml:space="preserve">In </w:t>
      </w:r>
      <w:r>
        <w:rPr>
          <w:rFonts w:eastAsia="SimSun"/>
          <w:lang w:eastAsia="zh-CN"/>
        </w:rPr>
        <w:t>addition</w:t>
      </w:r>
      <w:r>
        <w:rPr>
          <w:rFonts w:eastAsia="SimSun" w:hint="eastAsia"/>
          <w:lang w:eastAsia="zh-CN"/>
        </w:rPr>
        <w:t xml:space="preserve">, </w:t>
      </w:r>
      <w:r w:rsidR="00E75A7F">
        <w:rPr>
          <w:rFonts w:eastAsia="SimSun"/>
          <w:lang w:eastAsia="zh-CN"/>
        </w:rPr>
        <w:t xml:space="preserve">it was agreed at the RAN1 </w:t>
      </w:r>
      <w:r w:rsidR="0089692A">
        <w:rPr>
          <w:rFonts w:eastAsia="SimSun"/>
          <w:lang w:eastAsia="zh-CN"/>
        </w:rPr>
        <w:t>#NR_</w:t>
      </w:r>
      <w:r>
        <w:rPr>
          <w:rFonts w:eastAsia="SimSun"/>
          <w:lang w:eastAsia="zh-CN"/>
        </w:rPr>
        <w:t>AH</w:t>
      </w:r>
      <w:r w:rsidR="0089692A">
        <w:rPr>
          <w:rFonts w:eastAsia="SimSun"/>
          <w:lang w:eastAsia="zh-CN"/>
        </w:rPr>
        <w:t>1</w:t>
      </w:r>
      <w:r>
        <w:rPr>
          <w:rFonts w:eastAsia="SimSun"/>
          <w:lang w:eastAsia="zh-CN"/>
        </w:rPr>
        <w:t xml:space="preserve"> meeting that </w:t>
      </w:r>
      <w:r>
        <w:rPr>
          <w:rFonts w:eastAsia="SimSun" w:hint="eastAsia"/>
          <w:lang w:eastAsia="zh-CN"/>
        </w:rPr>
        <w:t xml:space="preserve">NR </w:t>
      </w:r>
      <w:r>
        <w:rPr>
          <w:rFonts w:eastAsia="SimSun"/>
          <w:lang w:eastAsia="zh-CN"/>
        </w:rPr>
        <w:t>should</w:t>
      </w:r>
      <w:r>
        <w:rPr>
          <w:rFonts w:eastAsia="SimSun" w:hint="eastAsia"/>
          <w:lang w:eastAsia="zh-CN"/>
        </w:rPr>
        <w:t xml:space="preserve"> support efficient adjacent channel co-existence with all LTE-TDD special </w:t>
      </w:r>
      <w:proofErr w:type="spellStart"/>
      <w:r>
        <w:rPr>
          <w:rFonts w:eastAsia="SimSun" w:hint="eastAsia"/>
          <w:lang w:eastAsia="zh-CN"/>
        </w:rPr>
        <w:t>subframe</w:t>
      </w:r>
      <w:proofErr w:type="spellEnd"/>
      <w:r>
        <w:rPr>
          <w:rFonts w:eastAsia="SimSun" w:hint="eastAsia"/>
          <w:lang w:eastAsia="zh-CN"/>
        </w:rPr>
        <w:t xml:space="preserve"> configurations</w:t>
      </w:r>
      <w:r w:rsidR="0089692A">
        <w:rPr>
          <w:rFonts w:eastAsia="SimSun"/>
          <w:lang w:eastAsia="zh-CN"/>
        </w:rPr>
        <w:t xml:space="preserve">. As this may require </w:t>
      </w:r>
      <w:r>
        <w:rPr>
          <w:rFonts w:eastAsia="SimSun"/>
          <w:lang w:eastAsia="zh-CN"/>
        </w:rPr>
        <w:t xml:space="preserve">dynamic reconfiguration of </w:t>
      </w:r>
      <w:r>
        <w:rPr>
          <w:rFonts w:eastAsia="SimSun" w:hint="eastAsia"/>
          <w:lang w:eastAsia="zh-CN"/>
        </w:rPr>
        <w:t>DL/GP/UL partitioning for bidirection</w:t>
      </w:r>
      <w:r>
        <w:rPr>
          <w:rFonts w:eastAsia="SimSun"/>
          <w:lang w:eastAsia="zh-CN"/>
        </w:rPr>
        <w:t>al</w:t>
      </w:r>
      <w:r>
        <w:rPr>
          <w:rFonts w:eastAsia="SimSun" w:hint="eastAsia"/>
          <w:lang w:eastAsia="zh-CN"/>
        </w:rPr>
        <w:t xml:space="preserve"> slots</w:t>
      </w:r>
      <w:r w:rsidR="0089692A">
        <w:rPr>
          <w:rFonts w:eastAsia="SimSun"/>
          <w:lang w:eastAsia="zh-CN"/>
        </w:rPr>
        <w:t xml:space="preserve">, all </w:t>
      </w:r>
      <w:r w:rsidR="00E75A7F">
        <w:rPr>
          <w:rFonts w:eastAsia="SimSun"/>
          <w:lang w:eastAsia="zh-CN"/>
        </w:rPr>
        <w:t>three symbol designations (DL, UL and Unknown) are needed for dynamic TDD.</w:t>
      </w:r>
      <w:r>
        <w:rPr>
          <w:rFonts w:eastAsia="SimSun"/>
          <w:lang w:eastAsia="zh-CN"/>
        </w:rPr>
        <w:t xml:space="preserve"> </w:t>
      </w:r>
    </w:p>
    <w:p w:rsidR="0039177B" w:rsidRDefault="0039177B" w:rsidP="00EE2281">
      <w:pPr>
        <w:jc w:val="both"/>
        <w:rPr>
          <w:rFonts w:eastAsia="SimSun"/>
          <w:lang w:eastAsia="zh-CN"/>
        </w:rPr>
      </w:pPr>
    </w:p>
    <w:p w:rsidR="00E75A7F" w:rsidRDefault="00E75A7F" w:rsidP="00EE2281">
      <w:pPr>
        <w:jc w:val="both"/>
        <w:rPr>
          <w:rFonts w:eastAsia="SimSun"/>
          <w:lang w:eastAsia="zh-CN"/>
        </w:rPr>
      </w:pPr>
      <w:r>
        <w:rPr>
          <w:rFonts w:eastAsia="SimSun"/>
          <w:lang w:eastAsia="zh-CN"/>
        </w:rPr>
        <w:t xml:space="preserve">For normal FDD </w:t>
      </w:r>
      <w:r w:rsidR="00497D68">
        <w:rPr>
          <w:rFonts w:eastAsia="SimSun"/>
          <w:lang w:eastAsia="zh-CN"/>
        </w:rPr>
        <w:t>deployment</w:t>
      </w:r>
      <w:r>
        <w:rPr>
          <w:rFonts w:eastAsia="SimSun"/>
          <w:lang w:eastAsia="zh-CN"/>
        </w:rPr>
        <w:t xml:space="preserve"> (DL, Unknown) and (UL, Unknown) designations may be indicated for the DL and UL carriers respectively. One use case </w:t>
      </w:r>
      <w:r w:rsidR="000E773D">
        <w:rPr>
          <w:rFonts w:eastAsia="SimSun"/>
          <w:lang w:eastAsia="zh-CN"/>
        </w:rPr>
        <w:t xml:space="preserve">would be to indicate Unknown symbols, e.g. for </w:t>
      </w:r>
      <w:r>
        <w:rPr>
          <w:rFonts w:eastAsia="SimSun"/>
          <w:lang w:eastAsia="zh-CN"/>
        </w:rPr>
        <w:t>LTE-NR coexistence</w:t>
      </w:r>
      <w:r w:rsidR="000E773D">
        <w:rPr>
          <w:rFonts w:eastAsia="SimSun"/>
          <w:lang w:eastAsia="zh-CN"/>
        </w:rPr>
        <w:t xml:space="preserve">, so that the </w:t>
      </w:r>
      <w:r>
        <w:rPr>
          <w:rFonts w:eastAsia="SimSun"/>
          <w:lang w:eastAsia="zh-CN"/>
        </w:rPr>
        <w:t>UE makes no assumption</w:t>
      </w:r>
      <w:r w:rsidR="000E773D">
        <w:rPr>
          <w:rFonts w:eastAsia="SimSun"/>
          <w:lang w:eastAsia="zh-CN"/>
        </w:rPr>
        <w:t>,</w:t>
      </w:r>
      <w:r>
        <w:rPr>
          <w:rFonts w:eastAsia="SimSun"/>
          <w:lang w:eastAsia="zh-CN"/>
        </w:rPr>
        <w:t xml:space="preserve"> or performs any action on</w:t>
      </w:r>
      <w:r w:rsidR="000E773D">
        <w:rPr>
          <w:rFonts w:eastAsia="SimSun"/>
          <w:lang w:eastAsia="zh-CN"/>
        </w:rPr>
        <w:t>, such symbols</w:t>
      </w:r>
      <w:r>
        <w:rPr>
          <w:rFonts w:eastAsia="SimSun"/>
          <w:lang w:eastAsia="zh-CN"/>
        </w:rPr>
        <w:t>.</w:t>
      </w:r>
      <w:r w:rsidR="000E773D">
        <w:rPr>
          <w:rFonts w:eastAsia="SimSun"/>
          <w:lang w:eastAsia="zh-CN"/>
        </w:rPr>
        <w:t xml:space="preserve"> </w:t>
      </w:r>
      <w:r>
        <w:rPr>
          <w:rFonts w:eastAsia="SimSun"/>
          <w:lang w:eastAsia="zh-CN"/>
        </w:rPr>
        <w:t>For this case the simplest solution with respect to signaling is where the Unknown symbols are the same for both DL and UL. Signaling overhead increases when different subsets of symbols on the UL and DL carriers can be designated as Unknown.</w:t>
      </w:r>
    </w:p>
    <w:p w:rsidR="00F47DFB" w:rsidRDefault="00F47DFB" w:rsidP="00EE2281">
      <w:pPr>
        <w:pStyle w:val="a0"/>
        <w:rPr>
          <w:rFonts w:eastAsia="SimSun"/>
          <w:lang w:eastAsia="zh-CN"/>
        </w:rPr>
      </w:pPr>
    </w:p>
    <w:p w:rsidR="00EE2281" w:rsidRDefault="008844A5" w:rsidP="00EE2281">
      <w:pPr>
        <w:pStyle w:val="a0"/>
        <w:rPr>
          <w:rFonts w:eastAsia="SimSun"/>
          <w:lang w:eastAsia="zh-CN"/>
        </w:rPr>
      </w:pPr>
      <w:r>
        <w:rPr>
          <w:rFonts w:eastAsia="SimSun"/>
          <w:lang w:eastAsia="zh-CN"/>
        </w:rPr>
        <w:t xml:space="preserve">The </w:t>
      </w:r>
      <w:r w:rsidR="00EE2281">
        <w:rPr>
          <w:rFonts w:eastAsia="SimSun"/>
          <w:lang w:eastAsia="zh-CN"/>
        </w:rPr>
        <w:t>SFI may indicate all valid combinations of DL</w:t>
      </w:r>
      <w:r w:rsidR="00162387">
        <w:rPr>
          <w:rFonts w:eastAsia="SimSun"/>
          <w:lang w:eastAsia="zh-CN"/>
        </w:rPr>
        <w:t xml:space="preserve">, </w:t>
      </w:r>
      <w:r w:rsidR="00EE2281">
        <w:rPr>
          <w:rFonts w:eastAsia="SimSun"/>
          <w:lang w:eastAsia="zh-CN"/>
        </w:rPr>
        <w:t>UL</w:t>
      </w:r>
      <w:r w:rsidR="00162387">
        <w:rPr>
          <w:rFonts w:eastAsia="SimSun"/>
          <w:lang w:eastAsia="zh-CN"/>
        </w:rPr>
        <w:t xml:space="preserve"> and Unknown</w:t>
      </w:r>
      <w:r w:rsidR="00EE2281">
        <w:rPr>
          <w:rFonts w:eastAsia="SimSun"/>
          <w:lang w:eastAsia="zh-CN"/>
        </w:rPr>
        <w:t xml:space="preserve"> symbols. </w:t>
      </w:r>
      <w:r w:rsidR="00162387">
        <w:rPr>
          <w:rFonts w:eastAsia="SimSun"/>
          <w:lang w:eastAsia="zh-CN"/>
        </w:rPr>
        <w:t xml:space="preserve">Allowing all possible combinations would lead to high signaling overhead depending on the </w:t>
      </w:r>
      <w:r w:rsidR="0039177B">
        <w:rPr>
          <w:rFonts w:eastAsia="SimSun"/>
          <w:lang w:eastAsia="zh-CN"/>
        </w:rPr>
        <w:t>frame/</w:t>
      </w:r>
      <w:r w:rsidR="00162387">
        <w:rPr>
          <w:rFonts w:eastAsia="SimSun"/>
          <w:lang w:eastAsia="zh-CN"/>
        </w:rPr>
        <w:t>slot s</w:t>
      </w:r>
      <w:r w:rsidR="0039177B">
        <w:rPr>
          <w:rFonts w:eastAsia="SimSun"/>
          <w:lang w:eastAsia="zh-CN"/>
        </w:rPr>
        <w:t>tructure</w:t>
      </w:r>
      <w:r w:rsidR="00162387">
        <w:rPr>
          <w:rFonts w:eastAsia="SimSun"/>
          <w:lang w:eastAsia="zh-CN"/>
        </w:rPr>
        <w:t xml:space="preserve"> and the number of slots indicated by a given group-common PDCCH. </w:t>
      </w:r>
      <w:r w:rsidR="00F47DFB">
        <w:rPr>
          <w:rFonts w:eastAsia="SimSun"/>
          <w:lang w:eastAsia="zh-CN"/>
        </w:rPr>
        <w:t xml:space="preserve">Furthermore, a gap for DL-UL switching is required for TDD. </w:t>
      </w:r>
      <w:r w:rsidR="00EE2281">
        <w:rPr>
          <w:rFonts w:eastAsia="SimSun"/>
          <w:lang w:eastAsia="zh-CN"/>
        </w:rPr>
        <w:t>A</w:t>
      </w:r>
      <w:r w:rsidR="00162387">
        <w:rPr>
          <w:rFonts w:eastAsia="SimSun"/>
          <w:lang w:eastAsia="zh-CN"/>
        </w:rPr>
        <w:t>s an illustration</w:t>
      </w:r>
      <w:r w:rsidR="00497D68">
        <w:rPr>
          <w:rFonts w:eastAsia="SimSun"/>
          <w:lang w:eastAsia="zh-CN"/>
        </w:rPr>
        <w:t>,</w:t>
      </w:r>
      <w:r w:rsidR="00162387">
        <w:rPr>
          <w:rFonts w:eastAsia="SimSun"/>
          <w:lang w:eastAsia="zh-CN"/>
        </w:rPr>
        <w:t xml:space="preserve"> Figure 1 </w:t>
      </w:r>
      <w:r w:rsidR="00497D68">
        <w:rPr>
          <w:rFonts w:eastAsia="SimSun"/>
          <w:lang w:eastAsia="zh-CN"/>
        </w:rPr>
        <w:t>depicts</w:t>
      </w:r>
      <w:r w:rsidR="00162387">
        <w:rPr>
          <w:rFonts w:eastAsia="SimSun"/>
          <w:lang w:eastAsia="zh-CN"/>
        </w:rPr>
        <w:t xml:space="preserve"> a 14-</w:t>
      </w:r>
      <w:r w:rsidR="00EE2281">
        <w:rPr>
          <w:rFonts w:eastAsia="SimSun"/>
          <w:lang w:eastAsia="zh-CN"/>
        </w:rPr>
        <w:t xml:space="preserve">symbol slot </w:t>
      </w:r>
      <w:r w:rsidR="00162387">
        <w:rPr>
          <w:rFonts w:eastAsia="SimSun"/>
          <w:lang w:eastAsia="zh-CN"/>
        </w:rPr>
        <w:t>indicating only DL and UL symbols</w:t>
      </w:r>
      <w:r w:rsidR="00CB6DE5">
        <w:rPr>
          <w:rFonts w:eastAsia="SimSun"/>
          <w:lang w:eastAsia="zh-CN"/>
        </w:rPr>
        <w:t>, with one symbol as a guard period (GP) demarcating the DL and UL regions</w:t>
      </w:r>
      <w:r w:rsidR="00EE2281">
        <w:rPr>
          <w:rFonts w:eastAsia="SimSun"/>
          <w:lang w:eastAsia="zh-CN"/>
        </w:rPr>
        <w:t xml:space="preserve">. </w:t>
      </w:r>
      <w:r w:rsidR="007236A6">
        <w:rPr>
          <w:rFonts w:eastAsia="SimSun"/>
          <w:lang w:eastAsia="zh-CN"/>
        </w:rPr>
        <w:t>Allowing for both unidirectional and bidirectional combinations with a GP symbol, up to 14 combina</w:t>
      </w:r>
      <w:r w:rsidR="00497D68">
        <w:rPr>
          <w:rFonts w:eastAsia="SimSun"/>
          <w:lang w:eastAsia="zh-CN"/>
        </w:rPr>
        <w:t xml:space="preserve">tions could be specified, </w:t>
      </w:r>
      <w:r w:rsidR="007236A6">
        <w:rPr>
          <w:rFonts w:eastAsia="SimSun"/>
          <w:lang w:eastAsia="zh-CN"/>
        </w:rPr>
        <w:t>requir</w:t>
      </w:r>
      <w:r w:rsidR="00497D68">
        <w:rPr>
          <w:rFonts w:eastAsia="SimSun"/>
          <w:lang w:eastAsia="zh-CN"/>
        </w:rPr>
        <w:t>ing</w:t>
      </w:r>
      <w:r w:rsidR="007236A6">
        <w:rPr>
          <w:rFonts w:eastAsia="SimSun"/>
          <w:lang w:eastAsia="zh-CN"/>
        </w:rPr>
        <w:t xml:space="preserve"> 4 bits. In contrast a 7-symbol slot would require 3 bits for all combinations of DL and UL symbols.</w:t>
      </w:r>
    </w:p>
    <w:p w:rsidR="00EE2281" w:rsidRDefault="009C5806" w:rsidP="00EE2281">
      <w:pPr>
        <w:pStyle w:val="a0"/>
        <w:keepNext/>
        <w:jc w:val="center"/>
      </w:pPr>
      <w:r w:rsidRPr="009C5806">
        <w:rPr>
          <w:noProof/>
          <w:lang w:eastAsia="zh-CN"/>
        </w:rPr>
        <w:lastRenderedPageBreak/>
        <w:drawing>
          <wp:inline distT="0" distB="0" distL="0" distR="0">
            <wp:extent cx="3006647" cy="1520739"/>
            <wp:effectExtent l="19050" t="0" r="3253"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009360" cy="1522111"/>
                    </a:xfrm>
                    <a:prstGeom prst="rect">
                      <a:avLst/>
                    </a:prstGeom>
                    <a:noFill/>
                    <a:ln w="9525">
                      <a:noFill/>
                      <a:miter lim="800000"/>
                      <a:headEnd/>
                      <a:tailEnd/>
                    </a:ln>
                  </pic:spPr>
                </pic:pic>
              </a:graphicData>
            </a:graphic>
          </wp:inline>
        </w:drawing>
      </w:r>
    </w:p>
    <w:p w:rsidR="00EE2281" w:rsidRDefault="00EE2281" w:rsidP="00EE2281">
      <w:pPr>
        <w:pStyle w:val="a7"/>
        <w:jc w:val="center"/>
        <w:rPr>
          <w:rFonts w:eastAsia="SimSun"/>
          <w:lang w:eastAsia="zh-CN"/>
        </w:rPr>
      </w:pPr>
      <w:bookmarkStart w:id="3" w:name="_Ref489867594"/>
      <w:r>
        <w:t xml:space="preserve">Figure </w:t>
      </w:r>
      <w:fldSimple w:instr=" SEQ Figure \* ARABIC ">
        <w:r>
          <w:rPr>
            <w:noProof/>
          </w:rPr>
          <w:t>1</w:t>
        </w:r>
      </w:fldSimple>
      <w:bookmarkEnd w:id="3"/>
      <w:r>
        <w:t>: Possible combinations of DL and UL symbols in a 14-symbol slot</w:t>
      </w:r>
    </w:p>
    <w:p w:rsidR="00EC3DBF" w:rsidRDefault="00EC3DBF" w:rsidP="00EE2281">
      <w:pPr>
        <w:pStyle w:val="a0"/>
        <w:rPr>
          <w:rFonts w:eastAsia="SimSun"/>
          <w:lang w:eastAsia="zh-CN"/>
        </w:rPr>
      </w:pPr>
      <w:r>
        <w:rPr>
          <w:rFonts w:eastAsia="SimSun"/>
          <w:lang w:eastAsia="zh-CN"/>
        </w:rPr>
        <w:t xml:space="preserve">Further increase in signaling overhead is needed for indicating Unknown symbols in a slot and also for indicating SFI for future slots. </w:t>
      </w:r>
    </w:p>
    <w:p w:rsidR="009E40A1" w:rsidRDefault="00EC3DBF" w:rsidP="009E40A1">
      <w:pPr>
        <w:pStyle w:val="a0"/>
        <w:rPr>
          <w:rFonts w:eastAsia="SimSun"/>
          <w:lang w:eastAsia="zh-CN"/>
        </w:rPr>
      </w:pPr>
      <w:r>
        <w:rPr>
          <w:rFonts w:eastAsia="SimSun"/>
          <w:lang w:eastAsia="zh-CN"/>
        </w:rPr>
        <w:t xml:space="preserve">To reduce signaling overhead some simple design rules may be defined to reduce the allowed combinations of DL, UL and Unknown symbols. </w:t>
      </w:r>
      <w:r w:rsidR="009E40A1">
        <w:rPr>
          <w:rFonts w:eastAsia="SimSun"/>
          <w:lang w:eastAsia="zh-CN"/>
        </w:rPr>
        <w:t xml:space="preserve"> One such set of rules can be as follows:</w:t>
      </w:r>
    </w:p>
    <w:p w:rsidR="009E40A1" w:rsidRDefault="009E40A1" w:rsidP="009E40A1">
      <w:pPr>
        <w:pStyle w:val="a0"/>
        <w:numPr>
          <w:ilvl w:val="0"/>
          <w:numId w:val="18"/>
        </w:numPr>
        <w:rPr>
          <w:rFonts w:eastAsia="SimSun"/>
          <w:lang w:eastAsia="zh-CN"/>
        </w:rPr>
      </w:pPr>
      <w:r>
        <w:rPr>
          <w:rFonts w:eastAsia="SimSun"/>
          <w:lang w:eastAsia="zh-CN"/>
        </w:rPr>
        <w:t>For a slot containing DL and UL regions</w:t>
      </w:r>
    </w:p>
    <w:p w:rsidR="009E40A1" w:rsidRDefault="009E40A1" w:rsidP="009E40A1">
      <w:pPr>
        <w:pStyle w:val="a0"/>
        <w:numPr>
          <w:ilvl w:val="1"/>
          <w:numId w:val="18"/>
        </w:numPr>
        <w:rPr>
          <w:rFonts w:eastAsia="SimSun"/>
          <w:lang w:eastAsia="zh-CN"/>
        </w:rPr>
      </w:pPr>
      <w:r>
        <w:rPr>
          <w:rFonts w:eastAsia="SimSun"/>
          <w:lang w:eastAsia="zh-CN"/>
        </w:rPr>
        <w:t>The DL region comes before UL region</w:t>
      </w:r>
    </w:p>
    <w:p w:rsidR="009E40A1" w:rsidRDefault="009E40A1" w:rsidP="009E40A1">
      <w:pPr>
        <w:pStyle w:val="a0"/>
        <w:numPr>
          <w:ilvl w:val="1"/>
          <w:numId w:val="18"/>
        </w:numPr>
        <w:rPr>
          <w:rFonts w:eastAsia="SimSun"/>
          <w:lang w:eastAsia="zh-CN"/>
        </w:rPr>
      </w:pPr>
      <w:r>
        <w:rPr>
          <w:rFonts w:eastAsia="SimSun"/>
          <w:lang w:eastAsia="zh-CN"/>
        </w:rPr>
        <w:t xml:space="preserve">Unknown region is mapped after the DL region and before the UL region </w:t>
      </w:r>
    </w:p>
    <w:p w:rsidR="009E40A1" w:rsidRDefault="009E40A1" w:rsidP="009E40A1">
      <w:pPr>
        <w:pStyle w:val="a0"/>
        <w:numPr>
          <w:ilvl w:val="0"/>
          <w:numId w:val="18"/>
        </w:numPr>
        <w:rPr>
          <w:rFonts w:eastAsia="SimSun"/>
          <w:lang w:eastAsia="zh-CN"/>
        </w:rPr>
      </w:pPr>
      <w:r>
        <w:rPr>
          <w:rFonts w:eastAsia="SimSun"/>
          <w:lang w:eastAsia="zh-CN"/>
        </w:rPr>
        <w:t>For a slot containing UL and Unknown regions</w:t>
      </w:r>
    </w:p>
    <w:p w:rsidR="009E40A1" w:rsidRDefault="009E40A1" w:rsidP="009E40A1">
      <w:pPr>
        <w:pStyle w:val="a0"/>
        <w:numPr>
          <w:ilvl w:val="1"/>
          <w:numId w:val="18"/>
        </w:numPr>
        <w:rPr>
          <w:rFonts w:eastAsia="SimSun"/>
          <w:lang w:eastAsia="zh-CN"/>
        </w:rPr>
      </w:pPr>
      <w:r>
        <w:rPr>
          <w:rFonts w:eastAsia="SimSun"/>
          <w:lang w:eastAsia="zh-CN"/>
        </w:rPr>
        <w:t>The Unknown region can appear either before or after the UL region</w:t>
      </w:r>
    </w:p>
    <w:p w:rsidR="009E40A1" w:rsidRDefault="009E40A1" w:rsidP="009E40A1">
      <w:pPr>
        <w:pStyle w:val="a0"/>
        <w:numPr>
          <w:ilvl w:val="0"/>
          <w:numId w:val="18"/>
        </w:numPr>
        <w:rPr>
          <w:rFonts w:eastAsia="SimSun"/>
          <w:lang w:eastAsia="zh-CN"/>
        </w:rPr>
      </w:pPr>
      <w:r>
        <w:rPr>
          <w:rFonts w:eastAsia="SimSun"/>
          <w:lang w:eastAsia="zh-CN"/>
        </w:rPr>
        <w:t>For a slot containing DL and Unknown regions</w:t>
      </w:r>
    </w:p>
    <w:p w:rsidR="009E40A1" w:rsidRDefault="009E40A1" w:rsidP="009E40A1">
      <w:pPr>
        <w:pStyle w:val="a0"/>
        <w:numPr>
          <w:ilvl w:val="1"/>
          <w:numId w:val="18"/>
        </w:numPr>
        <w:rPr>
          <w:rFonts w:eastAsia="SimSun"/>
          <w:lang w:eastAsia="zh-CN"/>
        </w:rPr>
      </w:pPr>
      <w:r>
        <w:rPr>
          <w:rFonts w:eastAsia="SimSun"/>
          <w:lang w:eastAsia="zh-CN"/>
        </w:rPr>
        <w:t>The Unknown region appears after the DL region</w:t>
      </w:r>
    </w:p>
    <w:p w:rsidR="009E40A1" w:rsidRDefault="009E40A1" w:rsidP="009E40A1">
      <w:pPr>
        <w:pStyle w:val="a0"/>
        <w:numPr>
          <w:ilvl w:val="0"/>
          <w:numId w:val="18"/>
        </w:numPr>
        <w:rPr>
          <w:rFonts w:eastAsia="SimSun"/>
          <w:lang w:eastAsia="zh-CN"/>
        </w:rPr>
      </w:pPr>
      <w:r>
        <w:rPr>
          <w:rFonts w:eastAsia="SimSun"/>
          <w:lang w:eastAsia="zh-CN"/>
        </w:rPr>
        <w:t>For indicating SFI for multiple slots a window can be defined for which the group-common PDCCH is valid</w:t>
      </w:r>
    </w:p>
    <w:p w:rsidR="009E40A1" w:rsidRDefault="009E40A1" w:rsidP="009E40A1">
      <w:pPr>
        <w:pStyle w:val="a0"/>
        <w:numPr>
          <w:ilvl w:val="1"/>
          <w:numId w:val="18"/>
        </w:numPr>
        <w:rPr>
          <w:rFonts w:eastAsia="SimSun"/>
          <w:lang w:eastAsia="zh-CN"/>
        </w:rPr>
      </w:pPr>
      <w:r>
        <w:rPr>
          <w:rFonts w:eastAsia="SimSun"/>
          <w:lang w:eastAsia="zh-CN"/>
        </w:rPr>
        <w:t>A UE is configured by RRC signaling with the number of slots, N, indicated in a group-common PDCCH</w:t>
      </w:r>
    </w:p>
    <w:p w:rsidR="009E40A1" w:rsidRDefault="009E40A1" w:rsidP="009E40A1">
      <w:pPr>
        <w:pStyle w:val="a0"/>
        <w:numPr>
          <w:ilvl w:val="1"/>
          <w:numId w:val="18"/>
        </w:numPr>
        <w:rPr>
          <w:rFonts w:eastAsia="SimSun"/>
          <w:lang w:eastAsia="zh-CN"/>
        </w:rPr>
      </w:pPr>
      <w:r>
        <w:rPr>
          <w:rFonts w:eastAsia="SimSun"/>
          <w:lang w:eastAsia="zh-CN"/>
        </w:rPr>
        <w:t>A single SFI field indicates the slot format for N slots. In this case the validity period, N, for the SFI detected in a group-common PDCCH should be semi-statically configured by RRC signaling.</w:t>
      </w:r>
    </w:p>
    <w:p w:rsidR="009E40A1" w:rsidRPr="009E40A1" w:rsidRDefault="009E40A1" w:rsidP="009E40A1">
      <w:pPr>
        <w:pStyle w:val="a0"/>
        <w:numPr>
          <w:ilvl w:val="1"/>
          <w:numId w:val="18"/>
        </w:numPr>
        <w:rPr>
          <w:rFonts w:eastAsia="SimSun"/>
          <w:lang w:eastAsia="zh-CN"/>
        </w:rPr>
      </w:pPr>
      <w:r>
        <w:rPr>
          <w:rFonts w:eastAsia="SimSun"/>
          <w:lang w:eastAsia="zh-CN"/>
        </w:rPr>
        <w:t>Alternatively, the group-common PDCCH contains N SFI fields where each field indicates the SFI for a slot</w:t>
      </w:r>
    </w:p>
    <w:p w:rsidR="006F53D3" w:rsidRDefault="009E40A1" w:rsidP="009E40A1">
      <w:pPr>
        <w:pStyle w:val="a0"/>
        <w:rPr>
          <w:rFonts w:eastAsia="SimSun"/>
          <w:lang w:eastAsia="zh-CN"/>
        </w:rPr>
      </w:pPr>
      <w:r>
        <w:rPr>
          <w:rFonts w:eastAsia="SimSun"/>
          <w:lang w:eastAsia="zh-CN"/>
        </w:rPr>
        <w:t xml:space="preserve">These design guidelines can be used to </w:t>
      </w:r>
      <w:r w:rsidR="0039177B">
        <w:rPr>
          <w:rFonts w:eastAsia="SimSun"/>
          <w:lang w:eastAsia="zh-CN"/>
        </w:rPr>
        <w:t>define</w:t>
      </w:r>
      <w:r>
        <w:rPr>
          <w:rFonts w:eastAsia="SimSun"/>
          <w:lang w:eastAsia="zh-CN"/>
        </w:rPr>
        <w:t xml:space="preserve"> a table of possible slot format combinations which </w:t>
      </w:r>
      <w:r w:rsidR="003A42DC">
        <w:rPr>
          <w:rFonts w:eastAsia="SimSun"/>
          <w:lang w:eastAsia="zh-CN"/>
        </w:rPr>
        <w:t xml:space="preserve">is </w:t>
      </w:r>
      <w:r>
        <w:rPr>
          <w:rFonts w:eastAsia="SimSun"/>
          <w:lang w:eastAsia="zh-CN"/>
        </w:rPr>
        <w:t xml:space="preserve">semi-statically configured by RRC signaling. </w:t>
      </w:r>
      <w:r w:rsidR="003A42DC">
        <w:rPr>
          <w:rFonts w:eastAsia="SimSun"/>
          <w:lang w:eastAsia="zh-CN"/>
        </w:rPr>
        <w:t xml:space="preserve">The SFI </w:t>
      </w:r>
      <w:r>
        <w:rPr>
          <w:rFonts w:eastAsia="SimSun"/>
          <w:lang w:eastAsia="zh-CN"/>
        </w:rPr>
        <w:t xml:space="preserve">contained in the group-common PDCCH is an index to a row in the table. </w:t>
      </w:r>
      <w:r w:rsidR="003A42DC">
        <w:rPr>
          <w:rFonts w:eastAsia="SimSun"/>
          <w:lang w:eastAsia="zh-CN"/>
        </w:rPr>
        <w:t xml:space="preserve">An advantage of this </w:t>
      </w:r>
      <w:r w:rsidR="006F53D3">
        <w:rPr>
          <w:rFonts w:eastAsia="SimSun"/>
          <w:lang w:eastAsia="zh-CN"/>
        </w:rPr>
        <w:t xml:space="preserve">tabular </w:t>
      </w:r>
      <w:r w:rsidR="003A42DC">
        <w:rPr>
          <w:rFonts w:eastAsia="SimSun"/>
          <w:lang w:eastAsia="zh-CN"/>
        </w:rPr>
        <w:t xml:space="preserve">approach is that it </w:t>
      </w:r>
      <w:r w:rsidR="006F53D3">
        <w:rPr>
          <w:rFonts w:eastAsia="SimSun"/>
          <w:lang w:eastAsia="zh-CN"/>
        </w:rPr>
        <w:t>can be t</w:t>
      </w:r>
      <w:r w:rsidR="003A42DC">
        <w:rPr>
          <w:rFonts w:eastAsia="SimSun"/>
          <w:lang w:eastAsia="zh-CN"/>
        </w:rPr>
        <w:t xml:space="preserve">ailored to a specific UE’s deployment and/or traffic type. Consequently, only a few bits are needed </w:t>
      </w:r>
      <w:r w:rsidR="00BE3F6D">
        <w:rPr>
          <w:rFonts w:eastAsia="SimSun"/>
          <w:lang w:eastAsia="zh-CN"/>
        </w:rPr>
        <w:t xml:space="preserve">to address the </w:t>
      </w:r>
      <w:r w:rsidR="006F53D3">
        <w:rPr>
          <w:rFonts w:eastAsia="SimSun"/>
          <w:lang w:eastAsia="zh-CN"/>
        </w:rPr>
        <w:t xml:space="preserve">range of operational scenarios </w:t>
      </w:r>
      <w:r w:rsidR="00BE3F6D">
        <w:rPr>
          <w:rFonts w:eastAsia="SimSun"/>
          <w:lang w:eastAsia="zh-CN"/>
        </w:rPr>
        <w:t>experienced by a given UE.</w:t>
      </w:r>
      <w:r w:rsidR="006F53D3">
        <w:rPr>
          <w:rFonts w:eastAsia="SimSun"/>
          <w:lang w:eastAsia="zh-CN"/>
        </w:rPr>
        <w:t xml:space="preserve"> A second advantage is that since the table is UE-specific, a subset of Unknown symbols in one or more entries of the table can be disabled on a per UE basis depending on new features introduced in a future release.</w:t>
      </w:r>
      <w:r w:rsidR="0039177B">
        <w:rPr>
          <w:rFonts w:eastAsia="SimSun"/>
          <w:lang w:eastAsia="zh-CN"/>
        </w:rPr>
        <w:t xml:space="preserve"> </w:t>
      </w:r>
      <w:r w:rsidR="000C1A17">
        <w:rPr>
          <w:rFonts w:eastAsia="SimSun"/>
          <w:lang w:eastAsia="zh-CN"/>
        </w:rPr>
        <w:t xml:space="preserve">A range of 3 – </w:t>
      </w:r>
      <w:r w:rsidR="00D31F37">
        <w:rPr>
          <w:rFonts w:eastAsia="SimSun"/>
          <w:lang w:eastAsia="zh-CN"/>
        </w:rPr>
        <w:t>6</w:t>
      </w:r>
      <w:r w:rsidR="0039177B">
        <w:rPr>
          <w:rFonts w:eastAsia="SimSun"/>
          <w:lang w:eastAsia="zh-CN"/>
        </w:rPr>
        <w:t xml:space="preserve"> bits should be </w:t>
      </w:r>
      <w:r w:rsidR="000C1A17">
        <w:rPr>
          <w:rFonts w:eastAsia="SimSun"/>
          <w:lang w:eastAsia="zh-CN"/>
        </w:rPr>
        <w:t>sufficient for indicating SFI for a given slot.</w:t>
      </w:r>
    </w:p>
    <w:p w:rsidR="007128A0" w:rsidRDefault="006F53D3" w:rsidP="009E40A1">
      <w:pPr>
        <w:pStyle w:val="a0"/>
        <w:rPr>
          <w:rFonts w:eastAsia="SimSun"/>
          <w:b/>
          <w:lang w:eastAsia="zh-CN"/>
        </w:rPr>
      </w:pPr>
      <w:r w:rsidRPr="006F53D3">
        <w:rPr>
          <w:rFonts w:eastAsia="SimSun"/>
          <w:b/>
          <w:lang w:eastAsia="zh-CN"/>
        </w:rPr>
        <w:t>Proposal</w:t>
      </w:r>
      <w:r w:rsidR="007128A0">
        <w:rPr>
          <w:rFonts w:eastAsia="SimSun"/>
          <w:b/>
          <w:lang w:eastAsia="zh-CN"/>
        </w:rPr>
        <w:t xml:space="preserve"> 1</w:t>
      </w:r>
      <w:r w:rsidRPr="006F53D3">
        <w:rPr>
          <w:rFonts w:eastAsia="SimSun"/>
          <w:b/>
          <w:lang w:eastAsia="zh-CN"/>
        </w:rPr>
        <w:t xml:space="preserve"> </w:t>
      </w:r>
    </w:p>
    <w:p w:rsidR="007128A0" w:rsidRDefault="007128A0" w:rsidP="007128A0">
      <w:pPr>
        <w:pStyle w:val="a0"/>
        <w:numPr>
          <w:ilvl w:val="0"/>
          <w:numId w:val="20"/>
        </w:numPr>
        <w:rPr>
          <w:rFonts w:eastAsia="SimSun"/>
          <w:b/>
          <w:lang w:eastAsia="zh-CN"/>
        </w:rPr>
      </w:pPr>
      <w:r>
        <w:rPr>
          <w:rFonts w:eastAsia="SimSun"/>
          <w:b/>
          <w:lang w:eastAsia="zh-CN"/>
        </w:rPr>
        <w:t>A</w:t>
      </w:r>
      <w:r w:rsidR="006F53D3" w:rsidRPr="006F53D3">
        <w:rPr>
          <w:rFonts w:eastAsia="SimSun"/>
          <w:b/>
          <w:lang w:eastAsia="zh-CN"/>
        </w:rPr>
        <w:t xml:space="preserve"> set of DL/UL/Unknown symbol combinations is semi-statically configured for a UE by RRC signaling. </w:t>
      </w:r>
    </w:p>
    <w:p w:rsidR="006F53D3" w:rsidRDefault="006F53D3" w:rsidP="007128A0">
      <w:pPr>
        <w:pStyle w:val="a0"/>
        <w:numPr>
          <w:ilvl w:val="1"/>
          <w:numId w:val="20"/>
        </w:numPr>
        <w:rPr>
          <w:rFonts w:eastAsia="SimSun"/>
          <w:b/>
          <w:lang w:eastAsia="zh-CN"/>
        </w:rPr>
      </w:pPr>
      <w:r w:rsidRPr="006F53D3">
        <w:rPr>
          <w:rFonts w:eastAsia="SimSun"/>
          <w:b/>
          <w:lang w:eastAsia="zh-CN"/>
        </w:rPr>
        <w:t>The SFI field in a group common PDCCH indicates an entry in the set.</w:t>
      </w:r>
    </w:p>
    <w:p w:rsidR="007128A0" w:rsidRDefault="007128A0" w:rsidP="007128A0">
      <w:pPr>
        <w:pStyle w:val="a0"/>
        <w:numPr>
          <w:ilvl w:val="0"/>
          <w:numId w:val="20"/>
        </w:numPr>
        <w:rPr>
          <w:rFonts w:eastAsia="SimSun"/>
          <w:b/>
          <w:lang w:eastAsia="zh-CN"/>
        </w:rPr>
      </w:pPr>
      <w:r>
        <w:rPr>
          <w:rFonts w:eastAsia="SimSun"/>
          <w:b/>
          <w:lang w:eastAsia="zh-CN"/>
        </w:rPr>
        <w:t>For SFI indication for N slots</w:t>
      </w:r>
    </w:p>
    <w:p w:rsidR="007128A0" w:rsidRDefault="007128A0" w:rsidP="007128A0">
      <w:pPr>
        <w:pStyle w:val="a0"/>
        <w:numPr>
          <w:ilvl w:val="1"/>
          <w:numId w:val="20"/>
        </w:numPr>
        <w:rPr>
          <w:rFonts w:eastAsia="SimSun"/>
          <w:b/>
          <w:lang w:eastAsia="zh-CN"/>
        </w:rPr>
      </w:pPr>
      <w:r>
        <w:rPr>
          <w:rFonts w:eastAsia="SimSun"/>
          <w:b/>
          <w:lang w:eastAsia="zh-CN"/>
        </w:rPr>
        <w:t>An entry in the table describes the SFIs for N slots, or</w:t>
      </w:r>
    </w:p>
    <w:p w:rsidR="007128A0" w:rsidRPr="006F53D3" w:rsidRDefault="007128A0" w:rsidP="007128A0">
      <w:pPr>
        <w:pStyle w:val="a0"/>
        <w:numPr>
          <w:ilvl w:val="1"/>
          <w:numId w:val="20"/>
        </w:numPr>
        <w:rPr>
          <w:rFonts w:eastAsia="SimSun"/>
          <w:b/>
          <w:lang w:eastAsia="zh-CN"/>
        </w:rPr>
      </w:pPr>
      <w:r>
        <w:rPr>
          <w:rFonts w:eastAsia="SimSun"/>
          <w:b/>
          <w:lang w:eastAsia="zh-CN"/>
        </w:rPr>
        <w:t>The group common PDCCH contains N SFI fields, where each field indicates an entry in the set of semi-statically configured symbol combinations</w:t>
      </w:r>
      <w:r w:rsidR="000C1A17">
        <w:rPr>
          <w:rFonts w:eastAsia="SimSun"/>
          <w:b/>
          <w:lang w:eastAsia="zh-CN"/>
        </w:rPr>
        <w:t>.</w:t>
      </w:r>
    </w:p>
    <w:p w:rsidR="007128A0" w:rsidRDefault="007128A0" w:rsidP="004225C9">
      <w:pPr>
        <w:pStyle w:val="a0"/>
        <w:rPr>
          <w:rFonts w:eastAsia="SimSun"/>
          <w:lang w:eastAsia="zh-CN"/>
        </w:rPr>
      </w:pPr>
      <w:r>
        <w:rPr>
          <w:rFonts w:eastAsia="SimSun"/>
          <w:lang w:eastAsia="zh-CN"/>
        </w:rPr>
        <w:t xml:space="preserve">. </w:t>
      </w:r>
    </w:p>
    <w:p w:rsidR="004225C9" w:rsidRDefault="004225C9" w:rsidP="004225C9">
      <w:pPr>
        <w:pStyle w:val="a0"/>
        <w:rPr>
          <w:rFonts w:eastAsia="SimSun"/>
          <w:lang w:eastAsia="zh-CN"/>
        </w:rPr>
      </w:pPr>
      <w:r>
        <w:rPr>
          <w:rFonts w:eastAsia="SimSun"/>
          <w:lang w:eastAsia="zh-CN"/>
        </w:rPr>
        <w:lastRenderedPageBreak/>
        <w:t xml:space="preserve">For TDD it is necessary to indicate a gap for UL-DL switching per the RAN1 #NR_AH2 agreement. An implicit solution can be based on the design rules shown above. When Unknown symbols demarcate DL and UL regions, a UE may assume that the last Unknown symbol before the UL region can be used for DL-UL switching and for UL timing advance. A second solution takes advantage of the proposed tabular format, wherein the GP symbol is explicitly defined for a bidirectional slot as shown in the example of </w:t>
      </w:r>
      <w:r w:rsidR="004B510E">
        <w:rPr>
          <w:rFonts w:eastAsia="SimSun"/>
          <w:lang w:eastAsia="zh-CN"/>
        </w:rPr>
        <w:fldChar w:fldCharType="begin"/>
      </w:r>
      <w:r>
        <w:rPr>
          <w:rFonts w:eastAsia="SimSun"/>
          <w:lang w:eastAsia="zh-CN"/>
        </w:rPr>
        <w:instrText xml:space="preserve"> REF _Ref489867594 \h </w:instrText>
      </w:r>
      <w:r w:rsidR="004B510E">
        <w:rPr>
          <w:rFonts w:eastAsia="SimSun"/>
          <w:lang w:eastAsia="zh-CN"/>
        </w:rPr>
      </w:r>
      <w:r w:rsidR="004B510E">
        <w:rPr>
          <w:rFonts w:eastAsia="SimSun"/>
          <w:lang w:eastAsia="zh-CN"/>
        </w:rPr>
        <w:fldChar w:fldCharType="separate"/>
      </w:r>
      <w:r>
        <w:t xml:space="preserve">Figure </w:t>
      </w:r>
      <w:r>
        <w:rPr>
          <w:noProof/>
        </w:rPr>
        <w:t>1</w:t>
      </w:r>
      <w:r w:rsidR="004B510E">
        <w:rPr>
          <w:rFonts w:eastAsia="SimSun"/>
          <w:lang w:eastAsia="zh-CN"/>
        </w:rPr>
        <w:fldChar w:fldCharType="end"/>
      </w:r>
      <w:r>
        <w:rPr>
          <w:rFonts w:eastAsia="SimSun"/>
          <w:lang w:eastAsia="zh-CN"/>
        </w:rPr>
        <w:t xml:space="preserve">. </w:t>
      </w:r>
    </w:p>
    <w:p w:rsidR="007128A0" w:rsidRDefault="007128A0" w:rsidP="004225C9">
      <w:pPr>
        <w:pStyle w:val="a0"/>
        <w:rPr>
          <w:rFonts w:eastAsia="SimSun"/>
          <w:b/>
          <w:lang w:eastAsia="zh-CN"/>
        </w:rPr>
      </w:pPr>
      <w:r w:rsidRPr="007128A0">
        <w:rPr>
          <w:rFonts w:eastAsia="SimSun"/>
          <w:b/>
          <w:lang w:eastAsia="zh-CN"/>
        </w:rPr>
        <w:t>Proposal 2: for TDD, a gap period for DL-UL switching may be either defined as part of the valid DL-UL symbol combinations for a slot or implicitly with an Unknown symbol</w:t>
      </w:r>
      <w:r>
        <w:rPr>
          <w:rFonts w:eastAsia="SimSun"/>
          <w:b/>
          <w:lang w:eastAsia="zh-CN"/>
        </w:rPr>
        <w:t>.</w:t>
      </w:r>
    </w:p>
    <w:p w:rsidR="007128A0" w:rsidRPr="007128A0" w:rsidRDefault="007128A0" w:rsidP="004225C9">
      <w:pPr>
        <w:pStyle w:val="a0"/>
        <w:rPr>
          <w:rFonts w:eastAsia="SimSun"/>
          <w:b/>
          <w:lang w:eastAsia="zh-CN"/>
        </w:rPr>
      </w:pPr>
    </w:p>
    <w:p w:rsidR="009E40A1" w:rsidRDefault="007128A0" w:rsidP="007128A0">
      <w:pPr>
        <w:pStyle w:val="2"/>
      </w:pPr>
      <w:r>
        <w:t>Extension to bandwidth parts, numerologies and CA</w:t>
      </w:r>
    </w:p>
    <w:p w:rsidR="00C4321D" w:rsidRDefault="00C4321D" w:rsidP="00C4321D">
      <w:pPr>
        <w:jc w:val="both"/>
        <w:rPr>
          <w:rFonts w:eastAsia="MS Mincho"/>
          <w:lang w:eastAsia="ja-JP"/>
        </w:rPr>
      </w:pPr>
      <w:r>
        <w:t>It was agreed at RAN1 #86bis that NR s</w:t>
      </w:r>
      <w:r w:rsidRPr="0074765F">
        <w:rPr>
          <w:rFonts w:eastAsia="MS Mincho" w:hint="eastAsia"/>
          <w:lang w:eastAsia="ja-JP"/>
        </w:rPr>
        <w:t>hould support both data and control with the same numerology</w:t>
      </w:r>
      <w:r>
        <w:rPr>
          <w:rFonts w:eastAsia="MS Mincho"/>
          <w:lang w:eastAsia="ja-JP"/>
        </w:rPr>
        <w:t xml:space="preserve">. In addition it has been agreed that a UE may be configured with one or more bandwidth parts on a wideband carrier, and that the UE may receive/transmit data only within active bandwidth parts using the associated numerology. </w:t>
      </w:r>
    </w:p>
    <w:p w:rsidR="00C4321D" w:rsidRDefault="00C4321D" w:rsidP="00C4321D">
      <w:pPr>
        <w:jc w:val="both"/>
      </w:pPr>
      <w:r>
        <w:rPr>
          <w:rFonts w:eastAsia="MS Mincho"/>
          <w:lang w:eastAsia="ja-JP"/>
        </w:rPr>
        <w:t xml:space="preserve">An open question, therefore, is whether separate SFIs should be indicated for each configured bandwidth part or numerology in a serving cell. First, </w:t>
      </w:r>
      <w:r>
        <w:t xml:space="preserve">it can be assumed that the DL and UL directions are aligned to avoid UL-DL interference. However, the set of ‘Unknown’ symbols may differ for different numerologies or bandwidth parts depending on the use case or deployment scenario. An example scenario justifying </w:t>
      </w:r>
      <w:r>
        <w:rPr>
          <w:rFonts w:eastAsia="MS Mincho"/>
          <w:lang w:eastAsia="ja-JP"/>
        </w:rPr>
        <w:t xml:space="preserve">separate SFIs can be seen in </w:t>
      </w:r>
      <w:r w:rsidR="004B510E">
        <w:rPr>
          <w:rFonts w:eastAsia="MS Mincho"/>
          <w:lang w:eastAsia="ja-JP"/>
        </w:rPr>
        <w:fldChar w:fldCharType="begin"/>
      </w:r>
      <w:r>
        <w:rPr>
          <w:rFonts w:eastAsia="MS Mincho"/>
          <w:lang w:eastAsia="ja-JP"/>
        </w:rPr>
        <w:instrText xml:space="preserve"> REF _Ref489869244 \h </w:instrText>
      </w:r>
      <w:r w:rsidR="004B510E">
        <w:rPr>
          <w:rFonts w:eastAsia="MS Mincho"/>
          <w:lang w:eastAsia="ja-JP"/>
        </w:rPr>
      </w:r>
      <w:r w:rsidR="004B510E">
        <w:rPr>
          <w:rFonts w:eastAsia="MS Mincho"/>
          <w:lang w:eastAsia="ja-JP"/>
        </w:rPr>
        <w:fldChar w:fldCharType="separate"/>
      </w:r>
      <w:r>
        <w:t xml:space="preserve">Figure </w:t>
      </w:r>
      <w:r>
        <w:rPr>
          <w:noProof/>
        </w:rPr>
        <w:t>2</w:t>
      </w:r>
      <w:r w:rsidR="004B510E">
        <w:rPr>
          <w:rFonts w:eastAsia="MS Mincho"/>
          <w:lang w:eastAsia="ja-JP"/>
        </w:rPr>
        <w:fldChar w:fldCharType="end"/>
      </w:r>
      <w:r>
        <w:rPr>
          <w:rFonts w:eastAsia="MS Mincho"/>
          <w:lang w:eastAsia="ja-JP"/>
        </w:rPr>
        <w:t>, where different bandwidth parts are configured for SCS = 15</w:t>
      </w:r>
      <w:r w:rsidR="0039177B">
        <w:rPr>
          <w:rFonts w:eastAsia="MS Mincho"/>
          <w:lang w:eastAsia="ja-JP"/>
        </w:rPr>
        <w:t xml:space="preserve"> and</w:t>
      </w:r>
      <w:r>
        <w:rPr>
          <w:rFonts w:eastAsia="MS Mincho"/>
          <w:lang w:eastAsia="ja-JP"/>
        </w:rPr>
        <w:t xml:space="preserve"> 30 KHz. It can be seen that the </w:t>
      </w:r>
      <w:r>
        <w:t xml:space="preserve">fifth symbol for 15KHz SCS is indicated as Unknown whereas for the 30KHz SCS the same time duration is indicated as DL. </w:t>
      </w:r>
    </w:p>
    <w:p w:rsidR="00C4321D" w:rsidRDefault="00C4321D" w:rsidP="00C4321D"/>
    <w:p w:rsidR="00C4321D" w:rsidRDefault="00C4321D" w:rsidP="00C4321D">
      <w:pPr>
        <w:keepNext/>
        <w:jc w:val="center"/>
      </w:pPr>
      <w:r w:rsidRPr="009B055E">
        <w:rPr>
          <w:noProof/>
          <w:lang w:eastAsia="zh-CN"/>
        </w:rPr>
        <w:drawing>
          <wp:inline distT="0" distB="0" distL="0" distR="0">
            <wp:extent cx="3493124" cy="1843669"/>
            <wp:effectExtent l="1905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3499748" cy="1847165"/>
                    </a:xfrm>
                    <a:prstGeom prst="rect">
                      <a:avLst/>
                    </a:prstGeom>
                    <a:noFill/>
                    <a:ln w="9525">
                      <a:noFill/>
                      <a:miter lim="800000"/>
                      <a:headEnd/>
                      <a:tailEnd/>
                    </a:ln>
                  </pic:spPr>
                </pic:pic>
              </a:graphicData>
            </a:graphic>
          </wp:inline>
        </w:drawing>
      </w:r>
    </w:p>
    <w:p w:rsidR="00C4321D" w:rsidRDefault="00C4321D" w:rsidP="00C4321D">
      <w:pPr>
        <w:pStyle w:val="a7"/>
      </w:pPr>
      <w:bookmarkStart w:id="4" w:name="_Ref489869244"/>
      <w:r>
        <w:t xml:space="preserve">Figure </w:t>
      </w:r>
      <w:fldSimple w:instr=" SEQ Figure \* ARABIC ">
        <w:r>
          <w:rPr>
            <w:noProof/>
          </w:rPr>
          <w:t>2</w:t>
        </w:r>
      </w:fldSimple>
      <w:bookmarkEnd w:id="4"/>
      <w:r>
        <w:t xml:space="preserve"> Illustration of two bandwidth parts with different indications of DL and Unknown for the same time duration.</w:t>
      </w:r>
    </w:p>
    <w:p w:rsidR="00C4321D" w:rsidRDefault="00C4321D" w:rsidP="00C4321D">
      <w:pPr>
        <w:jc w:val="both"/>
      </w:pPr>
      <w:r>
        <w:t>It should also be noted in Figure 2 that the GP duration may not necessarily be the same for both numerologies. For instance, if the DL-UL switching time and required timing advance fall within 1-symbol duration at the higher SCS spacing, then an extra OFDM symbol can be indicated as DL in Figure 2.</w:t>
      </w:r>
    </w:p>
    <w:p w:rsidR="00C4321D" w:rsidRDefault="00C4321D" w:rsidP="00C4321D">
      <w:pPr>
        <w:jc w:val="both"/>
      </w:pPr>
    </w:p>
    <w:p w:rsidR="00C4321D" w:rsidRDefault="00C4321D" w:rsidP="00C4321D">
      <w:pPr>
        <w:jc w:val="both"/>
        <w:rPr>
          <w:lang w:val="en-GB"/>
        </w:rPr>
      </w:pPr>
      <w:r>
        <w:t xml:space="preserve">However, it is not desirable to link SFI indication for a given serving cell </w:t>
      </w:r>
      <w:r w:rsidR="0039177B">
        <w:t xml:space="preserve">to a given </w:t>
      </w:r>
      <w:r>
        <w:t>band</w:t>
      </w:r>
      <w:r w:rsidR="0039177B">
        <w:t>width part and/or numerology</w:t>
      </w:r>
      <w:r>
        <w:t>. Firstly, by definition, the group-common PDCCH applies to a group of UEs whereas BWPs are UE-specific. Secondly, simpler solutions can be introduced to limit the DL control signaling overhead for a given cell. A UE may be configured to monitor for the group common PDCCH in a given numerology</w:t>
      </w:r>
      <w:r w:rsidR="0039177B">
        <w:t xml:space="preserve">, where the </w:t>
      </w:r>
      <w:r>
        <w:t xml:space="preserve">SFI is applicable across any and all BWPs that may be configured for the UE. Referring again to the issue illustrated in </w:t>
      </w:r>
      <w:r w:rsidR="004B510E">
        <w:fldChar w:fldCharType="begin"/>
      </w:r>
      <w:r>
        <w:instrText xml:space="preserve"> REF _Ref489869244 \h </w:instrText>
      </w:r>
      <w:r w:rsidR="004B510E">
        <w:fldChar w:fldCharType="separate"/>
      </w:r>
      <w:r>
        <w:t xml:space="preserve">Figure </w:t>
      </w:r>
      <w:r>
        <w:rPr>
          <w:noProof/>
        </w:rPr>
        <w:t>2</w:t>
      </w:r>
      <w:r w:rsidR="004B510E">
        <w:fldChar w:fldCharType="end"/>
      </w:r>
      <w:r>
        <w:t>, UE behavior can be specified for the 30 KHz BWP such that a DCI scheduling DL assignment can overwrite the Unknown symbol</w:t>
      </w:r>
      <w:r w:rsidR="0039177B">
        <w:t>(s)</w:t>
      </w:r>
      <w:r>
        <w:t xml:space="preserve"> defined in the SFI. More details on monitoring behavior are provided in </w:t>
      </w:r>
      <w:r w:rsidR="004B510E">
        <w:fldChar w:fldCharType="begin"/>
      </w:r>
      <w:r w:rsidR="007650F3">
        <w:instrText xml:space="preserve"> REF _Ref489862753 \n \h </w:instrText>
      </w:r>
      <w:r w:rsidR="004B510E">
        <w:fldChar w:fldCharType="separate"/>
      </w:r>
      <w:r w:rsidR="007650F3">
        <w:t>[3]</w:t>
      </w:r>
      <w:r w:rsidR="004B510E">
        <w:fldChar w:fldCharType="end"/>
      </w:r>
      <w:r w:rsidR="007650F3">
        <w:t>.</w:t>
      </w:r>
    </w:p>
    <w:p w:rsidR="00C4321D" w:rsidRPr="00D5074B" w:rsidRDefault="00C4321D" w:rsidP="00C4321D">
      <w:pPr>
        <w:rPr>
          <w:lang w:val="en-GB"/>
        </w:rPr>
      </w:pPr>
    </w:p>
    <w:p w:rsidR="00B44F85" w:rsidRDefault="00C4321D" w:rsidP="00C4321D">
      <w:pPr>
        <w:pStyle w:val="a0"/>
        <w:rPr>
          <w:rFonts w:eastAsia="SimSun"/>
          <w:lang w:eastAsia="zh-CN"/>
        </w:rPr>
      </w:pPr>
      <w:r w:rsidRPr="00C44FCE">
        <w:rPr>
          <w:rFonts w:eastAsia="SimSun" w:hint="eastAsia"/>
          <w:b/>
          <w:lang w:eastAsia="zh-CN"/>
        </w:rPr>
        <w:t xml:space="preserve">Proposal </w:t>
      </w:r>
      <w:r>
        <w:rPr>
          <w:rFonts w:eastAsia="SimSun"/>
          <w:b/>
          <w:lang w:eastAsia="zh-CN"/>
        </w:rPr>
        <w:t>3</w:t>
      </w:r>
      <w:r w:rsidR="007650F3">
        <w:rPr>
          <w:rFonts w:eastAsia="SimSun" w:hint="eastAsia"/>
          <w:b/>
          <w:lang w:eastAsia="zh-CN"/>
        </w:rPr>
        <w:t xml:space="preserve">: </w:t>
      </w:r>
      <w:r w:rsidR="007650F3">
        <w:rPr>
          <w:rFonts w:eastAsia="SimSun"/>
          <w:b/>
          <w:lang w:eastAsia="zh-CN"/>
        </w:rPr>
        <w:t xml:space="preserve">If </w:t>
      </w:r>
      <w:r w:rsidR="0039177B">
        <w:rPr>
          <w:rFonts w:eastAsia="SimSun"/>
          <w:b/>
          <w:lang w:eastAsia="zh-CN"/>
        </w:rPr>
        <w:t xml:space="preserve">a UE is configured to monitor for </w:t>
      </w:r>
      <w:r w:rsidR="007650F3">
        <w:rPr>
          <w:rFonts w:eastAsia="SimSun"/>
          <w:b/>
          <w:lang w:eastAsia="zh-CN"/>
        </w:rPr>
        <w:t xml:space="preserve">SFI </w:t>
      </w:r>
      <w:r w:rsidR="0039177B">
        <w:rPr>
          <w:rFonts w:eastAsia="SimSun"/>
          <w:b/>
          <w:lang w:eastAsia="zh-CN"/>
        </w:rPr>
        <w:t xml:space="preserve">for a serving cell, the UE shall assume that a detected SFI is applicable across the serving cell </w:t>
      </w:r>
      <w:r w:rsidR="007650F3">
        <w:rPr>
          <w:rFonts w:eastAsia="SimSun"/>
          <w:b/>
          <w:lang w:eastAsia="zh-CN"/>
        </w:rPr>
        <w:t>regardless of the number of bandwidth parts and/or numerologies configured in the cell.</w:t>
      </w:r>
    </w:p>
    <w:p w:rsidR="00EE2281" w:rsidRDefault="00EE2281" w:rsidP="00EE2281">
      <w:pPr>
        <w:jc w:val="both"/>
      </w:pPr>
    </w:p>
    <w:p w:rsidR="00090922" w:rsidRDefault="00090922" w:rsidP="00090922">
      <w:pPr>
        <w:pStyle w:val="a0"/>
        <w:rPr>
          <w:rFonts w:eastAsia="SimSun"/>
          <w:lang w:eastAsia="zh-CN"/>
        </w:rPr>
      </w:pPr>
      <w:r>
        <w:rPr>
          <w:rFonts w:eastAsia="SimSun"/>
          <w:lang w:eastAsia="zh-CN"/>
        </w:rPr>
        <w:t xml:space="preserve">If a UE is configured to receive PDSCH in multiple serving cells, i.e. CA, it should be possible to cross schedule SFI indication in one serving cell from another serving cell. This reduces the decoding/monitoring operations for group common PDCCH when a UE is configured for CA. </w:t>
      </w:r>
    </w:p>
    <w:p w:rsidR="00090922" w:rsidRDefault="00090922" w:rsidP="00090922">
      <w:pPr>
        <w:pStyle w:val="a0"/>
        <w:rPr>
          <w:rFonts w:eastAsia="SimSun"/>
          <w:lang w:eastAsia="zh-CN"/>
        </w:rPr>
      </w:pPr>
    </w:p>
    <w:p w:rsidR="00090922" w:rsidRPr="002C4EA6" w:rsidRDefault="002C4EA6" w:rsidP="00090922">
      <w:pPr>
        <w:pStyle w:val="a0"/>
        <w:rPr>
          <w:rFonts w:eastAsia="SimSun"/>
          <w:b/>
          <w:lang w:eastAsia="zh-CN"/>
        </w:rPr>
      </w:pPr>
      <w:r w:rsidRPr="002C4EA6">
        <w:rPr>
          <w:rFonts w:eastAsia="SimSun"/>
          <w:b/>
          <w:lang w:eastAsia="zh-CN"/>
        </w:rPr>
        <w:lastRenderedPageBreak/>
        <w:t>Proposal 4: a UE may be configured to monitor for group common PDCCH transmitted in a first serving cell and carrying SFI for a second serving cell.</w:t>
      </w:r>
    </w:p>
    <w:p w:rsidR="00090922" w:rsidRDefault="00090922" w:rsidP="00EE2281">
      <w:pPr>
        <w:jc w:val="both"/>
      </w:pPr>
    </w:p>
    <w:p w:rsidR="007B1ACD" w:rsidRDefault="007B1ACD" w:rsidP="007B1ACD">
      <w:pPr>
        <w:pStyle w:val="2"/>
      </w:pPr>
      <w:r>
        <w:t>Reduction in blind decoding operations</w:t>
      </w:r>
    </w:p>
    <w:p w:rsidR="007B1ACD" w:rsidRDefault="007B1ACD" w:rsidP="007B1ACD">
      <w:pPr>
        <w:jc w:val="both"/>
      </w:pPr>
      <w:r>
        <w:t xml:space="preserve">It was agreed that a UE should have the possibility to reduce the number of blind decodes performed in a slot based on information carried in a group-common PDCCH. This may be a critical solution to reducing average power consumption especially when a UE is configured to monitor the NR-PDCCH at multiple occasions within a slot (e.g. for URLLC operation). Thus, this is one information field that could be considered for a SFI DCI format. </w:t>
      </w:r>
    </w:p>
    <w:p w:rsidR="007B1ACD" w:rsidRDefault="007B1ACD" w:rsidP="007B1ACD">
      <w:pPr>
        <w:jc w:val="both"/>
      </w:pPr>
    </w:p>
    <w:p w:rsidR="007B1ACD" w:rsidRPr="004872D8" w:rsidRDefault="007B1ACD" w:rsidP="007B1ACD">
      <w:pPr>
        <w:jc w:val="both"/>
      </w:pPr>
      <w:r>
        <w:t>Firstly, it should be clear that a UE can skip blind decodes on symbols dynamically indicated as UL or Unknown. Another proposed</w:t>
      </w:r>
      <w:r w:rsidRPr="004872D8">
        <w:t xml:space="preserve"> solution to reduce the number of blind decoding operations is </w:t>
      </w:r>
      <w:r>
        <w:t xml:space="preserve">to </w:t>
      </w:r>
      <w:r w:rsidRPr="004872D8">
        <w:t>dynamic</w:t>
      </w:r>
      <w:r>
        <w:t>ally</w:t>
      </w:r>
      <w:r w:rsidRPr="004872D8">
        <w:t xml:space="preserve"> signal the duration of a control resource set. This indication may potentially reduce the average number of blind decodes performed by a UE in the same slot. </w:t>
      </w:r>
      <w:r>
        <w:t xml:space="preserve">However, it has been agreed to support time-first CCE-to-REG mapping for a multi-symbol CORESET, wherein the REG bundle spans the semi-statically configured CORESET duration. Secondly, for a group-common PDCCH indicating multi-slot SFI it is not clear how/whether to signal the duration of all the configured CORESETs in multiple slots. </w:t>
      </w:r>
    </w:p>
    <w:p w:rsidR="007B1ACD" w:rsidRDefault="007B1ACD" w:rsidP="007B1ACD">
      <w:pPr>
        <w:rPr>
          <w:lang w:val="en-GB"/>
        </w:rPr>
      </w:pPr>
    </w:p>
    <w:p w:rsidR="007B1ACD" w:rsidRDefault="007B1ACD" w:rsidP="007B1ACD">
      <w:pPr>
        <w:jc w:val="both"/>
        <w:rPr>
          <w:b/>
        </w:rPr>
      </w:pPr>
      <w:r w:rsidRPr="00E26251">
        <w:rPr>
          <w:b/>
        </w:rPr>
        <w:t>Proposal</w:t>
      </w:r>
      <w:r>
        <w:rPr>
          <w:b/>
        </w:rPr>
        <w:t xml:space="preserve"> </w:t>
      </w:r>
      <w:r w:rsidR="002C4EA6">
        <w:rPr>
          <w:b/>
        </w:rPr>
        <w:t>5</w:t>
      </w:r>
      <w:r>
        <w:rPr>
          <w:b/>
        </w:rPr>
        <w:t xml:space="preserve">: </w:t>
      </w:r>
      <w:r w:rsidRPr="004B6F4E">
        <w:rPr>
          <w:b/>
        </w:rPr>
        <w:t xml:space="preserve">The </w:t>
      </w:r>
      <w:r>
        <w:rPr>
          <w:b/>
        </w:rPr>
        <w:t>duration of one or more control resource sets is not dynamically signaled in the g</w:t>
      </w:r>
      <w:r w:rsidRPr="004B6F4E">
        <w:rPr>
          <w:b/>
        </w:rPr>
        <w:t xml:space="preserve">roup-common </w:t>
      </w:r>
      <w:r>
        <w:rPr>
          <w:b/>
        </w:rPr>
        <w:t>PDCCH carrying SFI.</w:t>
      </w:r>
    </w:p>
    <w:p w:rsidR="007B1ACD" w:rsidRPr="004B6F4E" w:rsidRDefault="007B1ACD" w:rsidP="007B1ACD">
      <w:pPr>
        <w:jc w:val="both"/>
        <w:rPr>
          <w:b/>
        </w:rPr>
      </w:pPr>
    </w:p>
    <w:p w:rsidR="007B1ACD" w:rsidRDefault="007B1ACD" w:rsidP="007B1ACD">
      <w:pPr>
        <w:jc w:val="both"/>
      </w:pPr>
      <w:r>
        <w:t xml:space="preserve">Other mechanisms to reduce the number of blind decodes may be considered. For instance, group-wide enabling/disabling of NR-PDCCH monitoring occasions within a slot or group of slots may be considered. Specifically, mini-slot based monitoring can be enabled or disabled when a group of UEs are configured for mini-slot monitoring. </w:t>
      </w:r>
      <w:r w:rsidRPr="00535EC5">
        <w:t xml:space="preserve">This allows </w:t>
      </w:r>
      <w:r>
        <w:t xml:space="preserve">the </w:t>
      </w:r>
      <w:r w:rsidRPr="00535EC5">
        <w:t xml:space="preserve">group common PDCCH to manage blind decoding across </w:t>
      </w:r>
      <w:r>
        <w:t xml:space="preserve">one or more slots </w:t>
      </w:r>
      <w:r w:rsidRPr="00535EC5">
        <w:t>without being tied to a specific control resource set.</w:t>
      </w:r>
      <w:r>
        <w:t xml:space="preserve"> Another possibility is a scaling of the total number of blind decodes similarly to LTE EPDCCH.</w:t>
      </w:r>
    </w:p>
    <w:p w:rsidR="007B1ACD" w:rsidRDefault="007B1ACD" w:rsidP="007B1ACD">
      <w:pPr>
        <w:jc w:val="both"/>
      </w:pPr>
    </w:p>
    <w:p w:rsidR="007B1ACD" w:rsidRPr="00972E08" w:rsidRDefault="007B1ACD" w:rsidP="007B1ACD">
      <w:pPr>
        <w:jc w:val="both"/>
        <w:rPr>
          <w:b/>
        </w:rPr>
      </w:pPr>
      <w:r w:rsidRPr="00972E08">
        <w:rPr>
          <w:b/>
        </w:rPr>
        <w:t>Proposal</w:t>
      </w:r>
      <w:r>
        <w:rPr>
          <w:b/>
        </w:rPr>
        <w:t xml:space="preserve"> </w:t>
      </w:r>
      <w:r w:rsidR="002C4EA6">
        <w:rPr>
          <w:b/>
        </w:rPr>
        <w:t>6</w:t>
      </w:r>
      <w:r w:rsidRPr="00972E08">
        <w:rPr>
          <w:b/>
        </w:rPr>
        <w:t xml:space="preserve">: consider group-wide enabling/disabling of monitoring occasions within a slot using the group-common PDCCH </w:t>
      </w:r>
    </w:p>
    <w:p w:rsidR="007B1ACD" w:rsidRDefault="007B1ACD" w:rsidP="00EE2281">
      <w:pPr>
        <w:jc w:val="both"/>
      </w:pPr>
    </w:p>
    <w:p w:rsidR="00F36AF6" w:rsidRDefault="002C4EA6" w:rsidP="00F36AF6">
      <w:pPr>
        <w:pStyle w:val="1"/>
      </w:pPr>
      <w:r>
        <w:t xml:space="preserve">Other types of </w:t>
      </w:r>
      <w:r w:rsidR="00D41482">
        <w:t xml:space="preserve">group-common </w:t>
      </w:r>
      <w:r w:rsidR="00746913">
        <w:t xml:space="preserve">control </w:t>
      </w:r>
      <w:r>
        <w:t>information</w:t>
      </w:r>
    </w:p>
    <w:p w:rsidR="00271BA0" w:rsidRDefault="00271BA0" w:rsidP="00271BA0">
      <w:pPr>
        <w:pStyle w:val="a0"/>
        <w:rPr>
          <w:lang w:eastAsia="zh-CN"/>
        </w:rPr>
      </w:pPr>
      <w:r>
        <w:rPr>
          <w:lang w:eastAsia="zh-CN"/>
        </w:rPr>
        <w:t xml:space="preserve">Several additional information fields </w:t>
      </w:r>
      <w:r w:rsidR="002C4EA6">
        <w:rPr>
          <w:lang w:eastAsia="zh-CN"/>
        </w:rPr>
        <w:t xml:space="preserve">were </w:t>
      </w:r>
      <w:r>
        <w:rPr>
          <w:lang w:eastAsia="zh-CN"/>
        </w:rPr>
        <w:t xml:space="preserve">proposed for the group-common PDCCH, including, but not limited to indication of CORESET duration, explicit indication of number of blind decodes, </w:t>
      </w:r>
      <w:r>
        <w:t>SR resource indication, CSI-RS configuration, beam related inf</w:t>
      </w:r>
      <w:r w:rsidR="001E7B3C">
        <w:t xml:space="preserve">ormation, PDSCH starting symbol, </w:t>
      </w:r>
      <w:r>
        <w:t>group UL HARQ-ACK</w:t>
      </w:r>
      <w:r w:rsidR="00D8015B">
        <w:t xml:space="preserve"> indication and group UL power control commands</w:t>
      </w:r>
      <w:r>
        <w:t xml:space="preserve">. </w:t>
      </w:r>
      <w:r>
        <w:rPr>
          <w:lang w:eastAsia="zh-CN"/>
        </w:rPr>
        <w:t>This may be partly due to the naming of this channel as</w:t>
      </w:r>
      <w:r w:rsidR="00D8015B">
        <w:rPr>
          <w:lang w:eastAsia="zh-CN"/>
        </w:rPr>
        <w:t xml:space="preserve"> group-common, which in reality should then </w:t>
      </w:r>
      <w:r>
        <w:rPr>
          <w:lang w:eastAsia="zh-CN"/>
        </w:rPr>
        <w:t>encompass</w:t>
      </w:r>
      <w:r w:rsidR="00D8015B">
        <w:rPr>
          <w:lang w:eastAsia="zh-CN"/>
        </w:rPr>
        <w:t xml:space="preserve"> </w:t>
      </w:r>
      <w:r>
        <w:rPr>
          <w:lang w:eastAsia="zh-CN"/>
        </w:rPr>
        <w:t xml:space="preserve">all information that is more efficiently transmitted to a group of UEs </w:t>
      </w:r>
      <w:r w:rsidR="004502CB">
        <w:rPr>
          <w:lang w:eastAsia="zh-CN"/>
        </w:rPr>
        <w:t xml:space="preserve">rather than </w:t>
      </w:r>
      <w:r w:rsidR="004502CB">
        <w:t>duplicated in every UE-specific DCI format.</w:t>
      </w:r>
      <w:r>
        <w:rPr>
          <w:lang w:eastAsia="zh-CN"/>
        </w:rPr>
        <w:t xml:space="preserve"> </w:t>
      </w:r>
    </w:p>
    <w:p w:rsidR="004502CB" w:rsidRDefault="004502CB" w:rsidP="00D41482">
      <w:pPr>
        <w:jc w:val="both"/>
      </w:pPr>
    </w:p>
    <w:p w:rsidR="00D41482" w:rsidRDefault="00D41482" w:rsidP="00D41482">
      <w:pPr>
        <w:jc w:val="both"/>
      </w:pPr>
      <w:r>
        <w:t>Rather than introduce many information fields into the SFI group common PDCCH, two other solutions can be considered</w:t>
      </w:r>
    </w:p>
    <w:p w:rsidR="00D41482" w:rsidRDefault="00D41482" w:rsidP="00D41482">
      <w:pPr>
        <w:jc w:val="both"/>
      </w:pPr>
    </w:p>
    <w:p w:rsidR="00D41482" w:rsidRDefault="00D41482" w:rsidP="00D41482">
      <w:pPr>
        <w:numPr>
          <w:ilvl w:val="0"/>
          <w:numId w:val="12"/>
        </w:numPr>
        <w:spacing w:after="200" w:line="276" w:lineRule="auto"/>
        <w:jc w:val="both"/>
      </w:pPr>
      <w:r>
        <w:t xml:space="preserve">Option 1: </w:t>
      </w:r>
      <w:r w:rsidR="001E7B3C">
        <w:t xml:space="preserve">Additional </w:t>
      </w:r>
      <w:r>
        <w:t xml:space="preserve">information fields </w:t>
      </w:r>
      <w:r w:rsidR="001E7B3C">
        <w:t xml:space="preserve">can be configured </w:t>
      </w:r>
      <w:r>
        <w:t xml:space="preserve">in the group common PDCCH </w:t>
      </w:r>
      <w:r w:rsidR="001E7B3C">
        <w:t>carrying SFI based on the deployment scenario</w:t>
      </w:r>
      <w:r>
        <w:t xml:space="preserve">. This solution would mean that either the payload size changes based on RRC configuration or a fixed payload size is defined with several reserved </w:t>
      </w:r>
      <w:r w:rsidR="00912A16">
        <w:t xml:space="preserve">information fields </w:t>
      </w:r>
      <w:r>
        <w:t xml:space="preserve">which </w:t>
      </w:r>
      <w:r w:rsidR="00912A16">
        <w:t xml:space="preserve">are then </w:t>
      </w:r>
      <w:r>
        <w:t xml:space="preserve">enabled by configuration. This </w:t>
      </w:r>
      <w:r w:rsidR="00912A16">
        <w:t xml:space="preserve">approach also supports </w:t>
      </w:r>
      <w:r>
        <w:t>provision</w:t>
      </w:r>
      <w:r w:rsidR="00912A16">
        <w:t>ing</w:t>
      </w:r>
      <w:r>
        <w:t xml:space="preserve"> for new features </w:t>
      </w:r>
      <w:r w:rsidR="00912A16">
        <w:t xml:space="preserve">that be added in </w:t>
      </w:r>
      <w:r>
        <w:t>later releases.</w:t>
      </w:r>
      <w:r w:rsidR="004502CB">
        <w:t xml:space="preserve"> However, there are some drawbacks to this approach</w:t>
      </w:r>
    </w:p>
    <w:p w:rsidR="004502CB" w:rsidRDefault="004502CB" w:rsidP="004502CB">
      <w:pPr>
        <w:numPr>
          <w:ilvl w:val="1"/>
          <w:numId w:val="12"/>
        </w:numPr>
        <w:spacing w:after="200" w:line="276" w:lineRule="auto"/>
        <w:jc w:val="both"/>
      </w:pPr>
      <w:r>
        <w:t xml:space="preserve">Some of the enumerated information fields such as CSI-RS configuration or beam-related information </w:t>
      </w:r>
      <w:r w:rsidR="00912A16">
        <w:t xml:space="preserve">may </w:t>
      </w:r>
      <w:r>
        <w:t xml:space="preserve">need to be periodically transmitted (or monitored) at a different duty cycle </w:t>
      </w:r>
      <w:r w:rsidR="00912A16">
        <w:t xml:space="preserve">compared to </w:t>
      </w:r>
      <w:r>
        <w:t>the SFI.</w:t>
      </w:r>
    </w:p>
    <w:p w:rsidR="004502CB" w:rsidRDefault="004502CB" w:rsidP="004502CB">
      <w:pPr>
        <w:numPr>
          <w:ilvl w:val="1"/>
          <w:numId w:val="12"/>
        </w:numPr>
        <w:spacing w:after="200" w:line="276" w:lineRule="auto"/>
        <w:jc w:val="both"/>
      </w:pPr>
      <w:r>
        <w:t xml:space="preserve">SFI for multiple slots may be indicated in a given group-common PDCCH, whereas other group-common information types are only valid for the current slot where group-common </w:t>
      </w:r>
      <w:r>
        <w:lastRenderedPageBreak/>
        <w:t xml:space="preserve">PDCCH is detected. Thus it is not recommended to mix DCI types with varying scheduling timelines.  </w:t>
      </w:r>
    </w:p>
    <w:p w:rsidR="00D41482" w:rsidRDefault="00D41482" w:rsidP="00D41482">
      <w:pPr>
        <w:numPr>
          <w:ilvl w:val="0"/>
          <w:numId w:val="12"/>
        </w:numPr>
        <w:spacing w:after="200" w:line="276" w:lineRule="auto"/>
        <w:jc w:val="both"/>
      </w:pPr>
      <w:r>
        <w:t xml:space="preserve">Option 2: Additional group common </w:t>
      </w:r>
      <w:r w:rsidR="002C4EA6">
        <w:t xml:space="preserve">DCIs can be </w:t>
      </w:r>
      <w:r>
        <w:t>configured</w:t>
      </w:r>
      <w:r w:rsidR="002C4EA6">
        <w:t xml:space="preserve"> independent of the group common PDCCH which conveys SFI</w:t>
      </w:r>
      <w:r>
        <w:t xml:space="preserve">. </w:t>
      </w:r>
      <w:r w:rsidR="002C4EA6">
        <w:t xml:space="preserve">Each of these DCIs can be characterized by an information-specific RNTI. Note that if the </w:t>
      </w:r>
      <w:r>
        <w:t xml:space="preserve">group-common PDCCH </w:t>
      </w:r>
      <w:r w:rsidR="002C4EA6">
        <w:t>re</w:t>
      </w:r>
      <w:r>
        <w:t xml:space="preserve">uses the NR-PDCCH structure, </w:t>
      </w:r>
      <w:r w:rsidR="002C4EA6">
        <w:t xml:space="preserve">this unifies the DL control signaling structure for all DCI types. </w:t>
      </w:r>
      <w:r>
        <w:t xml:space="preserve">For example, </w:t>
      </w:r>
      <w:r w:rsidR="00D03119">
        <w:t>one DCI format contains SFI and is addressed by an SFI-RNTI, whereas a different DCI format contains some other common information such as power control and is addressed by a TPC-RNTI. T</w:t>
      </w:r>
      <w:r>
        <w:t xml:space="preserve">here are several benefits of this </w:t>
      </w:r>
      <w:r w:rsidR="00D03119">
        <w:t>solution</w:t>
      </w:r>
      <w:r>
        <w:t>.</w:t>
      </w:r>
    </w:p>
    <w:p w:rsidR="00D41482" w:rsidRDefault="00D41482" w:rsidP="00D41482">
      <w:pPr>
        <w:numPr>
          <w:ilvl w:val="1"/>
          <w:numId w:val="12"/>
        </w:numPr>
        <w:spacing w:after="200" w:line="276" w:lineRule="auto"/>
        <w:jc w:val="both"/>
      </w:pPr>
      <w:r>
        <w:t xml:space="preserve">It </w:t>
      </w:r>
      <w:r w:rsidR="002C4EA6">
        <w:t>minimizes</w:t>
      </w:r>
      <w:r>
        <w:t xml:space="preserve"> the information contained in </w:t>
      </w:r>
      <w:r w:rsidR="002C4EA6">
        <w:t xml:space="preserve">a group common PDCCH by </w:t>
      </w:r>
      <w:r>
        <w:t>keeping it specific to the main intended usage</w:t>
      </w:r>
      <w:r w:rsidR="002C4EA6">
        <w:t xml:space="preserve"> of SFI indication.</w:t>
      </w:r>
    </w:p>
    <w:p w:rsidR="00D41482" w:rsidRDefault="00556E64" w:rsidP="00D41482">
      <w:pPr>
        <w:numPr>
          <w:ilvl w:val="1"/>
          <w:numId w:val="12"/>
        </w:numPr>
        <w:spacing w:after="200" w:line="276" w:lineRule="auto"/>
        <w:jc w:val="both"/>
      </w:pPr>
      <w:r>
        <w:t xml:space="preserve">Different DCI types </w:t>
      </w:r>
      <w:r w:rsidR="00CA35C4">
        <w:t xml:space="preserve">can be grouped into </w:t>
      </w:r>
      <w:r>
        <w:t xml:space="preserve">different </w:t>
      </w:r>
      <w:r w:rsidR="00CA35C4">
        <w:t>DCI formats based on monitoring cycle</w:t>
      </w:r>
      <w:r>
        <w:t xml:space="preserve">, usage and </w:t>
      </w:r>
      <w:r w:rsidR="00CA35C4">
        <w:t xml:space="preserve">intended </w:t>
      </w:r>
      <w:r w:rsidR="00D41482">
        <w:t>UE behavior</w:t>
      </w:r>
      <w:r>
        <w:t xml:space="preserve">, </w:t>
      </w:r>
      <w:r w:rsidR="00CA35C4">
        <w:t xml:space="preserve">e.g. </w:t>
      </w:r>
      <w:r>
        <w:t>p</w:t>
      </w:r>
      <w:r w:rsidR="00D41482">
        <w:t>resence</w:t>
      </w:r>
      <w:r w:rsidR="00CA35C4">
        <w:t xml:space="preserve">/absence of </w:t>
      </w:r>
      <w:r>
        <w:t>the information, search space for monitoring etc</w:t>
      </w:r>
      <w:r w:rsidR="00D41482">
        <w:t>.</w:t>
      </w:r>
    </w:p>
    <w:p w:rsidR="00D41482" w:rsidRDefault="00D41482" w:rsidP="00D41482">
      <w:pPr>
        <w:pStyle w:val="a0"/>
        <w:rPr>
          <w:rFonts w:eastAsia="SimSun"/>
          <w:lang w:eastAsia="zh-CN"/>
        </w:rPr>
      </w:pPr>
      <w:r w:rsidRPr="00631D95">
        <w:rPr>
          <w:b/>
        </w:rPr>
        <w:t>Proposal</w:t>
      </w:r>
      <w:r w:rsidR="00556E64">
        <w:rPr>
          <w:b/>
        </w:rPr>
        <w:t xml:space="preserve"> </w:t>
      </w:r>
      <w:r w:rsidR="00251B08">
        <w:rPr>
          <w:b/>
        </w:rPr>
        <w:t>7</w:t>
      </w:r>
      <w:r w:rsidRPr="00631D95">
        <w:rPr>
          <w:b/>
        </w:rPr>
        <w:t>:</w:t>
      </w:r>
      <w:r>
        <w:rPr>
          <w:b/>
        </w:rPr>
        <w:t xml:space="preserve"> </w:t>
      </w:r>
      <w:r w:rsidR="002C4EA6">
        <w:rPr>
          <w:b/>
        </w:rPr>
        <w:t xml:space="preserve">Other group-common control information types may be transmitted on the NR-PDCCH in </w:t>
      </w:r>
      <w:r w:rsidR="00DB3675">
        <w:rPr>
          <w:b/>
        </w:rPr>
        <w:t>type</w:t>
      </w:r>
      <w:r w:rsidR="002C4EA6">
        <w:rPr>
          <w:b/>
        </w:rPr>
        <w:t>-specific DCI formats</w:t>
      </w:r>
      <w:r w:rsidR="00CA35C4">
        <w:rPr>
          <w:b/>
        </w:rPr>
        <w:t>.</w:t>
      </w:r>
    </w:p>
    <w:p w:rsidR="00FC6C5D" w:rsidRPr="00631D95" w:rsidRDefault="00FC6C5D" w:rsidP="00F50C8B">
      <w:pPr>
        <w:rPr>
          <w:b/>
        </w:rPr>
      </w:pPr>
    </w:p>
    <w:p w:rsidR="005935B8" w:rsidRDefault="00830F4E" w:rsidP="005725F7">
      <w:pPr>
        <w:pStyle w:val="1"/>
        <w:jc w:val="both"/>
      </w:pPr>
      <w:r w:rsidRPr="0052231C">
        <w:rPr>
          <w:rFonts w:hint="eastAsia"/>
        </w:rPr>
        <w:t>Conclusion</w:t>
      </w:r>
    </w:p>
    <w:p w:rsidR="00907D28" w:rsidRDefault="00C22604" w:rsidP="005725F7">
      <w:pPr>
        <w:pStyle w:val="a0"/>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signaling details for the SFI contained in the group common PDCCH. In addition we discussed the</w:t>
      </w:r>
      <w:r w:rsidR="00251B08">
        <w:rPr>
          <w:rFonts w:eastAsia="SimSun"/>
          <w:lang w:eastAsia="zh-CN"/>
        </w:rPr>
        <w:t xml:space="preserve"> SFI signaling given multiple bandwidth parts and for CA. A solution was also proposed to address other group-control information types. </w:t>
      </w:r>
      <w:r w:rsidR="009446B0">
        <w:rPr>
          <w:rFonts w:eastAsia="SimSun"/>
          <w:lang w:eastAsia="zh-CN"/>
        </w:rPr>
        <w:t>The proposals are summarized as follows:</w:t>
      </w:r>
    </w:p>
    <w:p w:rsidR="00251B08" w:rsidRDefault="00251B08" w:rsidP="00251B08">
      <w:pPr>
        <w:pStyle w:val="a0"/>
        <w:numPr>
          <w:ilvl w:val="0"/>
          <w:numId w:val="11"/>
        </w:numPr>
        <w:rPr>
          <w:rFonts w:eastAsia="SimSun"/>
          <w:b/>
          <w:lang w:eastAsia="zh-CN"/>
        </w:rPr>
      </w:pPr>
      <w:r>
        <w:rPr>
          <w:rFonts w:eastAsia="SimSun"/>
          <w:b/>
          <w:lang w:eastAsia="zh-CN"/>
        </w:rPr>
        <w:t>Proposal 1: a</w:t>
      </w:r>
      <w:r w:rsidRPr="006F53D3">
        <w:rPr>
          <w:rFonts w:eastAsia="SimSun"/>
          <w:b/>
          <w:lang w:eastAsia="zh-CN"/>
        </w:rPr>
        <w:t xml:space="preserve"> set of DL/UL/Unknown symbol combinations is semi-statically configured for a UE by RRC signaling. </w:t>
      </w:r>
    </w:p>
    <w:p w:rsidR="00251B08" w:rsidRDefault="00251B08" w:rsidP="00251B08">
      <w:pPr>
        <w:pStyle w:val="a0"/>
        <w:numPr>
          <w:ilvl w:val="1"/>
          <w:numId w:val="11"/>
        </w:numPr>
        <w:rPr>
          <w:rFonts w:eastAsia="SimSun"/>
          <w:b/>
          <w:lang w:eastAsia="zh-CN"/>
        </w:rPr>
      </w:pPr>
      <w:r w:rsidRPr="006F53D3">
        <w:rPr>
          <w:rFonts w:eastAsia="SimSun"/>
          <w:b/>
          <w:lang w:eastAsia="zh-CN"/>
        </w:rPr>
        <w:t>The SFI field in a group common PDCCH indicates an entry in the set.</w:t>
      </w:r>
    </w:p>
    <w:p w:rsidR="00251B08" w:rsidRDefault="00251B08" w:rsidP="00251B08">
      <w:pPr>
        <w:pStyle w:val="a0"/>
        <w:numPr>
          <w:ilvl w:val="1"/>
          <w:numId w:val="11"/>
        </w:numPr>
        <w:rPr>
          <w:rFonts w:eastAsia="SimSun"/>
          <w:b/>
          <w:lang w:eastAsia="zh-CN"/>
        </w:rPr>
      </w:pPr>
      <w:r>
        <w:rPr>
          <w:rFonts w:eastAsia="SimSun"/>
          <w:b/>
          <w:lang w:eastAsia="zh-CN"/>
        </w:rPr>
        <w:t>For SFI indication for N slots</w:t>
      </w:r>
    </w:p>
    <w:p w:rsidR="00251B08" w:rsidRDefault="00251B08" w:rsidP="00251B08">
      <w:pPr>
        <w:pStyle w:val="a0"/>
        <w:numPr>
          <w:ilvl w:val="2"/>
          <w:numId w:val="11"/>
        </w:numPr>
        <w:rPr>
          <w:rFonts w:eastAsia="SimSun"/>
          <w:b/>
          <w:lang w:eastAsia="zh-CN"/>
        </w:rPr>
      </w:pPr>
      <w:r>
        <w:rPr>
          <w:rFonts w:eastAsia="SimSun"/>
          <w:b/>
          <w:lang w:eastAsia="zh-CN"/>
        </w:rPr>
        <w:t>An entry in the table describes the SFIs for N slots, or</w:t>
      </w:r>
    </w:p>
    <w:p w:rsidR="00251B08" w:rsidRPr="006F53D3" w:rsidRDefault="00251B08" w:rsidP="00251B08">
      <w:pPr>
        <w:pStyle w:val="a0"/>
        <w:numPr>
          <w:ilvl w:val="2"/>
          <w:numId w:val="11"/>
        </w:numPr>
        <w:rPr>
          <w:rFonts w:eastAsia="SimSun"/>
          <w:b/>
          <w:lang w:eastAsia="zh-CN"/>
        </w:rPr>
      </w:pPr>
      <w:r>
        <w:rPr>
          <w:rFonts w:eastAsia="SimSun"/>
          <w:b/>
          <w:lang w:eastAsia="zh-CN"/>
        </w:rPr>
        <w:t>The group common PDCCH contains N SFI fields, where each field indicates an entry in the set of semi-statically configured symbol combinations</w:t>
      </w:r>
    </w:p>
    <w:p w:rsidR="00251B08" w:rsidRDefault="00251B08" w:rsidP="00251B08">
      <w:pPr>
        <w:pStyle w:val="a0"/>
        <w:numPr>
          <w:ilvl w:val="0"/>
          <w:numId w:val="11"/>
        </w:numPr>
        <w:rPr>
          <w:rFonts w:eastAsia="SimSun"/>
          <w:b/>
          <w:lang w:eastAsia="zh-CN"/>
        </w:rPr>
      </w:pPr>
      <w:r w:rsidRPr="007128A0">
        <w:rPr>
          <w:rFonts w:eastAsia="SimSun"/>
          <w:b/>
          <w:lang w:eastAsia="zh-CN"/>
        </w:rPr>
        <w:t>Proposal 2: for TDD, a gap period for DL-UL switching may be either defined as part of the valid DL-UL symbol combinations for a slot or implicitly with an Unknown symbol</w:t>
      </w:r>
      <w:r>
        <w:rPr>
          <w:rFonts w:eastAsia="SimSun"/>
          <w:b/>
          <w:lang w:eastAsia="zh-CN"/>
        </w:rPr>
        <w:t>.</w:t>
      </w:r>
    </w:p>
    <w:p w:rsidR="00251B08" w:rsidRDefault="00251B08" w:rsidP="00251B08">
      <w:pPr>
        <w:pStyle w:val="a0"/>
        <w:numPr>
          <w:ilvl w:val="0"/>
          <w:numId w:val="11"/>
        </w:numPr>
        <w:rPr>
          <w:rFonts w:eastAsia="SimSun"/>
          <w:lang w:eastAsia="zh-CN"/>
        </w:rPr>
      </w:pPr>
      <w:r w:rsidRPr="00C44FCE">
        <w:rPr>
          <w:rFonts w:eastAsia="SimSun" w:hint="eastAsia"/>
          <w:b/>
          <w:lang w:eastAsia="zh-CN"/>
        </w:rPr>
        <w:t xml:space="preserve">Proposal </w:t>
      </w:r>
      <w:r>
        <w:rPr>
          <w:rFonts w:eastAsia="SimSun"/>
          <w:b/>
          <w:lang w:eastAsia="zh-CN"/>
        </w:rPr>
        <w:t>3</w:t>
      </w:r>
      <w:r>
        <w:rPr>
          <w:rFonts w:eastAsia="SimSun" w:hint="eastAsia"/>
          <w:b/>
          <w:lang w:eastAsia="zh-CN"/>
        </w:rPr>
        <w:t xml:space="preserve">: </w:t>
      </w:r>
      <w:r w:rsidR="0039177B" w:rsidRPr="0039177B">
        <w:rPr>
          <w:rFonts w:eastAsia="SimSun"/>
          <w:b/>
          <w:lang w:eastAsia="zh-CN"/>
        </w:rPr>
        <w:t>If a UE is configured to monitor for SFI for a serving cell, the UE shall assume that a detected SFI is applicable across the serving cell regardless of the number of bandwidth parts and/or numerologies configured in the cell.</w:t>
      </w:r>
    </w:p>
    <w:p w:rsidR="00251B08" w:rsidRDefault="00251B08" w:rsidP="00251B08">
      <w:pPr>
        <w:pStyle w:val="a0"/>
        <w:numPr>
          <w:ilvl w:val="0"/>
          <w:numId w:val="11"/>
        </w:numPr>
        <w:rPr>
          <w:rFonts w:eastAsia="SimSun"/>
          <w:b/>
          <w:lang w:eastAsia="zh-CN"/>
        </w:rPr>
      </w:pPr>
      <w:r w:rsidRPr="002C4EA6">
        <w:rPr>
          <w:rFonts w:eastAsia="SimSun"/>
          <w:b/>
          <w:lang w:eastAsia="zh-CN"/>
        </w:rPr>
        <w:t>Proposal 4: a UE may be configured to monitor for group common PDCCH transmitted in a first serving cell and carrying SFI for a second serving cell.</w:t>
      </w:r>
    </w:p>
    <w:p w:rsidR="00251B08" w:rsidRPr="00251B08" w:rsidRDefault="00251B08" w:rsidP="00251B08">
      <w:pPr>
        <w:pStyle w:val="a0"/>
        <w:numPr>
          <w:ilvl w:val="0"/>
          <w:numId w:val="11"/>
        </w:numPr>
        <w:rPr>
          <w:rFonts w:eastAsia="SimSun"/>
          <w:b/>
          <w:lang w:eastAsia="zh-CN"/>
        </w:rPr>
      </w:pPr>
      <w:r w:rsidRPr="00251B08">
        <w:rPr>
          <w:b/>
        </w:rPr>
        <w:t>Proposal 5: The duration of one or more control resource sets is not dynamically signaled in the group-common PDCCH carrying SFI.</w:t>
      </w:r>
    </w:p>
    <w:p w:rsidR="00251B08" w:rsidRPr="00251B08" w:rsidRDefault="00251B08" w:rsidP="00251B08">
      <w:pPr>
        <w:pStyle w:val="a0"/>
        <w:numPr>
          <w:ilvl w:val="0"/>
          <w:numId w:val="11"/>
        </w:numPr>
        <w:rPr>
          <w:rFonts w:eastAsia="SimSun"/>
          <w:b/>
          <w:lang w:eastAsia="zh-CN"/>
        </w:rPr>
      </w:pPr>
      <w:r w:rsidRPr="00251B08">
        <w:rPr>
          <w:b/>
        </w:rPr>
        <w:t>Proposal 6: consider group-wide enabling/disabling of monitoring occasions within a slot using the group-common PDCCH</w:t>
      </w:r>
      <w:r>
        <w:rPr>
          <w:b/>
        </w:rPr>
        <w:t>.</w:t>
      </w:r>
    </w:p>
    <w:p w:rsidR="00251B08" w:rsidRPr="00251B08" w:rsidRDefault="00251B08" w:rsidP="00251B08">
      <w:pPr>
        <w:pStyle w:val="a0"/>
        <w:numPr>
          <w:ilvl w:val="0"/>
          <w:numId w:val="11"/>
        </w:numPr>
        <w:rPr>
          <w:rFonts w:eastAsia="SimSun"/>
          <w:lang w:eastAsia="zh-CN"/>
        </w:rPr>
      </w:pPr>
      <w:r w:rsidRPr="00631D95">
        <w:rPr>
          <w:b/>
        </w:rPr>
        <w:t>Proposal</w:t>
      </w:r>
      <w:r>
        <w:rPr>
          <w:b/>
        </w:rPr>
        <w:t xml:space="preserve"> 7</w:t>
      </w:r>
      <w:r w:rsidRPr="00631D95">
        <w:rPr>
          <w:b/>
        </w:rPr>
        <w:t>:</w:t>
      </w:r>
      <w:r>
        <w:rPr>
          <w:b/>
        </w:rPr>
        <w:t xml:space="preserve"> Other group-common control information types may be transmitted on the NR-PDCCH in </w:t>
      </w:r>
      <w:r w:rsidR="00DB3675">
        <w:rPr>
          <w:b/>
        </w:rPr>
        <w:t>type</w:t>
      </w:r>
      <w:r>
        <w:rPr>
          <w:b/>
        </w:rPr>
        <w:t>-specific DCI formats.</w:t>
      </w:r>
    </w:p>
    <w:p w:rsidR="00054B92" w:rsidRPr="00DE501E" w:rsidRDefault="00054B92" w:rsidP="00DE501E">
      <w:pPr>
        <w:pStyle w:val="a0"/>
        <w:rPr>
          <w:rFonts w:eastAsia="SimSun"/>
          <w:b/>
          <w:lang w:eastAsia="zh-CN"/>
        </w:rPr>
      </w:pPr>
    </w:p>
    <w:p w:rsidR="00830F4E" w:rsidRPr="0052231C" w:rsidRDefault="00830F4E" w:rsidP="00E9523A">
      <w:pPr>
        <w:pStyle w:val="1"/>
      </w:pPr>
      <w:r w:rsidRPr="0052231C">
        <w:lastRenderedPageBreak/>
        <w:t>References</w:t>
      </w:r>
    </w:p>
    <w:p w:rsidR="00A35236" w:rsidRDefault="00A35236" w:rsidP="00445B30">
      <w:pPr>
        <w:pStyle w:val="a0"/>
        <w:numPr>
          <w:ilvl w:val="1"/>
          <w:numId w:val="1"/>
        </w:numPr>
        <w:tabs>
          <w:tab w:val="clear" w:pos="1545"/>
          <w:tab w:val="left" w:pos="0"/>
          <w:tab w:val="left" w:pos="540"/>
        </w:tabs>
        <w:ind w:left="540" w:hangingChars="270" w:hanging="540"/>
        <w:rPr>
          <w:rFonts w:eastAsia="SimSun"/>
          <w:noProof/>
          <w:lang w:eastAsia="zh-CN"/>
        </w:rPr>
      </w:pPr>
      <w:bookmarkStart w:id="5" w:name="_Ref489862339"/>
      <w:bookmarkStart w:id="6" w:name="_Ref484795456"/>
      <w:bookmarkStart w:id="7" w:name="_Ref473632999"/>
      <w:bookmarkStart w:id="8" w:name="_Ref477464042"/>
      <w:bookmarkStart w:id="9" w:name="_Ref481506070"/>
      <w:bookmarkStart w:id="10" w:name="_Ref484777052"/>
      <w:r>
        <w:rPr>
          <w:rFonts w:eastAsia="SimSun"/>
          <w:noProof/>
          <w:lang w:eastAsia="zh-CN"/>
        </w:rPr>
        <w:t>R1-1710968, “</w:t>
      </w:r>
      <w:r w:rsidRPr="00A35236">
        <w:rPr>
          <w:rFonts w:eastAsia="SimSun"/>
          <w:noProof/>
          <w:lang w:eastAsia="zh-CN"/>
        </w:rPr>
        <w:t>Summary of [89-20] email discussion on Group-common PDCCH for NR</w:t>
      </w:r>
      <w:r>
        <w:rPr>
          <w:rFonts w:eastAsia="SimSun"/>
          <w:noProof/>
          <w:lang w:eastAsia="zh-CN"/>
        </w:rPr>
        <w:t>”, CATT, RAN1 #AH_NR2</w:t>
      </w:r>
      <w:bookmarkEnd w:id="5"/>
    </w:p>
    <w:p w:rsidR="00F71EC6" w:rsidRDefault="00F71EC6" w:rsidP="00445B30">
      <w:pPr>
        <w:pStyle w:val="a0"/>
        <w:numPr>
          <w:ilvl w:val="1"/>
          <w:numId w:val="1"/>
        </w:numPr>
        <w:tabs>
          <w:tab w:val="clear" w:pos="1545"/>
          <w:tab w:val="left" w:pos="0"/>
          <w:tab w:val="left" w:pos="540"/>
        </w:tabs>
        <w:ind w:left="540" w:hangingChars="270" w:hanging="540"/>
        <w:rPr>
          <w:rFonts w:eastAsia="SimSun"/>
          <w:noProof/>
          <w:lang w:eastAsia="zh-CN"/>
        </w:rPr>
      </w:pPr>
      <w:bookmarkStart w:id="11" w:name="_Ref489862743"/>
      <w:r>
        <w:rPr>
          <w:rFonts w:eastAsia="SimSun"/>
          <w:noProof/>
          <w:lang w:eastAsia="zh-CN"/>
        </w:rPr>
        <w:t>R1-171</w:t>
      </w:r>
      <w:r w:rsidR="00173557">
        <w:rPr>
          <w:rFonts w:eastAsia="SimSun"/>
          <w:noProof/>
          <w:lang w:eastAsia="zh-CN"/>
        </w:rPr>
        <w:t>2396</w:t>
      </w:r>
      <w:r>
        <w:rPr>
          <w:rFonts w:eastAsia="SimSun"/>
          <w:noProof/>
          <w:lang w:eastAsia="zh-CN"/>
        </w:rPr>
        <w:t>, “</w:t>
      </w:r>
      <w:r w:rsidRPr="00F71EC6">
        <w:rPr>
          <w:rFonts w:eastAsia="SimSun"/>
          <w:noProof/>
          <w:lang w:eastAsia="zh-CN"/>
        </w:rPr>
        <w:t>Channel structure for group-common PDCCH</w:t>
      </w:r>
      <w:r>
        <w:rPr>
          <w:rFonts w:eastAsia="SimSun"/>
          <w:noProof/>
          <w:lang w:eastAsia="zh-CN"/>
        </w:rPr>
        <w:t xml:space="preserve">”, CATT, RAN1 </w:t>
      </w:r>
      <w:r w:rsidR="008146F6">
        <w:rPr>
          <w:rFonts w:eastAsia="SimSun"/>
          <w:noProof/>
          <w:lang w:eastAsia="zh-CN"/>
        </w:rPr>
        <w:t>#</w:t>
      </w:r>
      <w:bookmarkEnd w:id="6"/>
      <w:r w:rsidR="00173557">
        <w:rPr>
          <w:rFonts w:eastAsia="SimSun"/>
          <w:noProof/>
          <w:lang w:eastAsia="zh-CN"/>
        </w:rPr>
        <w:t>90</w:t>
      </w:r>
      <w:bookmarkEnd w:id="11"/>
    </w:p>
    <w:p w:rsidR="00F71EC6" w:rsidRDefault="00173557" w:rsidP="00445B30">
      <w:pPr>
        <w:pStyle w:val="a0"/>
        <w:numPr>
          <w:ilvl w:val="1"/>
          <w:numId w:val="1"/>
        </w:numPr>
        <w:tabs>
          <w:tab w:val="clear" w:pos="1545"/>
          <w:tab w:val="left" w:pos="0"/>
          <w:tab w:val="left" w:pos="540"/>
        </w:tabs>
        <w:ind w:left="540" w:hangingChars="270" w:hanging="540"/>
        <w:rPr>
          <w:rFonts w:eastAsia="SimSun"/>
          <w:noProof/>
          <w:lang w:eastAsia="zh-CN"/>
        </w:rPr>
      </w:pPr>
      <w:bookmarkStart w:id="12" w:name="_Ref484795460"/>
      <w:bookmarkStart w:id="13" w:name="_Ref489862753"/>
      <w:r>
        <w:rPr>
          <w:rFonts w:eastAsia="SimSun"/>
          <w:noProof/>
          <w:lang w:eastAsia="zh-CN"/>
        </w:rPr>
        <w:t>R1-1712398</w:t>
      </w:r>
      <w:r w:rsidR="00F71EC6">
        <w:rPr>
          <w:rFonts w:eastAsia="SimSun"/>
          <w:noProof/>
          <w:lang w:eastAsia="zh-CN"/>
        </w:rPr>
        <w:t>, “</w:t>
      </w:r>
      <w:r w:rsidR="00F71EC6" w:rsidRPr="00F71EC6">
        <w:rPr>
          <w:rFonts w:eastAsia="SimSun"/>
          <w:noProof/>
          <w:lang w:eastAsia="zh-CN"/>
        </w:rPr>
        <w:t>Configuration and monitoring of the group-common PDCCH</w:t>
      </w:r>
      <w:r w:rsidR="00F71EC6">
        <w:rPr>
          <w:rFonts w:eastAsia="SimSun"/>
          <w:noProof/>
          <w:lang w:eastAsia="zh-CN"/>
        </w:rPr>
        <w:t>”</w:t>
      </w:r>
      <w:r w:rsidR="00F71EC6" w:rsidRPr="00F71EC6">
        <w:rPr>
          <w:rFonts w:eastAsia="SimSun"/>
          <w:noProof/>
          <w:lang w:eastAsia="zh-CN"/>
        </w:rPr>
        <w:t xml:space="preserve"> </w:t>
      </w:r>
      <w:r w:rsidR="00F71EC6">
        <w:rPr>
          <w:rFonts w:eastAsia="SimSun"/>
          <w:noProof/>
          <w:lang w:eastAsia="zh-CN"/>
        </w:rPr>
        <w:t xml:space="preserve">, CATT, RAN1 </w:t>
      </w:r>
      <w:r w:rsidR="008146F6">
        <w:rPr>
          <w:rFonts w:eastAsia="SimSun"/>
          <w:noProof/>
          <w:lang w:eastAsia="zh-CN"/>
        </w:rPr>
        <w:t>#</w:t>
      </w:r>
      <w:bookmarkEnd w:id="12"/>
      <w:r>
        <w:rPr>
          <w:rFonts w:eastAsia="SimSun"/>
          <w:noProof/>
          <w:lang w:eastAsia="zh-CN"/>
        </w:rPr>
        <w:t>90</w:t>
      </w:r>
      <w:bookmarkEnd w:id="13"/>
    </w:p>
    <w:bookmarkEnd w:id="7"/>
    <w:bookmarkEnd w:id="8"/>
    <w:bookmarkEnd w:id="9"/>
    <w:bookmarkEnd w:id="10"/>
    <w:p w:rsidR="005F793B" w:rsidRDefault="005F793B" w:rsidP="005F793B">
      <w:pPr>
        <w:pStyle w:val="a0"/>
        <w:tabs>
          <w:tab w:val="left" w:pos="0"/>
          <w:tab w:val="left" w:pos="540"/>
        </w:tabs>
        <w:rPr>
          <w:rFonts w:eastAsia="SimSun"/>
          <w:noProof/>
          <w:lang w:eastAsia="zh-CN"/>
        </w:rPr>
      </w:pPr>
    </w:p>
    <w:sectPr w:rsidR="005F793B"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2A2" w:rsidRDefault="002B12A2" w:rsidP="00E9523A">
      <w:pPr>
        <w:ind w:left="-2"/>
      </w:pPr>
      <w:r>
        <w:separator/>
      </w:r>
    </w:p>
  </w:endnote>
  <w:endnote w:type="continuationSeparator" w:id="0">
    <w:p w:rsidR="002B12A2" w:rsidRDefault="002B12A2"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2A2" w:rsidRDefault="002B12A2" w:rsidP="00E9523A">
      <w:pPr>
        <w:ind w:left="-2"/>
      </w:pPr>
      <w:r>
        <w:separator/>
      </w:r>
    </w:p>
  </w:footnote>
  <w:footnote w:type="continuationSeparator" w:id="0">
    <w:p w:rsidR="002B12A2" w:rsidRDefault="002B12A2"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F6D" w:rsidRPr="001A329E" w:rsidRDefault="00BE3F6D"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3">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4">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4D1A60"/>
    <w:multiLevelType w:val="hybridMultilevel"/>
    <w:tmpl w:val="189A5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4"/>
  </w:num>
  <w:num w:numId="3">
    <w:abstractNumId w:val="8"/>
  </w:num>
  <w:num w:numId="4">
    <w:abstractNumId w:val="16"/>
  </w:num>
  <w:num w:numId="5">
    <w:abstractNumId w:val="7"/>
  </w:num>
  <w:num w:numId="6">
    <w:abstractNumId w:val="10"/>
  </w:num>
  <w:num w:numId="7">
    <w:abstractNumId w:val="1"/>
  </w:num>
  <w:num w:numId="8">
    <w:abstractNumId w:val="18"/>
  </w:num>
  <w:num w:numId="9">
    <w:abstractNumId w:val="5"/>
  </w:num>
  <w:num w:numId="10">
    <w:abstractNumId w:val="9"/>
  </w:num>
  <w:num w:numId="11">
    <w:abstractNumId w:val="17"/>
  </w:num>
  <w:num w:numId="12">
    <w:abstractNumId w:val="6"/>
  </w:num>
  <w:num w:numId="13">
    <w:abstractNumId w:val="19"/>
  </w:num>
  <w:num w:numId="14">
    <w:abstractNumId w:val="13"/>
  </w:num>
  <w:num w:numId="15">
    <w:abstractNumId w:val="3"/>
  </w:num>
  <w:num w:numId="16">
    <w:abstractNumId w:val="2"/>
  </w:num>
  <w:num w:numId="17">
    <w:abstractNumId w:val="15"/>
  </w:num>
  <w:num w:numId="18">
    <w:abstractNumId w:val="11"/>
  </w:num>
  <w:num w:numId="19">
    <w:abstractNumId w:val="4"/>
  </w:num>
  <w:num w:numId="20">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40994"/>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6060"/>
    <w:rsid w:val="000868E5"/>
    <w:rsid w:val="00087487"/>
    <w:rsid w:val="0008757D"/>
    <w:rsid w:val="0008760D"/>
    <w:rsid w:val="00090922"/>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A17"/>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5FE"/>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E6B"/>
    <w:rsid w:val="00163B0E"/>
    <w:rsid w:val="00164873"/>
    <w:rsid w:val="001651CB"/>
    <w:rsid w:val="0016750A"/>
    <w:rsid w:val="00170253"/>
    <w:rsid w:val="001708AD"/>
    <w:rsid w:val="00171D29"/>
    <w:rsid w:val="00172723"/>
    <w:rsid w:val="00172A27"/>
    <w:rsid w:val="00172D3A"/>
    <w:rsid w:val="00173557"/>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E7B3C"/>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D69"/>
    <w:rsid w:val="00222E3A"/>
    <w:rsid w:val="00223C5E"/>
    <w:rsid w:val="00224F2F"/>
    <w:rsid w:val="00224FA3"/>
    <w:rsid w:val="002274B4"/>
    <w:rsid w:val="00230796"/>
    <w:rsid w:val="00230EC2"/>
    <w:rsid w:val="002315DD"/>
    <w:rsid w:val="00231D7B"/>
    <w:rsid w:val="00231E88"/>
    <w:rsid w:val="0023202A"/>
    <w:rsid w:val="00232229"/>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0"/>
    <w:rsid w:val="00245ADF"/>
    <w:rsid w:val="002462C7"/>
    <w:rsid w:val="002465F1"/>
    <w:rsid w:val="00246A27"/>
    <w:rsid w:val="00247863"/>
    <w:rsid w:val="002516FF"/>
    <w:rsid w:val="00251734"/>
    <w:rsid w:val="0025182A"/>
    <w:rsid w:val="002518D9"/>
    <w:rsid w:val="00251B08"/>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1BA0"/>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5E7A"/>
    <w:rsid w:val="002A60C0"/>
    <w:rsid w:val="002A64E2"/>
    <w:rsid w:val="002A6F54"/>
    <w:rsid w:val="002A7BAB"/>
    <w:rsid w:val="002A7C52"/>
    <w:rsid w:val="002B07A8"/>
    <w:rsid w:val="002B1187"/>
    <w:rsid w:val="002B12A2"/>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4EA6"/>
    <w:rsid w:val="002C5021"/>
    <w:rsid w:val="002C521B"/>
    <w:rsid w:val="002C5306"/>
    <w:rsid w:val="002C5951"/>
    <w:rsid w:val="002C5BA9"/>
    <w:rsid w:val="002C5C6A"/>
    <w:rsid w:val="002C6DE9"/>
    <w:rsid w:val="002C745E"/>
    <w:rsid w:val="002D0A16"/>
    <w:rsid w:val="002D0D81"/>
    <w:rsid w:val="002D1B8B"/>
    <w:rsid w:val="002D29A3"/>
    <w:rsid w:val="002D35F7"/>
    <w:rsid w:val="002D36D9"/>
    <w:rsid w:val="002D3F8C"/>
    <w:rsid w:val="002D508C"/>
    <w:rsid w:val="002D6CA7"/>
    <w:rsid w:val="002D6D27"/>
    <w:rsid w:val="002D7310"/>
    <w:rsid w:val="002D7406"/>
    <w:rsid w:val="002D7918"/>
    <w:rsid w:val="002E0A17"/>
    <w:rsid w:val="002E0E29"/>
    <w:rsid w:val="002E0E81"/>
    <w:rsid w:val="002E0F24"/>
    <w:rsid w:val="002E1D6F"/>
    <w:rsid w:val="002E1F7B"/>
    <w:rsid w:val="002E4626"/>
    <w:rsid w:val="002E4D82"/>
    <w:rsid w:val="002E608C"/>
    <w:rsid w:val="002E7E65"/>
    <w:rsid w:val="002F0B10"/>
    <w:rsid w:val="002F1387"/>
    <w:rsid w:val="002F1494"/>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78F"/>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075"/>
    <w:rsid w:val="00325385"/>
    <w:rsid w:val="003254CB"/>
    <w:rsid w:val="0032550C"/>
    <w:rsid w:val="00326898"/>
    <w:rsid w:val="003270A3"/>
    <w:rsid w:val="00327AD4"/>
    <w:rsid w:val="00327D38"/>
    <w:rsid w:val="0033010F"/>
    <w:rsid w:val="0033158B"/>
    <w:rsid w:val="00331B7D"/>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77B"/>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2DC"/>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0DF5"/>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25C9"/>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3DD8"/>
    <w:rsid w:val="004440E2"/>
    <w:rsid w:val="004445B2"/>
    <w:rsid w:val="00444964"/>
    <w:rsid w:val="004454AC"/>
    <w:rsid w:val="00445B30"/>
    <w:rsid w:val="00446D36"/>
    <w:rsid w:val="00447781"/>
    <w:rsid w:val="004502CB"/>
    <w:rsid w:val="004504DE"/>
    <w:rsid w:val="00450F34"/>
    <w:rsid w:val="00451296"/>
    <w:rsid w:val="00451715"/>
    <w:rsid w:val="00452083"/>
    <w:rsid w:val="00452BE0"/>
    <w:rsid w:val="0045327B"/>
    <w:rsid w:val="00453415"/>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97D68"/>
    <w:rsid w:val="004A0478"/>
    <w:rsid w:val="004A0FAA"/>
    <w:rsid w:val="004A0FCD"/>
    <w:rsid w:val="004A1251"/>
    <w:rsid w:val="004A12E4"/>
    <w:rsid w:val="004A1994"/>
    <w:rsid w:val="004A1B61"/>
    <w:rsid w:val="004A2203"/>
    <w:rsid w:val="004A3B96"/>
    <w:rsid w:val="004A41E2"/>
    <w:rsid w:val="004A5655"/>
    <w:rsid w:val="004A6474"/>
    <w:rsid w:val="004A6F61"/>
    <w:rsid w:val="004A7649"/>
    <w:rsid w:val="004A7AFB"/>
    <w:rsid w:val="004B1DFF"/>
    <w:rsid w:val="004B4A1A"/>
    <w:rsid w:val="004B510E"/>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E14A9"/>
    <w:rsid w:val="005E14DA"/>
    <w:rsid w:val="005E591D"/>
    <w:rsid w:val="005E5F9E"/>
    <w:rsid w:val="005E6581"/>
    <w:rsid w:val="005E7304"/>
    <w:rsid w:val="005E7E22"/>
    <w:rsid w:val="005F00D7"/>
    <w:rsid w:val="005F0567"/>
    <w:rsid w:val="005F05FD"/>
    <w:rsid w:val="005F0BCA"/>
    <w:rsid w:val="005F22F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589"/>
    <w:rsid w:val="006F2083"/>
    <w:rsid w:val="006F2370"/>
    <w:rsid w:val="006F25AE"/>
    <w:rsid w:val="006F406A"/>
    <w:rsid w:val="006F48CE"/>
    <w:rsid w:val="006F4AE6"/>
    <w:rsid w:val="006F53D3"/>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28A0"/>
    <w:rsid w:val="00712AC7"/>
    <w:rsid w:val="007136AE"/>
    <w:rsid w:val="0071380F"/>
    <w:rsid w:val="00714710"/>
    <w:rsid w:val="00721B13"/>
    <w:rsid w:val="00721F81"/>
    <w:rsid w:val="0072302A"/>
    <w:rsid w:val="007235DC"/>
    <w:rsid w:val="007236A6"/>
    <w:rsid w:val="00723B5F"/>
    <w:rsid w:val="00723BDD"/>
    <w:rsid w:val="00723C2E"/>
    <w:rsid w:val="007246E9"/>
    <w:rsid w:val="00724B55"/>
    <w:rsid w:val="00725679"/>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0F3"/>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509"/>
    <w:rsid w:val="007B0EC2"/>
    <w:rsid w:val="007B182F"/>
    <w:rsid w:val="007B1ACD"/>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6F6"/>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44A5"/>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9692A"/>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1252"/>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16"/>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46A"/>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A42"/>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2E08"/>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651"/>
    <w:rsid w:val="009C4729"/>
    <w:rsid w:val="009C57C6"/>
    <w:rsid w:val="009C580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0A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167A5"/>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5236"/>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4B27"/>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4F85"/>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85E"/>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2408"/>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2CE"/>
    <w:rsid w:val="00B943E2"/>
    <w:rsid w:val="00B95201"/>
    <w:rsid w:val="00B95F1F"/>
    <w:rsid w:val="00B962DA"/>
    <w:rsid w:val="00B9657E"/>
    <w:rsid w:val="00B970E0"/>
    <w:rsid w:val="00B9791C"/>
    <w:rsid w:val="00B97D24"/>
    <w:rsid w:val="00BA1741"/>
    <w:rsid w:val="00BA20F6"/>
    <w:rsid w:val="00BA352E"/>
    <w:rsid w:val="00BA3F27"/>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3F6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371"/>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21D"/>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35C4"/>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1AD1"/>
    <w:rsid w:val="00D02E26"/>
    <w:rsid w:val="00D03042"/>
    <w:rsid w:val="00D03119"/>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1F37"/>
    <w:rsid w:val="00D32CA5"/>
    <w:rsid w:val="00D33AC1"/>
    <w:rsid w:val="00D35B2F"/>
    <w:rsid w:val="00D36E52"/>
    <w:rsid w:val="00D37A1C"/>
    <w:rsid w:val="00D413A7"/>
    <w:rsid w:val="00D41482"/>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63A2"/>
    <w:rsid w:val="00D672B9"/>
    <w:rsid w:val="00D67AF4"/>
    <w:rsid w:val="00D724D0"/>
    <w:rsid w:val="00D7328D"/>
    <w:rsid w:val="00D74FD0"/>
    <w:rsid w:val="00D763D4"/>
    <w:rsid w:val="00D774E8"/>
    <w:rsid w:val="00D8015B"/>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3675"/>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7BE"/>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38CC"/>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3DBF"/>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22D7"/>
    <w:rsid w:val="00F43DC1"/>
    <w:rsid w:val="00F4421C"/>
    <w:rsid w:val="00F44411"/>
    <w:rsid w:val="00F44F8A"/>
    <w:rsid w:val="00F45F0C"/>
    <w:rsid w:val="00F46DE7"/>
    <w:rsid w:val="00F47DFB"/>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1EC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3FE2"/>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0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1C30C-947C-4CF0-AAFE-197B19FE9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2484</Words>
  <Characters>14162</Characters>
  <Application>Microsoft Office Word</Application>
  <DocSecurity>0</DocSecurity>
  <PresentationFormat/>
  <Lines>118</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18</cp:revision>
  <dcterms:created xsi:type="dcterms:W3CDTF">2017-08-07T05:38:00Z</dcterms:created>
  <dcterms:modified xsi:type="dcterms:W3CDTF">2017-08-12T05:08:00Z</dcterms:modified>
</cp:coreProperties>
</file>