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81F8FF7"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7E452D">
        <w:t>1</w:t>
      </w:r>
      <w:r w:rsidR="00A85C6C" w:rsidRPr="007E452D">
        <w:t>7</w:t>
      </w:r>
      <w:r w:rsidR="00356A14" w:rsidRPr="007E452D">
        <w:t>0</w:t>
      </w:r>
      <w:r w:rsidR="007E452D" w:rsidRPr="007E452D">
        <w:t>8673</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A411446" w:rsidR="00E90E49" w:rsidRPr="00327997" w:rsidRDefault="003D3C45" w:rsidP="00327997">
      <w:pPr>
        <w:pStyle w:val="3GPPHeader"/>
      </w:pPr>
      <w:r w:rsidRPr="00327997">
        <w:t>Title:</w:t>
      </w:r>
      <w:r w:rsidR="00E90E49" w:rsidRPr="00327997">
        <w:tab/>
      </w:r>
      <w:r w:rsidR="0047278A" w:rsidRPr="007E452D">
        <w:rPr>
          <w:rFonts w:eastAsia="MS Mincho"/>
          <w:iCs/>
          <w:lang w:val="en-US" w:eastAsia="ja-JP"/>
        </w:rPr>
        <w:t>On Multi-TRP and Multi-panel transmission</w:t>
      </w:r>
    </w:p>
    <w:p w14:paraId="2D554DE3" w14:textId="6D731E33" w:rsidR="00952A24" w:rsidRPr="00327997" w:rsidRDefault="00952A24" w:rsidP="00327997">
      <w:pPr>
        <w:pStyle w:val="3GPPHeader"/>
      </w:pPr>
      <w:r w:rsidRPr="00327997">
        <w:t>Agenda Item:</w:t>
      </w:r>
      <w:r w:rsidRPr="00327997">
        <w:tab/>
      </w:r>
      <w:r w:rsidR="0047278A">
        <w:t>7.1.2.1.7</w:t>
      </w:r>
    </w:p>
    <w:p w14:paraId="3C99C89E" w14:textId="5F23F590"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1907B98" w14:textId="7404CA23" w:rsidR="0047278A" w:rsidRDefault="0047278A" w:rsidP="00E5689D">
      <w:pPr>
        <w:pStyle w:val="3GPPHeader"/>
      </w:pPr>
    </w:p>
    <w:p w14:paraId="76CB9F6A" w14:textId="77777777" w:rsidR="0047278A" w:rsidRPr="00CE0424" w:rsidRDefault="0047278A" w:rsidP="00E5689D">
      <w:pPr>
        <w:pStyle w:val="3GPPHeader"/>
      </w:pPr>
    </w:p>
    <w:p w14:paraId="72B2365A" w14:textId="77777777" w:rsidR="00E90E49" w:rsidRPr="00CE0424" w:rsidRDefault="007F75D5" w:rsidP="00CE0424">
      <w:pPr>
        <w:pStyle w:val="Heading1"/>
      </w:pPr>
      <w:r>
        <w:t>Introduction</w:t>
      </w:r>
    </w:p>
    <w:p w14:paraId="39DC1C8C" w14:textId="706DDFC0" w:rsidR="00BF7642" w:rsidRPr="00E9149C" w:rsidRDefault="00E64B80" w:rsidP="00BF7642">
      <w:pPr>
        <w:pStyle w:val="BodyText"/>
      </w:pPr>
      <w:r>
        <w:t>In RAN1#88</w:t>
      </w:r>
      <w:r w:rsidR="00356A14">
        <w:t>b</w:t>
      </w:r>
      <w:r w:rsidR="00BF7642">
        <w:t>, t</w:t>
      </w:r>
      <w:r w:rsidR="0047278A">
        <w:t>he following agreement was made regarding multi-TRP/panel transmission:</w:t>
      </w:r>
    </w:p>
    <w:p w14:paraId="4BE564BC" w14:textId="77777777" w:rsidR="0047278A" w:rsidRPr="00B0486E" w:rsidRDefault="0047278A" w:rsidP="0047278A">
      <w:pPr>
        <w:rPr>
          <w:rFonts w:eastAsia="MS Mincho"/>
          <w:lang w:val="en-US" w:eastAsia="ja-JP"/>
        </w:rPr>
      </w:pPr>
      <w:r w:rsidRPr="00B0486E">
        <w:rPr>
          <w:rFonts w:eastAsia="MS Mincho"/>
          <w:highlight w:val="green"/>
          <w:lang w:val="en-US" w:eastAsia="ja-JP"/>
        </w:rPr>
        <w:t>Agreements:</w:t>
      </w:r>
    </w:p>
    <w:p w14:paraId="3A565B56" w14:textId="77777777" w:rsidR="0047278A" w:rsidRPr="00B0486E" w:rsidRDefault="0047278A" w:rsidP="0047278A">
      <w:pPr>
        <w:numPr>
          <w:ilvl w:val="0"/>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 xml:space="preserve">Support NR reception of at least one but no more than two of the following </w:t>
      </w:r>
    </w:p>
    <w:p w14:paraId="1DFAC052"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Single NR-PDCCH corresponding to the same NR-PDSCH data layers from multiple TRPs within the same carrier</w:t>
      </w:r>
    </w:p>
    <w:p w14:paraId="37B0C79B" w14:textId="77777777" w:rsidR="0047278A" w:rsidRPr="00B0486E" w:rsidRDefault="0047278A" w:rsidP="0047278A">
      <w:pPr>
        <w:numPr>
          <w:ilvl w:val="2"/>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Note that: this is intended to have spec impact</w:t>
      </w:r>
    </w:p>
    <w:p w14:paraId="13E65988"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 xml:space="preserve">Single NR-PDCCH corresponding </w:t>
      </w:r>
      <w:proofErr w:type="gramStart"/>
      <w:r w:rsidRPr="00B0486E">
        <w:rPr>
          <w:rFonts w:eastAsia="MS Mincho"/>
          <w:lang w:val="en-US" w:eastAsia="ja-JP"/>
        </w:rPr>
        <w:t>to</w:t>
      </w:r>
      <w:proofErr w:type="gramEnd"/>
      <w:r w:rsidRPr="00B0486E">
        <w:rPr>
          <w:rFonts w:eastAsia="MS Mincho"/>
          <w:lang w:val="en-US" w:eastAsia="ja-JP"/>
        </w:rPr>
        <w:t xml:space="preserve"> different NR-PDSCH data layers from multiple TRPs within the same carrier</w:t>
      </w:r>
    </w:p>
    <w:p w14:paraId="0705702E"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 xml:space="preserve">Multiple NR-PDCCH corresponding </w:t>
      </w:r>
      <w:proofErr w:type="gramStart"/>
      <w:r w:rsidRPr="00B0486E">
        <w:rPr>
          <w:rFonts w:eastAsia="MS Mincho"/>
          <w:lang w:val="en-US" w:eastAsia="ja-JP"/>
        </w:rPr>
        <w:t>to</w:t>
      </w:r>
      <w:proofErr w:type="gramEnd"/>
      <w:r w:rsidRPr="00B0486E">
        <w:rPr>
          <w:rFonts w:eastAsia="MS Mincho"/>
          <w:lang w:val="en-US" w:eastAsia="ja-JP"/>
        </w:rPr>
        <w:t xml:space="preserve"> different NR-PDSCH data layers from multiple TRPs within the same carrier </w:t>
      </w:r>
    </w:p>
    <w:p w14:paraId="76AD49E8" w14:textId="77777777" w:rsidR="0047278A" w:rsidRPr="00B0486E" w:rsidRDefault="0047278A" w:rsidP="0047278A">
      <w:pPr>
        <w:numPr>
          <w:ilvl w:val="0"/>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 xml:space="preserve">In case of multiple NR-PDCCH, consider the following for the reduction </w:t>
      </w:r>
      <w:proofErr w:type="gramStart"/>
      <w:r w:rsidRPr="00B0486E">
        <w:rPr>
          <w:rFonts w:eastAsia="MS Mincho"/>
          <w:lang w:val="en-US" w:eastAsia="ja-JP"/>
        </w:rPr>
        <w:t>of  UE</w:t>
      </w:r>
      <w:proofErr w:type="gramEnd"/>
      <w:r w:rsidRPr="00B0486E">
        <w:rPr>
          <w:rFonts w:eastAsia="MS Mincho"/>
          <w:lang w:val="en-US" w:eastAsia="ja-JP"/>
        </w:rPr>
        <w:t xml:space="preserve"> PDCCH detection complexity. </w:t>
      </w:r>
    </w:p>
    <w:p w14:paraId="70F94822"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 xml:space="preserve">Note the following may or may not have RAN1 specification impact. </w:t>
      </w:r>
    </w:p>
    <w:p w14:paraId="26512E20"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val="en-US" w:eastAsia="ja-JP"/>
        </w:rPr>
        <w:t>Note that different NR-PDSCH data layers from single TRP is special case.</w:t>
      </w:r>
    </w:p>
    <w:p w14:paraId="13633926"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eastAsia="ja-JP"/>
        </w:rPr>
        <w:t>The alignment of PDCCH generation rules among TRPs, e.g. one identical control resource set across TRPs</w:t>
      </w:r>
    </w:p>
    <w:p w14:paraId="60943122"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eastAsia="ja-JP"/>
        </w:rPr>
        <w:t>Signalling the maximum number of multiple NR-PDCCH reception via L1 and/or high layer signalling</w:t>
      </w:r>
    </w:p>
    <w:p w14:paraId="302DC663" w14:textId="77777777" w:rsidR="0047278A" w:rsidRPr="00B0486E" w:rsidRDefault="0047278A" w:rsidP="0047278A">
      <w:pPr>
        <w:numPr>
          <w:ilvl w:val="1"/>
          <w:numId w:val="16"/>
        </w:numPr>
        <w:overflowPunct/>
        <w:autoSpaceDE/>
        <w:autoSpaceDN/>
        <w:adjustRightInd/>
        <w:spacing w:after="0"/>
        <w:jc w:val="left"/>
        <w:textAlignment w:val="auto"/>
        <w:rPr>
          <w:rFonts w:eastAsia="MS Mincho"/>
          <w:lang w:val="en-US" w:eastAsia="ja-JP"/>
        </w:rPr>
      </w:pPr>
      <w:r w:rsidRPr="00B0486E">
        <w:rPr>
          <w:rFonts w:eastAsia="MS Mincho"/>
          <w:lang w:eastAsia="ja-JP"/>
        </w:rPr>
        <w:t xml:space="preserve">Other techniques can be considered. </w:t>
      </w:r>
    </w:p>
    <w:p w14:paraId="4C3FF875" w14:textId="15EA99C9" w:rsidR="00BF7642" w:rsidRDefault="00BF7642" w:rsidP="00BF7642">
      <w:pPr>
        <w:pStyle w:val="BodyText"/>
      </w:pPr>
    </w:p>
    <w:p w14:paraId="45D94F03" w14:textId="2C74C1B5" w:rsidR="00477768" w:rsidRPr="00CE0424" w:rsidRDefault="0047278A" w:rsidP="00BF7642">
      <w:pPr>
        <w:pStyle w:val="BodyText"/>
      </w:pPr>
      <w:r>
        <w:t xml:space="preserve">In this contribution, we discuss the </w:t>
      </w:r>
      <w:r w:rsidR="00855041">
        <w:t>remaining issues on multi-TRP</w:t>
      </w:r>
      <w:r w:rsidR="00F21B9E">
        <w:t xml:space="preserve"> and multi-panel</w:t>
      </w:r>
      <w:r w:rsidR="00855041">
        <w:t xml:space="preserve"> transmission</w:t>
      </w:r>
      <w:r w:rsidR="00F21B9E">
        <w:t>, including if single or multiple DCI</w:t>
      </w:r>
      <w:r w:rsidR="00027C56">
        <w:t xml:space="preserve"> should be used to indicate single or multiple NR-PDSCH transmissions and its implications on QCL </w:t>
      </w:r>
      <w:r w:rsidR="00747243">
        <w:t xml:space="preserve">assumptions and HARQ feedback. </w:t>
      </w:r>
      <w:r w:rsidR="00195E48">
        <w:t>The corresponding</w:t>
      </w:r>
      <w:r w:rsidR="00BB6754">
        <w:t xml:space="preserve"> </w:t>
      </w:r>
      <w:r w:rsidR="00195E48">
        <w:t>CSI acquisition to support multi-TRP and multi-pan</w:t>
      </w:r>
      <w:r w:rsidR="00BB6754">
        <w:t xml:space="preserve">el transmission is discussed in </w:t>
      </w:r>
      <w:r w:rsidR="00BB6754">
        <w:fldChar w:fldCharType="begin"/>
      </w:r>
      <w:r w:rsidR="00BB6754">
        <w:instrText xml:space="preserve"> REF _Ref481504783 \r \h </w:instrText>
      </w:r>
      <w:r w:rsidR="00BB6754">
        <w:fldChar w:fldCharType="separate"/>
      </w:r>
      <w:r w:rsidR="00BB6754">
        <w:t>[1]</w:t>
      </w:r>
      <w:r w:rsidR="00BB6754">
        <w:fldChar w:fldCharType="end"/>
      </w:r>
      <w:r w:rsidR="00BB6754">
        <w:t>.</w:t>
      </w:r>
    </w:p>
    <w:p w14:paraId="3CB8F8BC" w14:textId="65E82E90" w:rsidR="004000E8" w:rsidRDefault="004000E8" w:rsidP="00CE0424">
      <w:pPr>
        <w:pStyle w:val="Heading1"/>
      </w:pPr>
      <w:bookmarkStart w:id="0" w:name="_Ref178064866"/>
      <w:r w:rsidRPr="00CE0424">
        <w:t>Discussion</w:t>
      </w:r>
      <w:bookmarkEnd w:id="0"/>
      <w:r w:rsidR="001D68A4">
        <w:t xml:space="preserve"> around the multi-TRP schemes</w:t>
      </w:r>
    </w:p>
    <w:p w14:paraId="014234B3" w14:textId="29EBAAEF" w:rsidR="00317452" w:rsidRDefault="00027C56" w:rsidP="00317452">
      <w:r>
        <w:t xml:space="preserve">We begin by discussing our interpretation of the transmission schemes identified for downselection in RAN1#88b, their </w:t>
      </w:r>
      <w:proofErr w:type="gramStart"/>
      <w:r>
        <w:t>respective use</w:t>
      </w:r>
      <w:proofErr w:type="gramEnd"/>
      <w:r>
        <w:t xml:space="preserve"> cases, applicability, and specification impact</w:t>
      </w:r>
      <w:r w:rsidR="00317452">
        <w:t>.</w:t>
      </w:r>
    </w:p>
    <w:p w14:paraId="3970E591" w14:textId="524D79B0" w:rsidR="001D68A4" w:rsidRDefault="001D68A4" w:rsidP="00317452">
      <w:pPr>
        <w:pStyle w:val="Heading2"/>
      </w:pPr>
      <w:r>
        <w:t>Coherent Joint Transmission</w:t>
      </w:r>
    </w:p>
    <w:p w14:paraId="4751A172" w14:textId="5B19DB4C" w:rsidR="00C70A7A" w:rsidRDefault="000223E6" w:rsidP="000223E6">
      <w:r>
        <w:t>T</w:t>
      </w:r>
      <w:r w:rsidR="00027C56">
        <w:t>he case where a single NR-PDCCH is used to indicate NR-PDSCH transmission of the same layers from multiple TRPs</w:t>
      </w:r>
      <w:r>
        <w:t xml:space="preserve"> corresponds to </w:t>
      </w:r>
      <w:r w:rsidR="007A33E9">
        <w:t xml:space="preserve">coherent JT. In this case, a single DCI containing MCS(s), resource allocation </w:t>
      </w:r>
      <w:r w:rsidR="009C7A1C">
        <w:t xml:space="preserve">and </w:t>
      </w:r>
      <w:r w:rsidR="007A33E9">
        <w:t xml:space="preserve">DMRS port/scrambling information, is used to indicate a single NR-PDSCH. As the multiple TRPs are jointly transmitting each layer, the </w:t>
      </w:r>
      <w:r w:rsidR="009C7A1C">
        <w:t xml:space="preserve">DMRS channel corresponds to the sum of the precoded per-TRP channel and therefore all the DMRS of the NR-PDSCH transmission can be assumed to be QCL. In fact, since DMRS-based transmission is used, whether the layers are transmitted from a single TRP or coherently from multiple TRPs is transparent to the UE. That is, coherent JT is already supported in a transparent fashion, so in our view it is unclear what </w:t>
      </w:r>
      <w:r w:rsidR="00C70A7A">
        <w:t>additional mechanisms, requiring spec impact, that would be required to enhance performance of coherent JT over a spec transparent baseline. Furthermore, coherent JT</w:t>
      </w:r>
      <w:r w:rsidR="004464DB">
        <w:t xml:space="preserve"> generally requires very accurate CSI </w:t>
      </w:r>
      <w:proofErr w:type="gramStart"/>
      <w:r w:rsidR="004464DB">
        <w:t>in order to</w:t>
      </w:r>
      <w:proofErr w:type="gramEnd"/>
      <w:r w:rsidR="004464DB">
        <w:t xml:space="preserve"> be beneficial as achieving constructive </w:t>
      </w:r>
      <w:r w:rsidR="004464DB">
        <w:lastRenderedPageBreak/>
        <w:t xml:space="preserve">addition of signals transmitted from antennas distributed on multiple sites is much more difficult than from co-sited antennas. In addition, </w:t>
      </w:r>
      <w:r w:rsidR="003217E8">
        <w:t xml:space="preserve">frequency offset may exist between the TRPs due </w:t>
      </w:r>
      <w:proofErr w:type="gramStart"/>
      <w:r w:rsidR="003217E8">
        <w:t>to</w:t>
      </w:r>
      <w:proofErr w:type="gramEnd"/>
      <w:r w:rsidR="003217E8">
        <w:t xml:space="preserve"> different LO and/or different Doppler shift, leading to highly variable channel which makes CSI acquisition more challenging. </w:t>
      </w:r>
      <w:r w:rsidR="005157D0">
        <w:t xml:space="preserve">Coherent JT also requires tight inter-TRP synchronization close-to ideal backhaul. </w:t>
      </w:r>
      <w:r w:rsidR="003217E8">
        <w:t xml:space="preserve">Due to these aspects, coherent JT may not be very practical to implement in a </w:t>
      </w:r>
      <w:r w:rsidR="005157D0">
        <w:t>realistic</w:t>
      </w:r>
      <w:r w:rsidR="003217E8">
        <w:t xml:space="preserve"> scenario which makes the use case rather limited.</w:t>
      </w:r>
    </w:p>
    <w:p w14:paraId="03A35465" w14:textId="66836EAE" w:rsidR="003217E8" w:rsidRDefault="003217E8" w:rsidP="003217E8">
      <w:pPr>
        <w:pStyle w:val="Observation"/>
      </w:pPr>
      <w:bookmarkStart w:id="1" w:name="_Toc481765468"/>
      <w:r>
        <w:t>Coherent JT is already supported in a spec transparent fashion, unclear what additional mechanisms requiring spec impact are motivated</w:t>
      </w:r>
      <w:bookmarkEnd w:id="1"/>
    </w:p>
    <w:p w14:paraId="5B39E479" w14:textId="4DD71014" w:rsidR="003217E8" w:rsidRDefault="00E442D8" w:rsidP="003217E8">
      <w:pPr>
        <w:pStyle w:val="Observation"/>
      </w:pPr>
      <w:bookmarkStart w:id="2" w:name="_Toc481765469"/>
      <w:r>
        <w:t>Very accurate CSI is required for coherent JT between different sites be beneficial, which makes implementation impractical</w:t>
      </w:r>
      <w:bookmarkEnd w:id="2"/>
    </w:p>
    <w:p w14:paraId="4E90A85B" w14:textId="0AD9F4EC" w:rsidR="001D68A4" w:rsidRDefault="001D68A4" w:rsidP="001D68A4">
      <w:pPr>
        <w:pStyle w:val="Heading2"/>
      </w:pPr>
      <w:r>
        <w:t>Non-coherent Joint Transmission</w:t>
      </w:r>
    </w:p>
    <w:p w14:paraId="631F5D48" w14:textId="424250FA" w:rsidR="00E442D8" w:rsidRDefault="00E442D8" w:rsidP="00E442D8">
      <w:pPr>
        <w:pStyle w:val="BodyText"/>
      </w:pPr>
      <w:r>
        <w:t>The other two identified transmission schemes consider non-coherent JT, where different TRPs transmit different layers to a UE. As transmissions from TRPs are not coherently combined, the requirement on accurate CSI is not as high as for the coherent JT case. Furthermore, the</w:t>
      </w:r>
      <w:r w:rsidR="005157D0">
        <w:t xml:space="preserve"> </w:t>
      </w:r>
      <w:r w:rsidR="006B3D57">
        <w:t xml:space="preserve">backhaul and synchronization requirements may be relaxed as well, which makes non-coherent JT a more suitable candidate for implementation. The primary benefit of non-coherent JT is to allow for higher rank transmission in the case where </w:t>
      </w:r>
      <w:r w:rsidR="00535FBF">
        <w:t>the UE is rank-constrained, e.g. by being LOS to the serving TRP or if the serving TRP uses less TX than the UE has RX. By transmitting additional layers from a non-serving TRP, the UEs peak rate can be increased. For this to give a significant benefit, it requires that the non-serving TRP can be received with a similar power level as the serving TRP. Further, as the UE uses the transmission resources of several TRPs, benefit is generally seen only at low loads where it’s likely that the lending TRP is not serving any UEs of its own.</w:t>
      </w:r>
    </w:p>
    <w:p w14:paraId="05296768" w14:textId="34DEEC5F" w:rsidR="007620CF" w:rsidRDefault="007620CF" w:rsidP="007620CF">
      <w:pPr>
        <w:pStyle w:val="Observation"/>
      </w:pPr>
      <w:bookmarkStart w:id="3" w:name="_Toc481765470"/>
      <w:r>
        <w:t>Non-coherent JT may provide peak rate increase in certain scenarios and require less ideal conditions than coherent JT to be beneficial</w:t>
      </w:r>
      <w:bookmarkEnd w:id="3"/>
      <w:r>
        <w:t xml:space="preserve"> </w:t>
      </w:r>
    </w:p>
    <w:p w14:paraId="566EE47D" w14:textId="40B0E097" w:rsidR="00D205AA" w:rsidRDefault="003624D9" w:rsidP="00E442D8">
      <w:pPr>
        <w:pStyle w:val="BodyText"/>
      </w:pPr>
      <w:r>
        <w:t>For the case where non-coherent JT is indicated with a single DCI in a single NR-PDCCH,</w:t>
      </w:r>
      <w:r w:rsidR="00A7389E">
        <w:t xml:space="preserve"> two options are possible. Either the DCI indicates a </w:t>
      </w:r>
      <w:r>
        <w:t xml:space="preserve">single </w:t>
      </w:r>
      <w:r w:rsidR="00A7389E">
        <w:t>NR-</w:t>
      </w:r>
      <w:r>
        <w:t xml:space="preserve">PDSCH comprising the multiple layers from the multiple TRPs </w:t>
      </w:r>
      <w:r w:rsidR="00D03026">
        <w:t>is</w:t>
      </w:r>
      <w:r>
        <w:t xml:space="preserve"> transmitted</w:t>
      </w:r>
      <w:r w:rsidR="00A7389E">
        <w:t>, or, the DCI indicates multiple NR-PDSCH</w:t>
      </w:r>
      <w:r>
        <w:t>.</w:t>
      </w:r>
      <w:r w:rsidR="00A7389E">
        <w:t xml:space="preserve"> The latter option </w:t>
      </w:r>
      <w:r w:rsidR="006A29AD">
        <w:t>may require</w:t>
      </w:r>
      <w:r w:rsidR="00A7389E">
        <w:t xml:space="preserve"> a substantially larger DCI payload, as the scheduling assignments for several NR-PDSCHs must be contained in the DCI. This may not be desirable and it is preferred to use a unified DCI format for both single- and multi-TRP transmission</w:t>
      </w:r>
      <w:r w:rsidR="006A29AD">
        <w:t xml:space="preserve"> so that the UE does not have to blindly search for DCIs of different sizes, which increases complexity</w:t>
      </w:r>
      <w:r w:rsidR="00A7389E">
        <w:t>.</w:t>
      </w:r>
      <w:r w:rsidR="006A29AD">
        <w:t xml:space="preserve"> On the other hand, even if the same DCI contains multiple scheduling assignments, it’s possible to enforce a restriction e.g. on the resourc</w:t>
      </w:r>
      <w:r w:rsidR="00E80723">
        <w:t>e allocation so that the same resource allocation</w:t>
      </w:r>
      <w:r w:rsidR="006A29AD">
        <w:t xml:space="preserve"> is used for both PDSCHs</w:t>
      </w:r>
      <w:r w:rsidR="00EA5BBB">
        <w:t xml:space="preserve">, which limits the DCI size. </w:t>
      </w:r>
      <w:r w:rsidR="00D205AA">
        <w:t>Overall though, it seems more natural to indicate multiple NR-PDSCH using multiple DCI, where each TRP transmits a separate NR-PDCCH. In this case, more flexibility in resource allocation, such as supporting non-overlapping or partially overlapping resource allocation of the different TRPs could be supported (but not necessarily, as the increased flexibility may make e.g. advanced receiver operation using for instance SIC more cumbersome)</w:t>
      </w:r>
      <w:r w:rsidR="00371DFB">
        <w:t>. The downside with multiple DCI indication is that the number of blind decoding attempts a UE would</w:t>
      </w:r>
      <w:r w:rsidR="00280556">
        <w:t xml:space="preserve"> have to make may be</w:t>
      </w:r>
      <w:r w:rsidR="00371DFB">
        <w:t xml:space="preserve"> increased, which increases UE complexity. However, the number of blind decoding attempts is already increased in case of carrier aggregation or dual connectivity, so </w:t>
      </w:r>
      <w:r w:rsidR="007620CF">
        <w:t xml:space="preserve">it’s </w:t>
      </w:r>
      <w:r w:rsidR="00371DFB">
        <w:t>likely not a bottlen</w:t>
      </w:r>
      <w:r w:rsidR="007620CF">
        <w:t xml:space="preserve">eck in most UE implementations and DCI search complexity could further be reduced by adopting a rule for multi-TRP transmission that limits the NR-PDCCH search space. </w:t>
      </w:r>
      <w:r w:rsidR="009A04E0">
        <w:t xml:space="preserve">It could also be beneficial for the UE to know the maximum number of DCIs to expect, so that it can seize its blind decoding attempts after the maximum number of DCIs have been found. </w:t>
      </w:r>
      <w:r w:rsidR="00371DFB">
        <w:t xml:space="preserve">Further, with separate DCI indication, no special DCI format for NC-JT may be needed. It also allows for independent scheduling </w:t>
      </w:r>
      <w:r w:rsidR="007620CF">
        <w:t>decisions to be done at each TRP, which is useful in case the backhaul link is non-ideal.</w:t>
      </w:r>
      <w:r w:rsidR="00317452">
        <w:t xml:space="preserve"> </w:t>
      </w:r>
    </w:p>
    <w:p w14:paraId="32141067" w14:textId="3B70B74E" w:rsidR="00317452" w:rsidRDefault="00317452" w:rsidP="00317452">
      <w:pPr>
        <w:pStyle w:val="Observation"/>
      </w:pPr>
      <w:bookmarkStart w:id="4" w:name="_Toc481765471"/>
      <w:r>
        <w:t xml:space="preserve">While both single DCI and multiple DCI indication has their </w:t>
      </w:r>
      <w:r w:rsidR="00F1217E">
        <w:t>benefits</w:t>
      </w:r>
      <w:r>
        <w:t xml:space="preserve">, </w:t>
      </w:r>
      <w:r w:rsidR="00F1217E">
        <w:t>it seems more natural to support multiple DCI indication in case of multiple NR-PDSCH scheduling</w:t>
      </w:r>
      <w:bookmarkEnd w:id="4"/>
    </w:p>
    <w:p w14:paraId="19498034" w14:textId="5018D816" w:rsidR="001D68A4" w:rsidRDefault="004F3687" w:rsidP="00E442D8">
      <w:pPr>
        <w:pStyle w:val="BodyText"/>
      </w:pPr>
      <w:r>
        <w:t>R</w:t>
      </w:r>
      <w:r w:rsidR="00E80723">
        <w:t xml:space="preserve">egardless of if </w:t>
      </w:r>
      <w:r>
        <w:t>one or</w:t>
      </w:r>
      <w:r w:rsidR="00E80723">
        <w:t xml:space="preserve"> multiple PDSCH is used, DMRS ports corresponding to layers of different TRPs </w:t>
      </w:r>
      <w:proofErr w:type="gramStart"/>
      <w:r w:rsidR="00E80723">
        <w:t>need to</w:t>
      </w:r>
      <w:proofErr w:type="gramEnd"/>
      <w:r w:rsidR="00E80723">
        <w:t xml:space="preserve"> have different QCL assumption</w:t>
      </w:r>
      <w:r>
        <w:t>. In the multiple PDSCH case, it could be implicitly assumed that</w:t>
      </w:r>
      <w:r w:rsidR="009B27C6">
        <w:t xml:space="preserve"> all</w:t>
      </w:r>
      <w:r>
        <w:t xml:space="preserve"> DMRS ports indicated </w:t>
      </w:r>
      <w:r w:rsidR="009B27C6">
        <w:t xml:space="preserve">in the </w:t>
      </w:r>
      <w:proofErr w:type="gramStart"/>
      <w:r w:rsidR="009B27C6">
        <w:t>respective scheduling</w:t>
      </w:r>
      <w:proofErr w:type="gramEnd"/>
      <w:r w:rsidR="009B27C6">
        <w:t xml:space="preserve"> assignments are QCL</w:t>
      </w:r>
      <w:r w:rsidR="0029401A">
        <w:t xml:space="preserve"> with each other</w:t>
      </w:r>
      <w:r w:rsidR="00280556">
        <w:t>, that is, the DMRS port grouping is implicit and does not need to be signalled</w:t>
      </w:r>
      <w:r w:rsidR="009B27C6">
        <w:t>. However, in the single PDSCH case, an explicit DMRS port group indication is needed to co</w:t>
      </w:r>
      <w:r w:rsidR="0029401A">
        <w:t>nvey the correct QCL assumption and an indication for each</w:t>
      </w:r>
      <w:r w:rsidR="00371DFB">
        <w:t xml:space="preserve"> DMRS port group</w:t>
      </w:r>
      <w:r w:rsidR="0029401A">
        <w:t xml:space="preserve"> may be needed to indicate QCL between the DMRS port group and a CSI-RS resource.</w:t>
      </w:r>
    </w:p>
    <w:p w14:paraId="39679309" w14:textId="4A505640" w:rsidR="00317452" w:rsidRDefault="00317452" w:rsidP="00317452">
      <w:pPr>
        <w:pStyle w:val="Observation"/>
      </w:pPr>
      <w:bookmarkStart w:id="5" w:name="_Toc481765472"/>
      <w:r>
        <w:lastRenderedPageBreak/>
        <w:t>In the single PDSCH case, explicit DMRS port group indication may be needed for QCL purposes while the DMRS port grouping can be implicit in the multiple PDSCH case</w:t>
      </w:r>
      <w:bookmarkEnd w:id="5"/>
    </w:p>
    <w:p w14:paraId="18CA7BDE" w14:textId="5EB45864" w:rsidR="00535FBF" w:rsidRDefault="006A29AD" w:rsidP="00E442D8">
      <w:pPr>
        <w:pStyle w:val="BodyText"/>
      </w:pPr>
      <w:r>
        <w:t>In the single NR-PDSCH case, a</w:t>
      </w:r>
      <w:r w:rsidR="00D03026">
        <w:t>s NR supports single codeword for up to rank 4, this means that if two TRPs each transmit two layers, the layers are contained within the same codeword</w:t>
      </w:r>
      <w:r w:rsidR="00182AA5">
        <w:t xml:space="preserve"> and the same codeword thus is shared across TRPs. As the TRPs likely experience different path loss and fading conditions, the SINR level is likely different, meaning that the different layers could benefit from having separate MCS. However, since the same codeword</w:t>
      </w:r>
      <w:r>
        <w:t xml:space="preserve"> is used, this is not possible, and the single-PDSCH case will suffer from worse link adaptation. </w:t>
      </w:r>
      <w:r w:rsidR="00747243">
        <w:t>Thus, it may be more beneficial to use multiple NR-PDSCH so that a separate codewor</w:t>
      </w:r>
      <w:r w:rsidR="00317452">
        <w:t>d with independent MCS control can be used for the layers of each TRP participating in the joint transmission.</w:t>
      </w:r>
    </w:p>
    <w:p w14:paraId="39D4FA99" w14:textId="6D6C78BB" w:rsidR="00747243" w:rsidRDefault="00747243" w:rsidP="00747243">
      <w:pPr>
        <w:pStyle w:val="Observation"/>
      </w:pPr>
      <w:bookmarkStart w:id="6" w:name="_Toc481765473"/>
      <w:r>
        <w:t>Due to single CW for up to rank 4, single NR-PDSCH may</w:t>
      </w:r>
      <w:r w:rsidR="00EF2A43">
        <w:t xml:space="preserve"> perform worse than multiple NR-PDSCH</w:t>
      </w:r>
      <w:bookmarkEnd w:id="6"/>
    </w:p>
    <w:p w14:paraId="21D30CC0" w14:textId="5B872E9A" w:rsidR="001F733B" w:rsidRDefault="0049627F" w:rsidP="00E442D8">
      <w:pPr>
        <w:pStyle w:val="BodyText"/>
      </w:pPr>
      <w:r>
        <w:t>Therefore, the main mode of NC-JT operation should be assumed to use separate NR-PDSCH.</w:t>
      </w:r>
    </w:p>
    <w:p w14:paraId="65D09095" w14:textId="62480A68" w:rsidR="001F733B" w:rsidRDefault="001F733B" w:rsidP="001F733B">
      <w:pPr>
        <w:pStyle w:val="Proposal"/>
      </w:pPr>
      <w:bookmarkStart w:id="7" w:name="_Toc481514057"/>
      <w:bookmarkStart w:id="8" w:name="_Toc481765448"/>
      <w:bookmarkStart w:id="9" w:name="_Toc481765465"/>
      <w:r>
        <w:t xml:space="preserve">Support non-coherent JT in NR with separate NR-PDSCH per TRP indicated </w:t>
      </w:r>
      <w:r w:rsidR="00022F22">
        <w:t>in</w:t>
      </w:r>
      <w:r>
        <w:t xml:space="preserve"> separate NR-PDCCH</w:t>
      </w:r>
      <w:bookmarkEnd w:id="7"/>
      <w:bookmarkEnd w:id="8"/>
      <w:bookmarkEnd w:id="9"/>
    </w:p>
    <w:p w14:paraId="1052B6BA" w14:textId="376236D6" w:rsidR="00DE5CEF" w:rsidRDefault="00DE5CEF" w:rsidP="00E442D8">
      <w:pPr>
        <w:pStyle w:val="BodyText"/>
      </w:pPr>
    </w:p>
    <w:p w14:paraId="4DDE7760" w14:textId="2DBE1E3D" w:rsidR="00DE5CEF" w:rsidRDefault="00DE5CEF" w:rsidP="00DE5CEF">
      <w:pPr>
        <w:pStyle w:val="Heading1"/>
      </w:pPr>
      <w:r>
        <w:t>Considerations for multiple NR-PDCCH and NR-PDSCH operation</w:t>
      </w:r>
    </w:p>
    <w:p w14:paraId="719AD5E9" w14:textId="1BF059FF" w:rsidR="00F1217E" w:rsidRPr="00F1217E" w:rsidRDefault="00F1217E" w:rsidP="00F1217E">
      <w:r>
        <w:t xml:space="preserve">In this section, we address some further issues relating </w:t>
      </w:r>
      <w:proofErr w:type="gramStart"/>
      <w:r>
        <w:t>to</w:t>
      </w:r>
      <w:proofErr w:type="gramEnd"/>
      <w:r>
        <w:t xml:space="preserve"> multiple PDCCH/PDSCH NC-JT operation.</w:t>
      </w:r>
    </w:p>
    <w:p w14:paraId="05D7C727" w14:textId="65E7E1AD" w:rsidR="009134E2" w:rsidRDefault="00F1217E" w:rsidP="00F1217E">
      <w:pPr>
        <w:pStyle w:val="Heading2"/>
      </w:pPr>
      <w:r>
        <w:t>HARQ feedback</w:t>
      </w:r>
      <w:r w:rsidR="009A04E0">
        <w:t xml:space="preserve"> and maximum number of codewords</w:t>
      </w:r>
    </w:p>
    <w:p w14:paraId="5E8E1178" w14:textId="71999827" w:rsidR="00F1217E" w:rsidRDefault="00F1217E" w:rsidP="00F1217E">
      <w:r>
        <w:t>In case a single DCI is used to sc</w:t>
      </w:r>
      <w:r w:rsidR="0049627F">
        <w:t xml:space="preserve">hedule one </w:t>
      </w:r>
      <w:r>
        <w:t>NR-PDSCH in a NC-JT between multiple TRPs, it may be assumed that the DCI is transmitted on a NR-PDCCH from the serving TRP</w:t>
      </w:r>
      <w:r w:rsidR="0049627F">
        <w:t xml:space="preserve"> and that the HARQ ACK/NACK feedback</w:t>
      </w:r>
      <w:r>
        <w:t xml:space="preserve"> </w:t>
      </w:r>
      <w:r w:rsidR="0049627F">
        <w:t xml:space="preserve">follows the single-TRP procedure. If multiple NR-PDSCH is scheduled however, it is possible that more than 2 codewords is transmitted to a UE on a single carrier. </w:t>
      </w:r>
      <w:r w:rsidR="00EE2106">
        <w:t xml:space="preserve">The HARQ feedback could then be aggregated and transmitted on a single UCI to the serving TRP in a carrier aggregation fashion, or, multiple UCI transmitted on separate PUCCH intended to each TRP could be used. In the former case, as NC-JT could potentially be used in conjunction with CA, the PUCCH formats </w:t>
      </w:r>
      <w:proofErr w:type="gramStart"/>
      <w:r w:rsidR="00EE2106">
        <w:t>needs to</w:t>
      </w:r>
      <w:proofErr w:type="gramEnd"/>
      <w:r w:rsidR="00EE2106">
        <w:t xml:space="preserve"> support HARQ feedback from both multiple carriers and multiple PDSCH transmission within a carrier. Thus, the maximum number of supported CWs that a UE simultaneously can receive </w:t>
      </w:r>
      <w:proofErr w:type="gramStart"/>
      <w:r w:rsidR="00EE2106">
        <w:t>needs to</w:t>
      </w:r>
      <w:proofErr w:type="gramEnd"/>
      <w:r w:rsidR="00EE2106">
        <w:t xml:space="preserve"> be taken into account in the PUCCH design and should be studied by RAN1. Alternatively, PUCCH can be designed assuming a certain number of ACK/NACK bits and </w:t>
      </w:r>
      <w:r w:rsidR="009A04E0">
        <w:t xml:space="preserve">ACK/NACK bundling corresponding to CWs within a carrier can be applied if the HARQ feedback </w:t>
      </w:r>
      <w:proofErr w:type="gramStart"/>
      <w:r w:rsidR="00280556">
        <w:t>For</w:t>
      </w:r>
      <w:proofErr w:type="gramEnd"/>
      <w:r w:rsidR="00280556">
        <w:t xml:space="preserve"> instance, it could be reasonable to put a limit on 1 CW per PDSCH when UE can expect to receive multiple PDSCH.</w:t>
      </w:r>
    </w:p>
    <w:p w14:paraId="51D4ACEC" w14:textId="6A18E2ED" w:rsidR="009A04E0" w:rsidRDefault="009A04E0" w:rsidP="009A04E0">
      <w:pPr>
        <w:pStyle w:val="Observation"/>
      </w:pPr>
      <w:bookmarkStart w:id="10" w:name="_Toc481765474"/>
      <w:r>
        <w:t>RAN1 should study the supported maximum number of codewords that a UE can be assumed to receive within a carrier</w:t>
      </w:r>
      <w:bookmarkEnd w:id="10"/>
    </w:p>
    <w:p w14:paraId="58BDF1F5" w14:textId="3C521250" w:rsidR="00F1217E" w:rsidRDefault="00F1217E" w:rsidP="00F1217E">
      <w:pPr>
        <w:pStyle w:val="Heading2"/>
      </w:pPr>
      <w:r>
        <w:t>Maximum number of transmitted layers</w:t>
      </w:r>
    </w:p>
    <w:p w14:paraId="33954ED8" w14:textId="4112E1F4" w:rsidR="00F1217E" w:rsidRPr="00F1217E" w:rsidRDefault="00CD41B7" w:rsidP="00F1217E">
      <w:r>
        <w:t xml:space="preserve">The maximum number of layers a UE can be expected to simultaneously receive in a PDSCH is part of UE capability. However, if multiple NR-PDSCH is used for NC-JT and independent scheduling decisions is made at each TRP due to non-ideal backhaul link, it could theoretically be possible to exceed UE capability due to lack of coordination between TRPs. Although, as the network is ultimately in control of scheduling, this is not likely. For instance, RI scheduling information could be exchanged by TRPs on a slower basis to avoid this problem. </w:t>
      </w:r>
    </w:p>
    <w:p w14:paraId="47F07C41" w14:textId="61D6920F" w:rsidR="0047278A" w:rsidRPr="003A0E41" w:rsidRDefault="0047278A" w:rsidP="0047278A">
      <w:pPr>
        <w:pStyle w:val="Observation"/>
        <w:numPr>
          <w:ilvl w:val="0"/>
          <w:numId w:val="0"/>
        </w:numPr>
        <w:ind w:left="1701" w:hanging="1701"/>
      </w:pPr>
    </w:p>
    <w:p w14:paraId="56327F3C" w14:textId="77777777" w:rsidR="00C01F33" w:rsidRPr="00CE0424" w:rsidRDefault="00C01F33" w:rsidP="003A0E41">
      <w:pPr>
        <w:pStyle w:val="Heading1"/>
      </w:pPr>
      <w:r w:rsidRPr="00CE0424">
        <w:t>Conclusion</w:t>
      </w:r>
      <w:r w:rsidR="00AE2FEB">
        <w:t>s</w:t>
      </w:r>
    </w:p>
    <w:p w14:paraId="6A4817C8" w14:textId="0BDCB99F" w:rsidR="002451ED" w:rsidRDefault="003A0E41" w:rsidP="008E065E">
      <w:pPr>
        <w:pStyle w:val="BodyText"/>
      </w:pPr>
      <w:r>
        <w:t>In this contribution we made the following ob</w:t>
      </w:r>
      <w:r w:rsidR="004033B5">
        <w:t>s</w:t>
      </w:r>
      <w:r>
        <w:t>ervations</w:t>
      </w:r>
      <w:r w:rsidR="007E452D">
        <w:t>:</w:t>
      </w:r>
    </w:p>
    <w:p w14:paraId="010AD3B7" w14:textId="094EBDE1" w:rsidR="007E452D" w:rsidRDefault="00E5689D">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81765468" w:history="1">
        <w:r w:rsidR="007E452D" w:rsidRPr="004656D0">
          <w:rPr>
            <w:rStyle w:val="Hyperlink"/>
          </w:rPr>
          <w:t>Observation 1</w:t>
        </w:r>
        <w:r w:rsidR="007E452D">
          <w:rPr>
            <w:rFonts w:asciiTheme="minorHAnsi" w:eastAsiaTheme="minorEastAsia" w:hAnsiTheme="minorHAnsi" w:cstheme="minorBidi"/>
            <w:b w:val="0"/>
            <w:sz w:val="22"/>
            <w:lang w:eastAsia="en-US"/>
          </w:rPr>
          <w:tab/>
        </w:r>
        <w:r w:rsidR="007E452D" w:rsidRPr="004656D0">
          <w:rPr>
            <w:rStyle w:val="Hyperlink"/>
          </w:rPr>
          <w:t>Coherent JT is already supported in a spec transparent fashion, unclear what additional mechanisms requiring spec impact are motivated</w:t>
        </w:r>
      </w:hyperlink>
    </w:p>
    <w:p w14:paraId="1768D2B9" w14:textId="4FFBED00" w:rsidR="007E452D" w:rsidRDefault="007E452D">
      <w:pPr>
        <w:pStyle w:val="TOC1"/>
        <w:rPr>
          <w:rFonts w:asciiTheme="minorHAnsi" w:eastAsiaTheme="minorEastAsia" w:hAnsiTheme="minorHAnsi" w:cstheme="minorBidi"/>
          <w:b w:val="0"/>
          <w:sz w:val="22"/>
          <w:lang w:eastAsia="en-US"/>
        </w:rPr>
      </w:pPr>
      <w:hyperlink w:anchor="_Toc481765469" w:history="1">
        <w:r w:rsidRPr="004656D0">
          <w:rPr>
            <w:rStyle w:val="Hyperlink"/>
          </w:rPr>
          <w:t>Observation 2</w:t>
        </w:r>
        <w:r>
          <w:rPr>
            <w:rFonts w:asciiTheme="minorHAnsi" w:eastAsiaTheme="minorEastAsia" w:hAnsiTheme="minorHAnsi" w:cstheme="minorBidi"/>
            <w:b w:val="0"/>
            <w:sz w:val="22"/>
            <w:lang w:eastAsia="en-US"/>
          </w:rPr>
          <w:tab/>
        </w:r>
        <w:r w:rsidRPr="004656D0">
          <w:rPr>
            <w:rStyle w:val="Hyperlink"/>
          </w:rPr>
          <w:t>Very accurate CSI is required for coherent JT between different sites be beneficial, which makes implementation impractical</w:t>
        </w:r>
      </w:hyperlink>
    </w:p>
    <w:p w14:paraId="2B68C260" w14:textId="751330EE" w:rsidR="007E452D" w:rsidRDefault="007E452D">
      <w:pPr>
        <w:pStyle w:val="TOC1"/>
        <w:rPr>
          <w:rFonts w:asciiTheme="minorHAnsi" w:eastAsiaTheme="minorEastAsia" w:hAnsiTheme="minorHAnsi" w:cstheme="minorBidi"/>
          <w:b w:val="0"/>
          <w:sz w:val="22"/>
          <w:lang w:eastAsia="en-US"/>
        </w:rPr>
      </w:pPr>
      <w:hyperlink w:anchor="_Toc481765470" w:history="1">
        <w:r w:rsidRPr="004656D0">
          <w:rPr>
            <w:rStyle w:val="Hyperlink"/>
          </w:rPr>
          <w:t>Observation 3</w:t>
        </w:r>
        <w:r>
          <w:rPr>
            <w:rFonts w:asciiTheme="minorHAnsi" w:eastAsiaTheme="minorEastAsia" w:hAnsiTheme="minorHAnsi" w:cstheme="minorBidi"/>
            <w:b w:val="0"/>
            <w:sz w:val="22"/>
            <w:lang w:eastAsia="en-US"/>
          </w:rPr>
          <w:tab/>
        </w:r>
        <w:r w:rsidRPr="004656D0">
          <w:rPr>
            <w:rStyle w:val="Hyperlink"/>
          </w:rPr>
          <w:t>Non-coherent JT may provide peak rate increase in certain scenarios and require less ideal conditions than coherent JT to be beneficial</w:t>
        </w:r>
      </w:hyperlink>
    </w:p>
    <w:p w14:paraId="6CF5A092" w14:textId="1968D656" w:rsidR="007E452D" w:rsidRDefault="007E452D">
      <w:pPr>
        <w:pStyle w:val="TOC1"/>
        <w:rPr>
          <w:rFonts w:asciiTheme="minorHAnsi" w:eastAsiaTheme="minorEastAsia" w:hAnsiTheme="minorHAnsi" w:cstheme="minorBidi"/>
          <w:b w:val="0"/>
          <w:sz w:val="22"/>
          <w:lang w:eastAsia="en-US"/>
        </w:rPr>
      </w:pPr>
      <w:hyperlink w:anchor="_Toc481765471" w:history="1">
        <w:r w:rsidRPr="004656D0">
          <w:rPr>
            <w:rStyle w:val="Hyperlink"/>
          </w:rPr>
          <w:t>Observation 4</w:t>
        </w:r>
        <w:r>
          <w:rPr>
            <w:rFonts w:asciiTheme="minorHAnsi" w:eastAsiaTheme="minorEastAsia" w:hAnsiTheme="minorHAnsi" w:cstheme="minorBidi"/>
            <w:b w:val="0"/>
            <w:sz w:val="22"/>
            <w:lang w:eastAsia="en-US"/>
          </w:rPr>
          <w:tab/>
        </w:r>
        <w:r w:rsidRPr="004656D0">
          <w:rPr>
            <w:rStyle w:val="Hyperlink"/>
          </w:rPr>
          <w:t>While both single DCI and multiple DCI indication has their benefits, it seems more natural to support multiple DCI indication in case of multiple NR-PDSCH scheduling</w:t>
        </w:r>
      </w:hyperlink>
    </w:p>
    <w:p w14:paraId="261DF25F" w14:textId="479AB3C0" w:rsidR="007E452D" w:rsidRDefault="007E452D">
      <w:pPr>
        <w:pStyle w:val="TOC1"/>
        <w:rPr>
          <w:rFonts w:asciiTheme="minorHAnsi" w:eastAsiaTheme="minorEastAsia" w:hAnsiTheme="minorHAnsi" w:cstheme="minorBidi"/>
          <w:b w:val="0"/>
          <w:sz w:val="22"/>
          <w:lang w:eastAsia="en-US"/>
        </w:rPr>
      </w:pPr>
      <w:hyperlink w:anchor="_Toc481765472" w:history="1">
        <w:r w:rsidRPr="004656D0">
          <w:rPr>
            <w:rStyle w:val="Hyperlink"/>
          </w:rPr>
          <w:t>Observation 5</w:t>
        </w:r>
        <w:r>
          <w:rPr>
            <w:rFonts w:asciiTheme="minorHAnsi" w:eastAsiaTheme="minorEastAsia" w:hAnsiTheme="minorHAnsi" w:cstheme="minorBidi"/>
            <w:b w:val="0"/>
            <w:sz w:val="22"/>
            <w:lang w:eastAsia="en-US"/>
          </w:rPr>
          <w:tab/>
        </w:r>
        <w:r w:rsidRPr="004656D0">
          <w:rPr>
            <w:rStyle w:val="Hyperlink"/>
          </w:rPr>
          <w:t>In the single PDSCH case, explicit DMRS port group indication may be needed for QCL purposes while the DMRS port grouping can be implicit in the multiple PDSCH case</w:t>
        </w:r>
      </w:hyperlink>
    </w:p>
    <w:p w14:paraId="65E7E2FA" w14:textId="236575ED" w:rsidR="007E452D" w:rsidRDefault="007E452D">
      <w:pPr>
        <w:pStyle w:val="TOC1"/>
        <w:rPr>
          <w:rFonts w:asciiTheme="minorHAnsi" w:eastAsiaTheme="minorEastAsia" w:hAnsiTheme="minorHAnsi" w:cstheme="minorBidi"/>
          <w:b w:val="0"/>
          <w:sz w:val="22"/>
          <w:lang w:eastAsia="en-US"/>
        </w:rPr>
      </w:pPr>
      <w:hyperlink w:anchor="_Toc481765473" w:history="1">
        <w:r w:rsidRPr="004656D0">
          <w:rPr>
            <w:rStyle w:val="Hyperlink"/>
          </w:rPr>
          <w:t>Observation 6</w:t>
        </w:r>
        <w:r>
          <w:rPr>
            <w:rFonts w:asciiTheme="minorHAnsi" w:eastAsiaTheme="minorEastAsia" w:hAnsiTheme="minorHAnsi" w:cstheme="minorBidi"/>
            <w:b w:val="0"/>
            <w:sz w:val="22"/>
            <w:lang w:eastAsia="en-US"/>
          </w:rPr>
          <w:tab/>
        </w:r>
        <w:r w:rsidRPr="004656D0">
          <w:rPr>
            <w:rStyle w:val="Hyperlink"/>
          </w:rPr>
          <w:t>Due to single CW for up to rank 4, single NR-PDSCH may perform worse than multiple NR-PDSCH</w:t>
        </w:r>
      </w:hyperlink>
    </w:p>
    <w:p w14:paraId="0BFB8111" w14:textId="21E3252E" w:rsidR="007E452D" w:rsidRDefault="007E452D">
      <w:pPr>
        <w:pStyle w:val="TOC1"/>
        <w:rPr>
          <w:rFonts w:asciiTheme="minorHAnsi" w:eastAsiaTheme="minorEastAsia" w:hAnsiTheme="minorHAnsi" w:cstheme="minorBidi"/>
          <w:b w:val="0"/>
          <w:sz w:val="22"/>
          <w:lang w:eastAsia="en-US"/>
        </w:rPr>
      </w:pPr>
      <w:hyperlink w:anchor="_Toc481765474" w:history="1">
        <w:r w:rsidRPr="004656D0">
          <w:rPr>
            <w:rStyle w:val="Hyperlink"/>
          </w:rPr>
          <w:t>Observation 7</w:t>
        </w:r>
        <w:r>
          <w:rPr>
            <w:rFonts w:asciiTheme="minorHAnsi" w:eastAsiaTheme="minorEastAsia" w:hAnsiTheme="minorHAnsi" w:cstheme="minorBidi"/>
            <w:b w:val="0"/>
            <w:sz w:val="22"/>
            <w:lang w:eastAsia="en-US"/>
          </w:rPr>
          <w:tab/>
        </w:r>
        <w:r w:rsidRPr="004656D0">
          <w:rPr>
            <w:rStyle w:val="Hyperlink"/>
          </w:rPr>
          <w:t>RAN1 should study the supported maximum number of codewords that a UE can be assumed to receive within a carrier</w:t>
        </w:r>
      </w:hyperlink>
    </w:p>
    <w:p w14:paraId="6AC53E94" w14:textId="5058FDBB" w:rsidR="008E065E" w:rsidRDefault="00E5689D" w:rsidP="008E065E">
      <w:pPr>
        <w:pStyle w:val="BodyText"/>
        <w:rPr>
          <w:b/>
          <w:bCs/>
        </w:rPr>
      </w:pPr>
      <w:r>
        <w:rPr>
          <w:bCs/>
          <w:noProof/>
          <w:szCs w:val="22"/>
          <w:lang w:val="en-US"/>
        </w:rPr>
        <w:fldChar w:fldCharType="end"/>
      </w:r>
    </w:p>
    <w:p w14:paraId="3FF9A78F" w14:textId="77777777" w:rsidR="007E452D"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bookmarkStart w:id="11" w:name="_GoBack"/>
      <w:bookmarkEnd w:id="11"/>
      <w:r>
        <w:rPr>
          <w:b/>
          <w:bCs/>
        </w:rPr>
        <w:fldChar w:fldCharType="begin"/>
      </w:r>
      <w:r>
        <w:rPr>
          <w:b/>
          <w:bCs/>
        </w:rPr>
        <w:instrText xml:space="preserve"> TOC \f \n \p " " \t "Proposal,1" </w:instrText>
      </w:r>
      <w:r>
        <w:rPr>
          <w:b/>
          <w:bCs/>
        </w:rPr>
        <w:fldChar w:fldCharType="separate"/>
      </w:r>
    </w:p>
    <w:p w14:paraId="679DE1B4" w14:textId="77777777" w:rsidR="007E452D" w:rsidRDefault="007E452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Support non-coherent JT in NR with separate NR-PDSCH per TRP indicated in separate NR-PDCCH</w:t>
      </w:r>
    </w:p>
    <w:p w14:paraId="60B357CF" w14:textId="54CF0CB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2" w:name="_In-sequence_SDU_delivery"/>
      <w:bookmarkEnd w:id="12"/>
      <w:r w:rsidRPr="00CE0424">
        <w:t>References</w:t>
      </w:r>
    </w:p>
    <w:p w14:paraId="3BC9304B" w14:textId="721333BE" w:rsidR="003A7EF3" w:rsidRPr="007E452D" w:rsidRDefault="00195E48" w:rsidP="00CE0424">
      <w:pPr>
        <w:pStyle w:val="Reference"/>
      </w:pPr>
      <w:bookmarkStart w:id="13" w:name="_Ref481504783"/>
      <w:r w:rsidRPr="007E452D">
        <w:t>R1-170</w:t>
      </w:r>
      <w:r w:rsidR="007E452D" w:rsidRPr="007E452D">
        <w:t>8695</w:t>
      </w:r>
      <w:r w:rsidRPr="007E452D">
        <w:t xml:space="preserve"> “</w:t>
      </w:r>
      <w:r w:rsidR="007E452D" w:rsidRPr="007E452D">
        <w:t>Multi-panel codebook</w:t>
      </w:r>
      <w:r w:rsidRPr="007E452D">
        <w:t>”, Ericsson, RAN1#89 Hangzhou</w:t>
      </w:r>
      <w:bookmarkEnd w:id="13"/>
    </w:p>
    <w:sectPr w:rsidR="003A7EF3" w:rsidRPr="007E452D"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1802D" w14:textId="77777777" w:rsidR="00C0728B" w:rsidRDefault="00C0728B">
      <w:r>
        <w:separator/>
      </w:r>
    </w:p>
  </w:endnote>
  <w:endnote w:type="continuationSeparator" w:id="0">
    <w:p w14:paraId="4AEBAC91" w14:textId="77777777" w:rsidR="00C0728B" w:rsidRDefault="00C0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CFAD" w14:textId="77777777" w:rsidR="008B1C70" w:rsidRDefault="008B1C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F33B4EB" w:rsidR="00920BF2" w:rsidRPr="008B1C70" w:rsidRDefault="00920BF2" w:rsidP="008B1C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15B3A" w14:textId="77777777" w:rsidR="008B1C70" w:rsidRDefault="008B1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B7458" w14:textId="77777777" w:rsidR="00C0728B" w:rsidRDefault="00C0728B">
      <w:r>
        <w:separator/>
      </w:r>
    </w:p>
  </w:footnote>
  <w:footnote w:type="continuationSeparator" w:id="0">
    <w:p w14:paraId="4E2308A1" w14:textId="77777777" w:rsidR="00C0728B" w:rsidRDefault="00C07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2DB08DB7" w:rsidR="00920BF2" w:rsidRPr="008B1C70" w:rsidRDefault="00920BF2" w:rsidP="008B1C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FFA2" w14:textId="77777777" w:rsidR="008B1C70" w:rsidRDefault="008B1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32720" w14:textId="77777777" w:rsidR="008B1C70" w:rsidRDefault="008B1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584592"/>
    <w:multiLevelType w:val="hybridMultilevel"/>
    <w:tmpl w:val="7958B292"/>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74304"/>
    <w:multiLevelType w:val="hybridMultilevel"/>
    <w:tmpl w:val="5FEC34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5"/>
  </w:num>
  <w:num w:numId="8">
    <w:abstractNumId w:val="7"/>
  </w:num>
  <w:num w:numId="9">
    <w:abstractNumId w:val="4"/>
  </w:num>
  <w:num w:numId="10">
    <w:abstractNumId w:val="2"/>
  </w:num>
  <w:num w:numId="11">
    <w:abstractNumId w:val="1"/>
  </w:num>
  <w:num w:numId="12">
    <w:abstractNumId w:val="0"/>
  </w:num>
  <w:num w:numId="13">
    <w:abstractNumId w:val="14"/>
  </w:num>
  <w:num w:numId="14">
    <w:abstractNumId w:val="8"/>
  </w:num>
  <w:num w:numId="15">
    <w:abstractNumId w:val="13"/>
  </w:num>
  <w:num w:numId="16">
    <w:abstractNumId w:val="16"/>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23E6"/>
    <w:rsid w:val="00022F22"/>
    <w:rsid w:val="0002564D"/>
    <w:rsid w:val="00025ECA"/>
    <w:rsid w:val="00027C56"/>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2AA5"/>
    <w:rsid w:val="00190AC1"/>
    <w:rsid w:val="0019341A"/>
    <w:rsid w:val="00195E48"/>
    <w:rsid w:val="00197DF9"/>
    <w:rsid w:val="001A1987"/>
    <w:rsid w:val="001A2564"/>
    <w:rsid w:val="001A6173"/>
    <w:rsid w:val="001A6CBA"/>
    <w:rsid w:val="001B0D97"/>
    <w:rsid w:val="001B5A5D"/>
    <w:rsid w:val="001C1CE5"/>
    <w:rsid w:val="001C3D2A"/>
    <w:rsid w:val="001D51BA"/>
    <w:rsid w:val="001D6342"/>
    <w:rsid w:val="001D68A4"/>
    <w:rsid w:val="001D6D53"/>
    <w:rsid w:val="001E2560"/>
    <w:rsid w:val="001E58E2"/>
    <w:rsid w:val="001E7AED"/>
    <w:rsid w:val="001F3916"/>
    <w:rsid w:val="001F54C5"/>
    <w:rsid w:val="001F662C"/>
    <w:rsid w:val="001F7074"/>
    <w:rsid w:val="001F733B"/>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56"/>
    <w:rsid w:val="002805F5"/>
    <w:rsid w:val="00280751"/>
    <w:rsid w:val="0028280A"/>
    <w:rsid w:val="00286ACD"/>
    <w:rsid w:val="00287838"/>
    <w:rsid w:val="002907B5"/>
    <w:rsid w:val="00292EB7"/>
    <w:rsid w:val="0029401A"/>
    <w:rsid w:val="00296227"/>
    <w:rsid w:val="00296F44"/>
    <w:rsid w:val="0029777D"/>
    <w:rsid w:val="002A055E"/>
    <w:rsid w:val="002A1D4E"/>
    <w:rsid w:val="002A2869"/>
    <w:rsid w:val="002B24D6"/>
    <w:rsid w:val="002C41E6"/>
    <w:rsid w:val="002D071A"/>
    <w:rsid w:val="002D34B2"/>
    <w:rsid w:val="002D7637"/>
    <w:rsid w:val="002E1595"/>
    <w:rsid w:val="002E17F2"/>
    <w:rsid w:val="002E7CAE"/>
    <w:rsid w:val="002F2771"/>
    <w:rsid w:val="002F37A9"/>
    <w:rsid w:val="002F6288"/>
    <w:rsid w:val="00301CE6"/>
    <w:rsid w:val="0030256B"/>
    <w:rsid w:val="0030501F"/>
    <w:rsid w:val="00307BA1"/>
    <w:rsid w:val="00311702"/>
    <w:rsid w:val="00311E82"/>
    <w:rsid w:val="00313FD6"/>
    <w:rsid w:val="003143BD"/>
    <w:rsid w:val="00317452"/>
    <w:rsid w:val="003203ED"/>
    <w:rsid w:val="003217E8"/>
    <w:rsid w:val="00322C9F"/>
    <w:rsid w:val="00324D23"/>
    <w:rsid w:val="00327997"/>
    <w:rsid w:val="00331751"/>
    <w:rsid w:val="00331B7B"/>
    <w:rsid w:val="00334579"/>
    <w:rsid w:val="00335858"/>
    <w:rsid w:val="00336BDA"/>
    <w:rsid w:val="00342BD7"/>
    <w:rsid w:val="00346DB5"/>
    <w:rsid w:val="003477B1"/>
    <w:rsid w:val="00353842"/>
    <w:rsid w:val="00356A14"/>
    <w:rsid w:val="00357380"/>
    <w:rsid w:val="003602D9"/>
    <w:rsid w:val="003604CE"/>
    <w:rsid w:val="003624D9"/>
    <w:rsid w:val="00370E47"/>
    <w:rsid w:val="00371DFB"/>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0178"/>
    <w:rsid w:val="00437447"/>
    <w:rsid w:val="004377C9"/>
    <w:rsid w:val="00441782"/>
    <w:rsid w:val="00441A92"/>
    <w:rsid w:val="00444F56"/>
    <w:rsid w:val="00446488"/>
    <w:rsid w:val="004464DB"/>
    <w:rsid w:val="0045029C"/>
    <w:rsid w:val="004517AA"/>
    <w:rsid w:val="00452CAC"/>
    <w:rsid w:val="00457565"/>
    <w:rsid w:val="00457B71"/>
    <w:rsid w:val="004669E2"/>
    <w:rsid w:val="00470C31"/>
    <w:rsid w:val="0047278A"/>
    <w:rsid w:val="004734D0"/>
    <w:rsid w:val="0047556B"/>
    <w:rsid w:val="00477768"/>
    <w:rsid w:val="00492BC5"/>
    <w:rsid w:val="0049627F"/>
    <w:rsid w:val="004964F1"/>
    <w:rsid w:val="004A16BC"/>
    <w:rsid w:val="004A2B94"/>
    <w:rsid w:val="004B7C0C"/>
    <w:rsid w:val="004C3898"/>
    <w:rsid w:val="004D36B1"/>
    <w:rsid w:val="004D7EBD"/>
    <w:rsid w:val="004E2680"/>
    <w:rsid w:val="004E28F9"/>
    <w:rsid w:val="004E462E"/>
    <w:rsid w:val="004E56DC"/>
    <w:rsid w:val="004E76F4"/>
    <w:rsid w:val="004F0496"/>
    <w:rsid w:val="004F0B4E"/>
    <w:rsid w:val="004F0B6C"/>
    <w:rsid w:val="004F2078"/>
    <w:rsid w:val="004F3687"/>
    <w:rsid w:val="004F4DA3"/>
    <w:rsid w:val="00506557"/>
    <w:rsid w:val="0050677A"/>
    <w:rsid w:val="005108D8"/>
    <w:rsid w:val="005116F9"/>
    <w:rsid w:val="005153A7"/>
    <w:rsid w:val="005157D0"/>
    <w:rsid w:val="005219CF"/>
    <w:rsid w:val="00534B59"/>
    <w:rsid w:val="00535FBF"/>
    <w:rsid w:val="00536759"/>
    <w:rsid w:val="00537C62"/>
    <w:rsid w:val="00546970"/>
    <w:rsid w:val="00554192"/>
    <w:rsid w:val="00554E19"/>
    <w:rsid w:val="0056121F"/>
    <w:rsid w:val="00572505"/>
    <w:rsid w:val="00575DA6"/>
    <w:rsid w:val="00582809"/>
    <w:rsid w:val="00585992"/>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9AD"/>
    <w:rsid w:val="006A46FB"/>
    <w:rsid w:val="006A5E28"/>
    <w:rsid w:val="006A6585"/>
    <w:rsid w:val="006A697B"/>
    <w:rsid w:val="006A7AFF"/>
    <w:rsid w:val="006B1816"/>
    <w:rsid w:val="006B2099"/>
    <w:rsid w:val="006B3D57"/>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243"/>
    <w:rsid w:val="00747D8B"/>
    <w:rsid w:val="00751228"/>
    <w:rsid w:val="00753C67"/>
    <w:rsid w:val="007571E1"/>
    <w:rsid w:val="007604B2"/>
    <w:rsid w:val="007620CF"/>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3E9"/>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52D"/>
    <w:rsid w:val="007E4610"/>
    <w:rsid w:val="007E4715"/>
    <w:rsid w:val="007E505B"/>
    <w:rsid w:val="007E7091"/>
    <w:rsid w:val="007F75D5"/>
    <w:rsid w:val="00803FAE"/>
    <w:rsid w:val="0080605F"/>
    <w:rsid w:val="00807786"/>
    <w:rsid w:val="00811FCB"/>
    <w:rsid w:val="0081400B"/>
    <w:rsid w:val="008158D6"/>
    <w:rsid w:val="00817196"/>
    <w:rsid w:val="008235DB"/>
    <w:rsid w:val="00824AB4"/>
    <w:rsid w:val="00825C42"/>
    <w:rsid w:val="00825D25"/>
    <w:rsid w:val="00827D6F"/>
    <w:rsid w:val="008376AC"/>
    <w:rsid w:val="008444E8"/>
    <w:rsid w:val="00844E80"/>
    <w:rsid w:val="00846FE7"/>
    <w:rsid w:val="00855041"/>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C70"/>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0FA3"/>
    <w:rsid w:val="00911DFB"/>
    <w:rsid w:val="009134E2"/>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4E0"/>
    <w:rsid w:val="009A0FBA"/>
    <w:rsid w:val="009A1601"/>
    <w:rsid w:val="009A18A7"/>
    <w:rsid w:val="009A462D"/>
    <w:rsid w:val="009A5CBA"/>
    <w:rsid w:val="009B1F30"/>
    <w:rsid w:val="009B27C6"/>
    <w:rsid w:val="009B3AC2"/>
    <w:rsid w:val="009B4DF4"/>
    <w:rsid w:val="009B564E"/>
    <w:rsid w:val="009B7E87"/>
    <w:rsid w:val="009C403E"/>
    <w:rsid w:val="009C6832"/>
    <w:rsid w:val="009C7A1C"/>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89E"/>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B6754"/>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28B"/>
    <w:rsid w:val="00C07377"/>
    <w:rsid w:val="00C10478"/>
    <w:rsid w:val="00C12107"/>
    <w:rsid w:val="00C14D4B"/>
    <w:rsid w:val="00C154BB"/>
    <w:rsid w:val="00C279B5"/>
    <w:rsid w:val="00C27C45"/>
    <w:rsid w:val="00C3719D"/>
    <w:rsid w:val="00C54995"/>
    <w:rsid w:val="00C54D41"/>
    <w:rsid w:val="00C60783"/>
    <w:rsid w:val="00C64672"/>
    <w:rsid w:val="00C70697"/>
    <w:rsid w:val="00C70A7A"/>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41B7"/>
    <w:rsid w:val="00CE0424"/>
    <w:rsid w:val="00CE7561"/>
    <w:rsid w:val="00CF1354"/>
    <w:rsid w:val="00CF3B1F"/>
    <w:rsid w:val="00CF3BF6"/>
    <w:rsid w:val="00CF625B"/>
    <w:rsid w:val="00CF687E"/>
    <w:rsid w:val="00D03026"/>
    <w:rsid w:val="00D0349B"/>
    <w:rsid w:val="00D10249"/>
    <w:rsid w:val="00D115C3"/>
    <w:rsid w:val="00D11897"/>
    <w:rsid w:val="00D13135"/>
    <w:rsid w:val="00D13E4E"/>
    <w:rsid w:val="00D205A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5CEF"/>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D8"/>
    <w:rsid w:val="00E446F1"/>
    <w:rsid w:val="00E46886"/>
    <w:rsid w:val="00E47AEF"/>
    <w:rsid w:val="00E53B75"/>
    <w:rsid w:val="00E54E3B"/>
    <w:rsid w:val="00E5689D"/>
    <w:rsid w:val="00E57565"/>
    <w:rsid w:val="00E63838"/>
    <w:rsid w:val="00E64434"/>
    <w:rsid w:val="00E64B80"/>
    <w:rsid w:val="00E67C51"/>
    <w:rsid w:val="00E72EFC"/>
    <w:rsid w:val="00E758EC"/>
    <w:rsid w:val="00E80723"/>
    <w:rsid w:val="00E8234C"/>
    <w:rsid w:val="00E83AA9"/>
    <w:rsid w:val="00E85928"/>
    <w:rsid w:val="00E87822"/>
    <w:rsid w:val="00E90395"/>
    <w:rsid w:val="00E90E49"/>
    <w:rsid w:val="00E917F9"/>
    <w:rsid w:val="00E9291C"/>
    <w:rsid w:val="00E93FFE"/>
    <w:rsid w:val="00E94F8A"/>
    <w:rsid w:val="00EA4B16"/>
    <w:rsid w:val="00EA5BBB"/>
    <w:rsid w:val="00EA7A41"/>
    <w:rsid w:val="00EB077B"/>
    <w:rsid w:val="00EB4EA2"/>
    <w:rsid w:val="00EC27C6"/>
    <w:rsid w:val="00EC4207"/>
    <w:rsid w:val="00EC5653"/>
    <w:rsid w:val="00EC71CE"/>
    <w:rsid w:val="00EC77A7"/>
    <w:rsid w:val="00ED1006"/>
    <w:rsid w:val="00EE0B11"/>
    <w:rsid w:val="00EE2106"/>
    <w:rsid w:val="00EE59C8"/>
    <w:rsid w:val="00EF18FE"/>
    <w:rsid w:val="00EF2A43"/>
    <w:rsid w:val="00EF5787"/>
    <w:rsid w:val="00EF60D0"/>
    <w:rsid w:val="00F0528D"/>
    <w:rsid w:val="00F06C67"/>
    <w:rsid w:val="00F06DFD"/>
    <w:rsid w:val="00F071D1"/>
    <w:rsid w:val="00F07533"/>
    <w:rsid w:val="00F10629"/>
    <w:rsid w:val="00F1217E"/>
    <w:rsid w:val="00F15FA5"/>
    <w:rsid w:val="00F209B7"/>
    <w:rsid w:val="00F21B9E"/>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1C583-D906-4B57-BB89-B89689D0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2017-05-05T14:36:00Z</dcterms:created>
  <dcterms:modified xsi:type="dcterms:W3CDTF">2017-05-05T14:36:00Z</dcterms:modified>
</cp:coreProperties>
</file>