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9FF" w:rsidRPr="00CB3E1A" w:rsidRDefault="009E09C9" w:rsidP="007B43AE">
      <w:pPr>
        <w:pStyle w:val="Header"/>
        <w:widowControl w:val="0"/>
        <w:jc w:val="left"/>
        <w:rPr>
          <w:rFonts w:ascii="Arial" w:hAnsi="Arial" w:cs="Arial"/>
          <w:b/>
          <w:bCs/>
          <w:lang w:eastAsia="zh-CN"/>
        </w:rPr>
      </w:pPr>
      <w:r w:rsidRPr="009E09C9">
        <w:rPr>
          <w:rFonts w:ascii="Arial" w:hAnsi="Arial" w:cs="Arial"/>
          <w:b/>
          <w:bCs/>
          <w:lang w:val="en-GB"/>
        </w:rPr>
        <w:t>3GPP TSG RAN WG1 Meeting #8</w:t>
      </w:r>
      <w:r w:rsidR="00F61183">
        <w:rPr>
          <w:rFonts w:ascii="Arial" w:hAnsi="Arial" w:cs="Arial"/>
          <w:b/>
          <w:bCs/>
          <w:lang w:val="en-GB"/>
        </w:rPr>
        <w:t>9</w:t>
      </w:r>
      <w:r w:rsidR="00E269FF">
        <w:rPr>
          <w:rFonts w:ascii="Arial" w:hAnsi="Arial" w:cs="Arial"/>
          <w:b/>
          <w:bCs/>
        </w:rPr>
        <w:t xml:space="preserve">                                                         </w:t>
      </w:r>
      <w:r w:rsidR="000F598A">
        <w:rPr>
          <w:rFonts w:ascii="Arial" w:hAnsi="Arial" w:cs="Arial"/>
          <w:b/>
          <w:bCs/>
        </w:rPr>
        <w:t xml:space="preserve">  </w:t>
      </w:r>
      <w:r>
        <w:rPr>
          <w:rFonts w:ascii="Arial" w:hAnsi="Arial" w:cs="Arial" w:hint="eastAsia"/>
          <w:b/>
          <w:bCs/>
          <w:lang w:eastAsia="zh-CN"/>
        </w:rPr>
        <w:t xml:space="preserve">             </w:t>
      </w:r>
      <w:r w:rsidR="00E269FF" w:rsidRPr="007B43AE">
        <w:rPr>
          <w:rFonts w:ascii="Arial" w:hAnsi="Arial" w:cs="Arial"/>
          <w:b/>
          <w:bCs/>
        </w:rPr>
        <w:t>R1-</w:t>
      </w:r>
      <w:r w:rsidR="00CE352A" w:rsidRPr="007B43AE">
        <w:rPr>
          <w:rFonts w:ascii="Arial" w:hAnsi="Arial" w:cs="Arial"/>
          <w:b/>
          <w:bCs/>
        </w:rPr>
        <w:t>1</w:t>
      </w:r>
      <w:r w:rsidR="007B43AE">
        <w:rPr>
          <w:rFonts w:ascii="Arial" w:hAnsi="Arial" w:cs="Arial"/>
          <w:b/>
          <w:bCs/>
        </w:rPr>
        <w:t>7</w:t>
      </w:r>
      <w:r w:rsidR="003F1CE6">
        <w:rPr>
          <w:rFonts w:ascii="Arial" w:hAnsi="Arial" w:cs="Arial"/>
          <w:b/>
          <w:bCs/>
        </w:rPr>
        <w:t>0</w:t>
      </w:r>
      <w:r w:rsidR="00F61183">
        <w:rPr>
          <w:rFonts w:ascii="Arial" w:hAnsi="Arial" w:cs="Arial"/>
          <w:b/>
          <w:bCs/>
          <w:lang w:eastAsia="zh-CN"/>
        </w:rPr>
        <w:t>7764</w:t>
      </w:r>
    </w:p>
    <w:p w:rsidR="00F61183" w:rsidRDefault="00F61183" w:rsidP="00F61183">
      <w:pPr>
        <w:pStyle w:val="Header"/>
        <w:widowControl w:val="0"/>
        <w:tabs>
          <w:tab w:val="right" w:pos="8280"/>
          <w:tab w:val="right" w:pos="9781"/>
        </w:tabs>
        <w:ind w:right="-58"/>
        <w:rPr>
          <w:rFonts w:ascii="Arial" w:hAnsi="Arial" w:cs="Arial"/>
          <w:b/>
          <w:bCs/>
          <w:lang w:eastAsia="zh-CN"/>
        </w:rPr>
      </w:pPr>
      <w:r>
        <w:rPr>
          <w:rFonts w:ascii="Arial" w:hAnsi="Arial" w:cs="Arial"/>
          <w:b/>
          <w:bCs/>
          <w:lang w:eastAsia="zh-CN"/>
        </w:rPr>
        <w:t>Hangzhou, P.R. China 15th – 19th May 2017</w:t>
      </w:r>
    </w:p>
    <w:p w:rsidR="009C0564" w:rsidRPr="00096C36"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F61183">
        <w:rPr>
          <w:rFonts w:ascii="Arial" w:hAnsi="Arial" w:cs="Arial"/>
          <w:b/>
          <w:bCs/>
          <w:szCs w:val="20"/>
          <w:lang w:val="en-GB" w:eastAsia="zh-CN"/>
        </w:rPr>
        <w:t>7</w:t>
      </w:r>
      <w:r w:rsidR="006E34BF" w:rsidRPr="00FE65F2">
        <w:rPr>
          <w:rFonts w:ascii="Arial" w:hAnsi="Arial" w:cs="Arial"/>
          <w:b/>
          <w:bCs/>
          <w:szCs w:val="20"/>
          <w:lang w:val="en-GB" w:eastAsia="zh-CN"/>
        </w:rPr>
        <w:t>.</w:t>
      </w:r>
      <w:r w:rsidR="00C022B8">
        <w:rPr>
          <w:rFonts w:ascii="Arial" w:hAnsi="Arial" w:cs="Arial" w:hint="eastAsia"/>
          <w:b/>
          <w:bCs/>
          <w:szCs w:val="20"/>
          <w:lang w:val="en-GB" w:eastAsia="zh-CN"/>
        </w:rPr>
        <w:t>1</w:t>
      </w:r>
      <w:r w:rsidR="006E34BF" w:rsidRPr="00FE65F2">
        <w:rPr>
          <w:rFonts w:ascii="Arial" w:hAnsi="Arial" w:cs="Arial"/>
          <w:b/>
          <w:bCs/>
          <w:szCs w:val="20"/>
          <w:lang w:val="en-GB" w:eastAsia="zh-CN"/>
        </w:rPr>
        <w:t>.</w:t>
      </w:r>
      <w:r w:rsidR="00ED0B0C">
        <w:rPr>
          <w:rFonts w:ascii="Arial" w:hAnsi="Arial" w:cs="Arial"/>
          <w:b/>
          <w:bCs/>
          <w:szCs w:val="20"/>
          <w:lang w:val="en-GB" w:eastAsia="zh-CN"/>
        </w:rPr>
        <w:t>2</w:t>
      </w:r>
      <w:r w:rsidR="00444698">
        <w:rPr>
          <w:rFonts w:ascii="Arial" w:hAnsi="Arial" w:cs="Arial"/>
          <w:b/>
          <w:bCs/>
          <w:szCs w:val="20"/>
          <w:lang w:val="en-GB" w:eastAsia="zh-CN"/>
        </w:rPr>
        <w:t>.</w:t>
      </w:r>
      <w:r w:rsidR="00ED0B0C">
        <w:rPr>
          <w:rFonts w:ascii="Arial" w:hAnsi="Arial" w:cs="Arial"/>
          <w:b/>
          <w:bCs/>
          <w:szCs w:val="20"/>
          <w:lang w:val="en-GB" w:eastAsia="zh-CN"/>
        </w:rPr>
        <w:t>4</w:t>
      </w:r>
      <w:r w:rsidR="009E09C9">
        <w:rPr>
          <w:rFonts w:ascii="Arial" w:hAnsi="Arial" w:cs="Arial" w:hint="eastAsia"/>
          <w:b/>
          <w:bCs/>
          <w:szCs w:val="20"/>
          <w:lang w:val="en-GB" w:eastAsia="zh-CN"/>
        </w:rPr>
        <w:t>.</w:t>
      </w:r>
      <w:r w:rsidR="00ED0B0C">
        <w:rPr>
          <w:rFonts w:ascii="Arial" w:hAnsi="Arial" w:cs="Arial"/>
          <w:b/>
          <w:bCs/>
          <w:szCs w:val="20"/>
          <w:lang w:val="en-GB" w:eastAsia="zh-CN"/>
        </w:rPr>
        <w:t>4</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ED0B0C">
        <w:rPr>
          <w:rFonts w:ascii="Arial" w:hAnsi="Arial" w:cs="Arial"/>
          <w:b/>
          <w:bCs/>
          <w:szCs w:val="20"/>
          <w:lang w:val="en-GB" w:eastAsia="zh-CN"/>
        </w:rPr>
        <w:t>Discussion of SRS</w:t>
      </w:r>
      <w:r w:rsidR="00251073" w:rsidRPr="00251073">
        <w:rPr>
          <w:rFonts w:ascii="Arial" w:hAnsi="Arial" w:cs="Arial"/>
          <w:b/>
          <w:bCs/>
          <w:szCs w:val="20"/>
          <w:lang w:val="en-GB" w:eastAsia="zh-CN"/>
        </w:rPr>
        <w:t xml:space="preserve"> </w:t>
      </w:r>
      <w:r w:rsidR="00F61183">
        <w:rPr>
          <w:rFonts w:ascii="Arial" w:hAnsi="Arial" w:cs="Arial"/>
          <w:b/>
          <w:bCs/>
          <w:szCs w:val="20"/>
          <w:lang w:val="en-GB" w:eastAsia="zh-CN"/>
        </w:rPr>
        <w:t>resource configuration</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86469D">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053043" w:rsidRDefault="00053043" w:rsidP="00053043">
      <w:pPr>
        <w:rPr>
          <w:lang w:eastAsia="zh-CN"/>
        </w:rPr>
      </w:pPr>
    </w:p>
    <w:p w:rsidR="002F282D" w:rsidRDefault="00053043" w:rsidP="007B5847">
      <w:pPr>
        <w:rPr>
          <w:rFonts w:eastAsia="Times New Roman"/>
          <w:sz w:val="20"/>
        </w:rPr>
      </w:pPr>
      <w:r w:rsidRPr="00053043">
        <w:rPr>
          <w:sz w:val="20"/>
          <w:szCs w:val="20"/>
          <w:lang w:eastAsia="zh-CN"/>
        </w:rPr>
        <w:t xml:space="preserve">In NR design, </w:t>
      </w:r>
      <w:r w:rsidRPr="00053043">
        <w:rPr>
          <w:rFonts w:eastAsia="Times New Roman"/>
          <w:sz w:val="20"/>
          <w:szCs w:val="20"/>
        </w:rPr>
        <w:t xml:space="preserve">SRS </w:t>
      </w:r>
      <w:r>
        <w:rPr>
          <w:rFonts w:eastAsia="Times New Roman"/>
          <w:sz w:val="20"/>
          <w:szCs w:val="20"/>
        </w:rPr>
        <w:t>can be</w:t>
      </w:r>
      <w:r w:rsidRPr="00053043">
        <w:rPr>
          <w:rFonts w:eastAsia="Times New Roman"/>
          <w:sz w:val="20"/>
          <w:szCs w:val="20"/>
        </w:rPr>
        <w:t xml:space="preserve"> used </w:t>
      </w:r>
      <w:r>
        <w:rPr>
          <w:rFonts w:eastAsia="Times New Roman"/>
          <w:sz w:val="20"/>
          <w:szCs w:val="20"/>
        </w:rPr>
        <w:t xml:space="preserve">by the </w:t>
      </w:r>
      <w:proofErr w:type="spellStart"/>
      <w:r>
        <w:rPr>
          <w:rFonts w:eastAsia="Times New Roman"/>
          <w:sz w:val="20"/>
          <w:szCs w:val="20"/>
        </w:rPr>
        <w:t>gNB</w:t>
      </w:r>
      <w:proofErr w:type="spellEnd"/>
      <w:r>
        <w:rPr>
          <w:rFonts w:eastAsia="Times New Roman"/>
          <w:sz w:val="20"/>
        </w:rPr>
        <w:t xml:space="preserve"> to obtain the uplink channel station information (CSI). </w:t>
      </w:r>
      <w:r w:rsidR="007B5847">
        <w:rPr>
          <w:rFonts w:eastAsia="Times New Roman"/>
          <w:sz w:val="20"/>
        </w:rPr>
        <w:t xml:space="preserve">When there is channel reciprocity between uplink and downlink, it can also be used by the </w:t>
      </w:r>
      <w:proofErr w:type="spellStart"/>
      <w:r w:rsidR="007B5847">
        <w:rPr>
          <w:rFonts w:eastAsia="Times New Roman"/>
          <w:sz w:val="20"/>
        </w:rPr>
        <w:t>gNB</w:t>
      </w:r>
      <w:proofErr w:type="spellEnd"/>
      <w:r w:rsidR="007B5847">
        <w:rPr>
          <w:rFonts w:eastAsia="Times New Roman"/>
          <w:sz w:val="20"/>
        </w:rPr>
        <w:t xml:space="preserve"> to </w:t>
      </w:r>
      <w:r w:rsidR="006B3969">
        <w:rPr>
          <w:rFonts w:eastAsia="Times New Roman"/>
          <w:sz w:val="20"/>
        </w:rPr>
        <w:t xml:space="preserve">aid </w:t>
      </w:r>
      <w:r w:rsidR="007B5847">
        <w:rPr>
          <w:rFonts w:eastAsia="Times New Roman"/>
          <w:sz w:val="20"/>
        </w:rPr>
        <w:t>estimat</w:t>
      </w:r>
      <w:r w:rsidR="006B3969">
        <w:rPr>
          <w:rFonts w:eastAsia="Times New Roman"/>
          <w:sz w:val="20"/>
        </w:rPr>
        <w:t>ion of</w:t>
      </w:r>
      <w:r w:rsidR="007B5847">
        <w:rPr>
          <w:rFonts w:eastAsia="Times New Roman"/>
          <w:sz w:val="20"/>
        </w:rPr>
        <w:t xml:space="preserve"> downlink CSI. </w:t>
      </w:r>
      <w:r>
        <w:rPr>
          <w:rFonts w:eastAsia="Times New Roman"/>
          <w:sz w:val="20"/>
        </w:rPr>
        <w:t xml:space="preserve">When UL TX </w:t>
      </w:r>
      <w:proofErr w:type="spellStart"/>
      <w:r>
        <w:rPr>
          <w:rFonts w:eastAsia="Times New Roman"/>
          <w:sz w:val="20"/>
        </w:rPr>
        <w:t>beamforming</w:t>
      </w:r>
      <w:proofErr w:type="spellEnd"/>
      <w:r>
        <w:rPr>
          <w:rFonts w:eastAsia="Times New Roman"/>
          <w:sz w:val="20"/>
        </w:rPr>
        <w:t xml:space="preserve"> is used by the UE and/or RX </w:t>
      </w:r>
      <w:proofErr w:type="spellStart"/>
      <w:r>
        <w:rPr>
          <w:rFonts w:eastAsia="Times New Roman"/>
          <w:sz w:val="20"/>
        </w:rPr>
        <w:t>beamforming</w:t>
      </w:r>
      <w:proofErr w:type="spellEnd"/>
      <w:r>
        <w:rPr>
          <w:rFonts w:eastAsia="Times New Roman"/>
          <w:sz w:val="20"/>
        </w:rPr>
        <w:t xml:space="preserve"> is used by the </w:t>
      </w:r>
      <w:proofErr w:type="spellStart"/>
      <w:r>
        <w:rPr>
          <w:rFonts w:eastAsia="Times New Roman"/>
          <w:sz w:val="20"/>
        </w:rPr>
        <w:t>gNB</w:t>
      </w:r>
      <w:proofErr w:type="spellEnd"/>
      <w:r>
        <w:rPr>
          <w:rFonts w:eastAsia="Times New Roman"/>
          <w:sz w:val="20"/>
        </w:rPr>
        <w:t>, it can also be used for UL beam management.</w:t>
      </w:r>
      <w:r w:rsidR="007B5847">
        <w:rPr>
          <w:rFonts w:eastAsia="Times New Roman"/>
          <w:sz w:val="20"/>
        </w:rPr>
        <w:t xml:space="preserve">  </w:t>
      </w:r>
    </w:p>
    <w:p w:rsidR="002F282D" w:rsidRDefault="002F282D" w:rsidP="007B5847">
      <w:pPr>
        <w:rPr>
          <w:rFonts w:eastAsia="Times New Roman"/>
          <w:sz w:val="20"/>
        </w:rPr>
      </w:pPr>
    </w:p>
    <w:p w:rsidR="002F282D" w:rsidRDefault="002F282D" w:rsidP="007B5847">
      <w:pPr>
        <w:rPr>
          <w:rFonts w:eastAsia="Times New Roman"/>
          <w:sz w:val="20"/>
        </w:rPr>
      </w:pPr>
      <w:r>
        <w:rPr>
          <w:rFonts w:eastAsia="Times New Roman"/>
          <w:sz w:val="20"/>
        </w:rPr>
        <w:t>In RAN1#86bis meeting, the following agreements were reached on UL beam management procedure.</w:t>
      </w:r>
    </w:p>
    <w:p w:rsidR="002F282D" w:rsidRPr="002F282D" w:rsidRDefault="002F282D" w:rsidP="002F282D">
      <w:pPr>
        <w:numPr>
          <w:ilvl w:val="0"/>
          <w:numId w:val="22"/>
        </w:numPr>
        <w:autoSpaceDE/>
        <w:autoSpaceDN/>
        <w:adjustRightInd/>
        <w:snapToGrid/>
        <w:spacing w:after="0"/>
        <w:jc w:val="left"/>
        <w:rPr>
          <w:rFonts w:eastAsia="MS Mincho"/>
          <w:sz w:val="20"/>
        </w:rPr>
      </w:pPr>
      <w:r w:rsidRPr="002F282D">
        <w:rPr>
          <w:rFonts w:eastAsia="MS Mincho"/>
          <w:sz w:val="20"/>
        </w:rPr>
        <w:t>UL beam management is to be further studied in NR</w:t>
      </w:r>
    </w:p>
    <w:p w:rsidR="002F282D" w:rsidRPr="002F282D" w:rsidRDefault="002F282D" w:rsidP="002F282D">
      <w:pPr>
        <w:numPr>
          <w:ilvl w:val="1"/>
          <w:numId w:val="22"/>
        </w:numPr>
        <w:autoSpaceDE/>
        <w:autoSpaceDN/>
        <w:adjustRightInd/>
        <w:snapToGrid/>
        <w:spacing w:after="0"/>
        <w:jc w:val="left"/>
        <w:rPr>
          <w:rFonts w:eastAsia="MS Mincho"/>
          <w:sz w:val="20"/>
        </w:rPr>
      </w:pPr>
      <w:r w:rsidRPr="002F282D">
        <w:rPr>
          <w:rFonts w:eastAsia="MS Mincho"/>
          <w:sz w:val="20"/>
        </w:rPr>
        <w:t>Similar procedures can be defined as DL beam management with details FFS, e.g.:</w:t>
      </w:r>
    </w:p>
    <w:p w:rsidR="002F282D" w:rsidRPr="002F282D" w:rsidRDefault="002F282D" w:rsidP="002F282D">
      <w:pPr>
        <w:numPr>
          <w:ilvl w:val="2"/>
          <w:numId w:val="22"/>
        </w:numPr>
        <w:autoSpaceDE/>
        <w:autoSpaceDN/>
        <w:adjustRightInd/>
        <w:snapToGrid/>
        <w:spacing w:after="0"/>
        <w:jc w:val="left"/>
        <w:rPr>
          <w:rFonts w:eastAsia="MS Mincho"/>
          <w:sz w:val="20"/>
        </w:rPr>
      </w:pPr>
      <w:r w:rsidRPr="002F282D">
        <w:rPr>
          <w:rFonts w:eastAsia="MS Mincho"/>
          <w:sz w:val="20"/>
        </w:rPr>
        <w:t xml:space="preserve">U-1: is used to enable TRP measurement on different UE </w:t>
      </w:r>
      <w:proofErr w:type="spellStart"/>
      <w:r w:rsidRPr="002F282D">
        <w:rPr>
          <w:rFonts w:eastAsia="MS Mincho"/>
          <w:sz w:val="20"/>
        </w:rPr>
        <w:t>Tx</w:t>
      </w:r>
      <w:proofErr w:type="spellEnd"/>
      <w:r w:rsidRPr="002F282D">
        <w:rPr>
          <w:rFonts w:eastAsia="MS Mincho"/>
          <w:sz w:val="20"/>
        </w:rPr>
        <w:t xml:space="preserve"> beams to support selection of UE </w:t>
      </w:r>
      <w:proofErr w:type="spellStart"/>
      <w:r w:rsidRPr="002F282D">
        <w:rPr>
          <w:rFonts w:eastAsia="MS Mincho"/>
          <w:sz w:val="20"/>
        </w:rPr>
        <w:t>Tx</w:t>
      </w:r>
      <w:proofErr w:type="spellEnd"/>
      <w:r w:rsidRPr="002F282D">
        <w:rPr>
          <w:rFonts w:eastAsia="MS Mincho"/>
          <w:sz w:val="20"/>
        </w:rPr>
        <w:t xml:space="preserve"> beams/TRP Rx beam(s)</w:t>
      </w:r>
    </w:p>
    <w:p w:rsidR="002F282D" w:rsidRPr="002F282D" w:rsidRDefault="002F282D" w:rsidP="002F282D">
      <w:pPr>
        <w:numPr>
          <w:ilvl w:val="3"/>
          <w:numId w:val="22"/>
        </w:numPr>
        <w:autoSpaceDE/>
        <w:autoSpaceDN/>
        <w:adjustRightInd/>
        <w:snapToGrid/>
        <w:spacing w:after="0"/>
        <w:jc w:val="left"/>
        <w:rPr>
          <w:rFonts w:eastAsia="MS Mincho"/>
          <w:sz w:val="20"/>
        </w:rPr>
      </w:pPr>
      <w:r w:rsidRPr="002F282D">
        <w:rPr>
          <w:rFonts w:eastAsia="MS Mincho"/>
          <w:sz w:val="20"/>
        </w:rPr>
        <w:t>Note: this is not necessarily useful in all cases</w:t>
      </w:r>
    </w:p>
    <w:p w:rsidR="002F282D" w:rsidRPr="002F282D" w:rsidRDefault="002F282D" w:rsidP="002F282D">
      <w:pPr>
        <w:numPr>
          <w:ilvl w:val="2"/>
          <w:numId w:val="22"/>
        </w:numPr>
        <w:autoSpaceDE/>
        <w:autoSpaceDN/>
        <w:adjustRightInd/>
        <w:snapToGrid/>
        <w:spacing w:after="0"/>
        <w:jc w:val="left"/>
        <w:rPr>
          <w:rFonts w:eastAsia="MS Mincho"/>
          <w:sz w:val="20"/>
        </w:rPr>
      </w:pPr>
      <w:r w:rsidRPr="002F282D">
        <w:rPr>
          <w:rFonts w:eastAsia="MS Mincho"/>
          <w:sz w:val="20"/>
        </w:rPr>
        <w:t>U-2: is used to enable TRP measurement on different TRP Rx beams to possibly change/select inter/intra-TRP Rx beam(s)</w:t>
      </w:r>
    </w:p>
    <w:p w:rsidR="002F282D" w:rsidRPr="002F282D" w:rsidRDefault="002F282D" w:rsidP="002F282D">
      <w:pPr>
        <w:numPr>
          <w:ilvl w:val="2"/>
          <w:numId w:val="22"/>
        </w:numPr>
        <w:autoSpaceDE/>
        <w:autoSpaceDN/>
        <w:adjustRightInd/>
        <w:snapToGrid/>
        <w:spacing w:after="0"/>
        <w:jc w:val="left"/>
        <w:rPr>
          <w:rFonts w:eastAsia="MS Mincho"/>
          <w:sz w:val="20"/>
        </w:rPr>
      </w:pPr>
      <w:r w:rsidRPr="002F282D">
        <w:rPr>
          <w:rFonts w:eastAsia="MS Mincho"/>
          <w:sz w:val="20"/>
        </w:rPr>
        <w:t xml:space="preserve">U-3: is used to enable TRP measurement on the same TRP Rx beam to change UE </w:t>
      </w:r>
      <w:proofErr w:type="spellStart"/>
      <w:r w:rsidRPr="002F282D">
        <w:rPr>
          <w:rFonts w:eastAsia="MS Mincho"/>
          <w:sz w:val="20"/>
        </w:rPr>
        <w:t>Tx</w:t>
      </w:r>
      <w:proofErr w:type="spellEnd"/>
      <w:r w:rsidRPr="002F282D">
        <w:rPr>
          <w:rFonts w:eastAsia="MS Mincho"/>
          <w:sz w:val="20"/>
        </w:rPr>
        <w:t xml:space="preserve"> beam in the case UE uses </w:t>
      </w:r>
      <w:proofErr w:type="spellStart"/>
      <w:r w:rsidRPr="002F282D">
        <w:rPr>
          <w:rFonts w:eastAsia="MS Mincho"/>
          <w:sz w:val="20"/>
        </w:rPr>
        <w:t>beamforming</w:t>
      </w:r>
      <w:proofErr w:type="spellEnd"/>
    </w:p>
    <w:p w:rsidR="002F282D" w:rsidRPr="002F282D" w:rsidRDefault="002F282D" w:rsidP="002F282D">
      <w:pPr>
        <w:numPr>
          <w:ilvl w:val="0"/>
          <w:numId w:val="22"/>
        </w:numPr>
        <w:autoSpaceDE/>
        <w:autoSpaceDN/>
        <w:adjustRightInd/>
        <w:snapToGrid/>
        <w:spacing w:after="0"/>
        <w:jc w:val="left"/>
        <w:rPr>
          <w:rFonts w:eastAsia="MS Mincho"/>
          <w:sz w:val="20"/>
        </w:rPr>
      </w:pPr>
      <w:r w:rsidRPr="002F282D">
        <w:rPr>
          <w:rFonts w:eastAsia="MS Mincho"/>
          <w:sz w:val="20"/>
        </w:rPr>
        <w:t xml:space="preserve">FFS Indication of information related to </w:t>
      </w:r>
      <w:proofErr w:type="spellStart"/>
      <w:r w:rsidRPr="002F282D">
        <w:rPr>
          <w:rFonts w:eastAsia="MS Mincho" w:hint="eastAsia"/>
          <w:sz w:val="20"/>
        </w:rPr>
        <w:t>Tx</w:t>
      </w:r>
      <w:proofErr w:type="spellEnd"/>
      <w:r w:rsidRPr="002F282D">
        <w:rPr>
          <w:rFonts w:eastAsia="MS Mincho" w:hint="eastAsia"/>
          <w:sz w:val="20"/>
        </w:rPr>
        <w:t xml:space="preserve">/Rx </w:t>
      </w:r>
      <w:r w:rsidRPr="002F282D">
        <w:rPr>
          <w:rFonts w:eastAsia="MS Mincho"/>
          <w:sz w:val="20"/>
        </w:rPr>
        <w:t>beam correspondence is supported</w:t>
      </w:r>
    </w:p>
    <w:p w:rsidR="002F282D" w:rsidRPr="002F282D" w:rsidRDefault="002F282D" w:rsidP="002F282D">
      <w:pPr>
        <w:numPr>
          <w:ilvl w:val="0"/>
          <w:numId w:val="22"/>
        </w:numPr>
        <w:autoSpaceDE/>
        <w:autoSpaceDN/>
        <w:adjustRightInd/>
        <w:snapToGrid/>
        <w:spacing w:after="0"/>
        <w:jc w:val="left"/>
        <w:rPr>
          <w:rFonts w:eastAsia="MS Mincho"/>
          <w:sz w:val="20"/>
        </w:rPr>
      </w:pPr>
      <w:r w:rsidRPr="002F282D">
        <w:rPr>
          <w:rFonts w:eastAsia="MS Mincho"/>
          <w:sz w:val="20"/>
        </w:rPr>
        <w:t>Study UL beam management based on:</w:t>
      </w:r>
    </w:p>
    <w:p w:rsidR="002F282D" w:rsidRPr="002F282D" w:rsidRDefault="002F282D" w:rsidP="002F282D">
      <w:pPr>
        <w:numPr>
          <w:ilvl w:val="1"/>
          <w:numId w:val="22"/>
        </w:numPr>
        <w:autoSpaceDE/>
        <w:autoSpaceDN/>
        <w:adjustRightInd/>
        <w:snapToGrid/>
        <w:spacing w:after="0"/>
        <w:jc w:val="left"/>
        <w:rPr>
          <w:rFonts w:eastAsia="MS Mincho"/>
          <w:sz w:val="20"/>
        </w:rPr>
      </w:pPr>
      <w:r w:rsidRPr="002F282D">
        <w:rPr>
          <w:rFonts w:eastAsia="MS Mincho"/>
          <w:sz w:val="20"/>
        </w:rPr>
        <w:t>PRACH</w:t>
      </w:r>
    </w:p>
    <w:p w:rsidR="002F282D" w:rsidRPr="002F282D" w:rsidRDefault="002F282D" w:rsidP="002F282D">
      <w:pPr>
        <w:numPr>
          <w:ilvl w:val="1"/>
          <w:numId w:val="22"/>
        </w:numPr>
        <w:autoSpaceDE/>
        <w:autoSpaceDN/>
        <w:adjustRightInd/>
        <w:snapToGrid/>
        <w:spacing w:after="0"/>
        <w:jc w:val="left"/>
        <w:rPr>
          <w:rFonts w:eastAsia="MS Mincho"/>
          <w:sz w:val="20"/>
        </w:rPr>
      </w:pPr>
      <w:r w:rsidRPr="002F282D">
        <w:rPr>
          <w:rFonts w:eastAsia="MS Mincho"/>
          <w:sz w:val="20"/>
        </w:rPr>
        <w:t>SRS</w:t>
      </w:r>
    </w:p>
    <w:p w:rsidR="002F282D" w:rsidRPr="002F282D" w:rsidRDefault="002F282D" w:rsidP="002F282D">
      <w:pPr>
        <w:numPr>
          <w:ilvl w:val="1"/>
          <w:numId w:val="22"/>
        </w:numPr>
        <w:autoSpaceDE/>
        <w:autoSpaceDN/>
        <w:adjustRightInd/>
        <w:snapToGrid/>
        <w:spacing w:after="0"/>
        <w:jc w:val="left"/>
        <w:rPr>
          <w:rFonts w:eastAsia="MS Mincho"/>
          <w:sz w:val="20"/>
        </w:rPr>
      </w:pPr>
      <w:r w:rsidRPr="002F282D">
        <w:rPr>
          <w:rFonts w:eastAsia="MS Mincho"/>
          <w:sz w:val="20"/>
        </w:rPr>
        <w:t>DM</w:t>
      </w:r>
      <w:r w:rsidRPr="002F282D">
        <w:rPr>
          <w:rFonts w:eastAsia="MS Mincho" w:hint="eastAsia"/>
          <w:sz w:val="20"/>
        </w:rPr>
        <w:t>-</w:t>
      </w:r>
      <w:r w:rsidRPr="002F282D">
        <w:rPr>
          <w:rFonts w:eastAsia="MS Mincho"/>
          <w:sz w:val="20"/>
        </w:rPr>
        <w:t>RS</w:t>
      </w:r>
    </w:p>
    <w:p w:rsidR="002F282D" w:rsidRPr="002F282D" w:rsidRDefault="002F282D" w:rsidP="002F282D">
      <w:pPr>
        <w:numPr>
          <w:ilvl w:val="1"/>
          <w:numId w:val="22"/>
        </w:numPr>
        <w:autoSpaceDE/>
        <w:autoSpaceDN/>
        <w:adjustRightInd/>
        <w:snapToGrid/>
        <w:spacing w:after="0"/>
        <w:jc w:val="left"/>
        <w:rPr>
          <w:rFonts w:eastAsia="MS Mincho"/>
          <w:sz w:val="20"/>
        </w:rPr>
      </w:pPr>
      <w:r w:rsidRPr="002F282D">
        <w:rPr>
          <w:rFonts w:eastAsia="MS Mincho"/>
          <w:sz w:val="20"/>
        </w:rPr>
        <w:t>Other channels and reference signals are not precluded</w:t>
      </w:r>
    </w:p>
    <w:p w:rsidR="002F282D" w:rsidRPr="002F282D" w:rsidRDefault="002F282D" w:rsidP="002F282D">
      <w:pPr>
        <w:numPr>
          <w:ilvl w:val="0"/>
          <w:numId w:val="22"/>
        </w:numPr>
        <w:autoSpaceDE/>
        <w:autoSpaceDN/>
        <w:adjustRightInd/>
        <w:snapToGrid/>
        <w:spacing w:after="0"/>
        <w:jc w:val="left"/>
        <w:rPr>
          <w:rFonts w:eastAsia="MS Mincho"/>
          <w:sz w:val="20"/>
        </w:rPr>
      </w:pPr>
      <w:r w:rsidRPr="002F282D">
        <w:rPr>
          <w:rFonts w:eastAsia="MS Mincho"/>
          <w:sz w:val="20"/>
        </w:rPr>
        <w:t xml:space="preserve">Study uplink beam management procedure by considering the </w:t>
      </w:r>
      <w:proofErr w:type="spellStart"/>
      <w:r w:rsidRPr="002F282D">
        <w:rPr>
          <w:rFonts w:eastAsia="MS Mincho"/>
          <w:sz w:val="20"/>
        </w:rPr>
        <w:t>Tx</w:t>
      </w:r>
      <w:proofErr w:type="spellEnd"/>
      <w:r w:rsidRPr="002F282D">
        <w:rPr>
          <w:rFonts w:eastAsia="MS Mincho"/>
          <w:sz w:val="20"/>
        </w:rPr>
        <w:t>/Rx beam correspondence</w:t>
      </w:r>
    </w:p>
    <w:p w:rsidR="002F282D" w:rsidRPr="002F282D" w:rsidRDefault="002F282D" w:rsidP="002F282D">
      <w:pPr>
        <w:numPr>
          <w:ilvl w:val="1"/>
          <w:numId w:val="22"/>
        </w:numPr>
        <w:autoSpaceDE/>
        <w:autoSpaceDN/>
        <w:adjustRightInd/>
        <w:snapToGrid/>
        <w:spacing w:after="0"/>
        <w:jc w:val="left"/>
        <w:rPr>
          <w:rFonts w:eastAsia="MS Mincho"/>
          <w:sz w:val="20"/>
        </w:rPr>
      </w:pPr>
      <w:r w:rsidRPr="002F282D">
        <w:rPr>
          <w:rFonts w:eastAsia="MS Mincho" w:hint="eastAsia"/>
          <w:sz w:val="20"/>
        </w:rPr>
        <w:t xml:space="preserve">For the case of TRP and UE have </w:t>
      </w:r>
      <w:proofErr w:type="spellStart"/>
      <w:r w:rsidRPr="002F282D">
        <w:rPr>
          <w:rFonts w:eastAsia="MS Mincho" w:hint="eastAsia"/>
          <w:sz w:val="20"/>
        </w:rPr>
        <w:t>Tx</w:t>
      </w:r>
      <w:proofErr w:type="spellEnd"/>
      <w:r w:rsidRPr="002F282D">
        <w:rPr>
          <w:rFonts w:eastAsia="MS Mincho" w:hint="eastAsia"/>
          <w:sz w:val="20"/>
        </w:rPr>
        <w:t xml:space="preserve">/Rx </w:t>
      </w:r>
      <w:r w:rsidRPr="002F282D">
        <w:rPr>
          <w:rFonts w:eastAsia="MS Mincho"/>
          <w:sz w:val="20"/>
        </w:rPr>
        <w:t>beam correspondence</w:t>
      </w:r>
    </w:p>
    <w:p w:rsidR="002F282D" w:rsidRPr="002F282D" w:rsidRDefault="002F282D" w:rsidP="002F282D">
      <w:pPr>
        <w:numPr>
          <w:ilvl w:val="1"/>
          <w:numId w:val="22"/>
        </w:numPr>
        <w:autoSpaceDE/>
        <w:autoSpaceDN/>
        <w:adjustRightInd/>
        <w:snapToGrid/>
        <w:spacing w:after="0"/>
        <w:jc w:val="left"/>
        <w:rPr>
          <w:rFonts w:eastAsia="MS Mincho"/>
          <w:sz w:val="20"/>
        </w:rPr>
      </w:pPr>
      <w:r w:rsidRPr="002F282D">
        <w:rPr>
          <w:rFonts w:eastAsia="MS Mincho" w:hint="eastAsia"/>
          <w:sz w:val="20"/>
        </w:rPr>
        <w:t xml:space="preserve">For the case of TRP has no </w:t>
      </w:r>
      <w:proofErr w:type="spellStart"/>
      <w:r w:rsidRPr="002F282D">
        <w:rPr>
          <w:rFonts w:eastAsia="MS Mincho" w:hint="eastAsia"/>
          <w:sz w:val="20"/>
        </w:rPr>
        <w:t>Tx</w:t>
      </w:r>
      <w:proofErr w:type="spellEnd"/>
      <w:r w:rsidRPr="002F282D">
        <w:rPr>
          <w:rFonts w:eastAsia="MS Mincho" w:hint="eastAsia"/>
          <w:sz w:val="20"/>
        </w:rPr>
        <w:t xml:space="preserve">/Rx </w:t>
      </w:r>
      <w:r w:rsidRPr="002F282D">
        <w:rPr>
          <w:rFonts w:eastAsia="MS Mincho"/>
          <w:sz w:val="20"/>
        </w:rPr>
        <w:t xml:space="preserve">beam correspondence </w:t>
      </w:r>
      <w:r w:rsidRPr="002F282D">
        <w:rPr>
          <w:rFonts w:eastAsia="MS Mincho" w:hint="eastAsia"/>
          <w:sz w:val="20"/>
        </w:rPr>
        <w:t xml:space="preserve">and/or UE has no </w:t>
      </w:r>
      <w:proofErr w:type="spellStart"/>
      <w:r w:rsidRPr="002F282D">
        <w:rPr>
          <w:rFonts w:eastAsia="MS Mincho" w:hint="eastAsia"/>
          <w:sz w:val="20"/>
        </w:rPr>
        <w:t>Tx</w:t>
      </w:r>
      <w:proofErr w:type="spellEnd"/>
      <w:r w:rsidRPr="002F282D">
        <w:rPr>
          <w:rFonts w:eastAsia="MS Mincho" w:hint="eastAsia"/>
          <w:sz w:val="20"/>
        </w:rPr>
        <w:t xml:space="preserve">/Rx </w:t>
      </w:r>
      <w:r w:rsidRPr="002F282D">
        <w:rPr>
          <w:rFonts w:eastAsia="MS Mincho"/>
          <w:sz w:val="20"/>
        </w:rPr>
        <w:t>beam correspondence</w:t>
      </w:r>
    </w:p>
    <w:p w:rsidR="002F282D" w:rsidRPr="002F282D" w:rsidRDefault="002F282D" w:rsidP="002F282D">
      <w:pPr>
        <w:rPr>
          <w:sz w:val="20"/>
          <w:lang w:eastAsia="zh-CN"/>
        </w:rPr>
      </w:pPr>
    </w:p>
    <w:p w:rsidR="00053043" w:rsidRDefault="007B5847" w:rsidP="007B5847">
      <w:pPr>
        <w:rPr>
          <w:sz w:val="20"/>
          <w:szCs w:val="20"/>
        </w:rPr>
      </w:pPr>
      <w:r>
        <w:rPr>
          <w:rFonts w:eastAsia="Times New Roman"/>
          <w:sz w:val="20"/>
        </w:rPr>
        <w:t>In t</w:t>
      </w:r>
      <w:r w:rsidR="00A22EC1">
        <w:rPr>
          <w:sz w:val="20"/>
          <w:szCs w:val="20"/>
        </w:rPr>
        <w:t xml:space="preserve">he January </w:t>
      </w:r>
      <w:r w:rsidR="00053043" w:rsidRPr="001B5697">
        <w:rPr>
          <w:sz w:val="20"/>
          <w:szCs w:val="20"/>
        </w:rPr>
        <w:t xml:space="preserve">RAN1 </w:t>
      </w:r>
      <w:r w:rsidR="00053043">
        <w:rPr>
          <w:sz w:val="20"/>
          <w:szCs w:val="20"/>
        </w:rPr>
        <w:t>NR Ad</w:t>
      </w:r>
      <w:r>
        <w:rPr>
          <w:sz w:val="20"/>
          <w:szCs w:val="20"/>
        </w:rPr>
        <w:t xml:space="preserve"> </w:t>
      </w:r>
      <w:r w:rsidR="00053043">
        <w:rPr>
          <w:sz w:val="20"/>
          <w:szCs w:val="20"/>
        </w:rPr>
        <w:t>hoc meeting</w:t>
      </w:r>
      <w:r>
        <w:rPr>
          <w:sz w:val="20"/>
          <w:szCs w:val="20"/>
        </w:rPr>
        <w:t xml:space="preserve"> #1</w:t>
      </w:r>
      <w:r w:rsidR="00053043">
        <w:rPr>
          <w:sz w:val="20"/>
          <w:szCs w:val="20"/>
        </w:rPr>
        <w:t>, the following</w:t>
      </w:r>
      <w:r w:rsidR="00053043" w:rsidRPr="001B5697">
        <w:rPr>
          <w:sz w:val="20"/>
          <w:szCs w:val="20"/>
        </w:rPr>
        <w:t xml:space="preserve"> agreements were made </w:t>
      </w:r>
      <w:r w:rsidR="00053043">
        <w:rPr>
          <w:sz w:val="20"/>
          <w:szCs w:val="20"/>
        </w:rPr>
        <w:t>on NR</w:t>
      </w:r>
      <w:r w:rsidR="00053043" w:rsidRPr="001B5697">
        <w:rPr>
          <w:sz w:val="20"/>
          <w:szCs w:val="20"/>
        </w:rPr>
        <w:t xml:space="preserve"> </w:t>
      </w:r>
      <w:r w:rsidR="00053043">
        <w:rPr>
          <w:sz w:val="20"/>
          <w:szCs w:val="20"/>
        </w:rPr>
        <w:t>SRS</w:t>
      </w:r>
      <w:r w:rsidR="00053043" w:rsidRPr="001B5697">
        <w:rPr>
          <w:sz w:val="20"/>
          <w:szCs w:val="20"/>
        </w:rPr>
        <w:t>.</w:t>
      </w:r>
    </w:p>
    <w:p w:rsidR="00053043" w:rsidRPr="001461FA" w:rsidRDefault="00053043" w:rsidP="00053043">
      <w:pPr>
        <w:widowControl w:val="0"/>
        <w:numPr>
          <w:ilvl w:val="0"/>
          <w:numId w:val="13"/>
        </w:numPr>
        <w:autoSpaceDE/>
        <w:autoSpaceDN/>
        <w:adjustRightInd/>
        <w:snapToGrid/>
        <w:spacing w:after="0"/>
        <w:rPr>
          <w:sz w:val="20"/>
          <w:szCs w:val="20"/>
        </w:rPr>
      </w:pPr>
      <w:r w:rsidRPr="001461FA">
        <w:rPr>
          <w:sz w:val="20"/>
          <w:szCs w:val="20"/>
        </w:rPr>
        <w:t xml:space="preserve">NR SRS design should not assume a particular antenna configuration at UE and should support dynamic port/antenna/resource selection by </w:t>
      </w:r>
      <w:proofErr w:type="spellStart"/>
      <w:r w:rsidRPr="001461FA">
        <w:rPr>
          <w:sz w:val="20"/>
          <w:szCs w:val="20"/>
        </w:rPr>
        <w:t>gNB</w:t>
      </w:r>
      <w:proofErr w:type="spellEnd"/>
      <w:r w:rsidRPr="001461FA">
        <w:rPr>
          <w:sz w:val="20"/>
          <w:szCs w:val="20"/>
        </w:rPr>
        <w:t xml:space="preserve"> and UE</w:t>
      </w:r>
    </w:p>
    <w:p w:rsidR="00053043" w:rsidRPr="001461FA" w:rsidRDefault="00053043" w:rsidP="00053043">
      <w:pPr>
        <w:widowControl w:val="0"/>
        <w:numPr>
          <w:ilvl w:val="1"/>
          <w:numId w:val="13"/>
        </w:numPr>
        <w:autoSpaceDE/>
        <w:autoSpaceDN/>
        <w:adjustRightInd/>
        <w:snapToGrid/>
        <w:spacing w:after="0"/>
        <w:rPr>
          <w:sz w:val="20"/>
          <w:szCs w:val="20"/>
        </w:rPr>
      </w:pPr>
      <w:r w:rsidRPr="001461FA">
        <w:rPr>
          <w:sz w:val="20"/>
          <w:szCs w:val="20"/>
        </w:rPr>
        <w:t xml:space="preserve">In the case of UE selection, it can be disabled/enabled by </w:t>
      </w:r>
      <w:proofErr w:type="spellStart"/>
      <w:r w:rsidRPr="001461FA">
        <w:rPr>
          <w:sz w:val="20"/>
          <w:szCs w:val="20"/>
        </w:rPr>
        <w:t>gNB</w:t>
      </w:r>
      <w:proofErr w:type="spellEnd"/>
      <w:r w:rsidRPr="001461FA">
        <w:rPr>
          <w:sz w:val="20"/>
          <w:szCs w:val="20"/>
        </w:rPr>
        <w:t xml:space="preserve"> (if the UE selection is not transparent). FFS whether or not the selection is transparent</w:t>
      </w:r>
    </w:p>
    <w:p w:rsidR="00053043" w:rsidRPr="001461FA" w:rsidRDefault="00053043" w:rsidP="00053043">
      <w:pPr>
        <w:widowControl w:val="0"/>
        <w:numPr>
          <w:ilvl w:val="2"/>
          <w:numId w:val="13"/>
        </w:numPr>
        <w:autoSpaceDE/>
        <w:autoSpaceDN/>
        <w:adjustRightInd/>
        <w:snapToGrid/>
        <w:spacing w:after="0"/>
        <w:rPr>
          <w:sz w:val="20"/>
          <w:szCs w:val="20"/>
        </w:rPr>
      </w:pPr>
      <w:r w:rsidRPr="001461FA">
        <w:rPr>
          <w:sz w:val="20"/>
          <w:szCs w:val="20"/>
        </w:rPr>
        <w:t xml:space="preserve">E.g., UE with 4 ports can be configured with 2 ports SRS by </w:t>
      </w:r>
      <w:proofErr w:type="spellStart"/>
      <w:r w:rsidRPr="001461FA">
        <w:rPr>
          <w:sz w:val="20"/>
          <w:szCs w:val="20"/>
        </w:rPr>
        <w:t>gNB</w:t>
      </w:r>
      <w:proofErr w:type="spellEnd"/>
    </w:p>
    <w:p w:rsidR="00053043" w:rsidRPr="001461FA" w:rsidRDefault="00053043" w:rsidP="00053043">
      <w:pPr>
        <w:widowControl w:val="0"/>
        <w:numPr>
          <w:ilvl w:val="2"/>
          <w:numId w:val="13"/>
        </w:numPr>
        <w:autoSpaceDE/>
        <w:autoSpaceDN/>
        <w:adjustRightInd/>
        <w:snapToGrid/>
        <w:spacing w:afterLines="50"/>
        <w:ind w:left="2154" w:hanging="357"/>
        <w:rPr>
          <w:sz w:val="20"/>
          <w:szCs w:val="20"/>
        </w:rPr>
      </w:pPr>
      <w:r w:rsidRPr="001461FA">
        <w:rPr>
          <w:sz w:val="20"/>
          <w:szCs w:val="20"/>
        </w:rPr>
        <w:t xml:space="preserve">E.g., UE sends 2 ports SRS even though configured with 4 ports SRS by </w:t>
      </w:r>
      <w:proofErr w:type="spellStart"/>
      <w:r w:rsidRPr="001461FA">
        <w:rPr>
          <w:sz w:val="20"/>
          <w:szCs w:val="20"/>
        </w:rPr>
        <w:t>gNB</w:t>
      </w:r>
      <w:proofErr w:type="spellEnd"/>
    </w:p>
    <w:p w:rsidR="002D2910" w:rsidRDefault="002D2910" w:rsidP="002D2910">
      <w:pPr>
        <w:widowControl w:val="0"/>
        <w:autoSpaceDE/>
        <w:autoSpaceDN/>
        <w:adjustRightInd/>
        <w:snapToGrid/>
        <w:spacing w:after="0"/>
        <w:ind w:left="720"/>
        <w:rPr>
          <w:sz w:val="20"/>
          <w:szCs w:val="20"/>
        </w:rPr>
      </w:pPr>
    </w:p>
    <w:p w:rsidR="00053043" w:rsidRPr="001461FA" w:rsidRDefault="00053043" w:rsidP="00053043">
      <w:pPr>
        <w:widowControl w:val="0"/>
        <w:numPr>
          <w:ilvl w:val="0"/>
          <w:numId w:val="14"/>
        </w:numPr>
        <w:autoSpaceDE/>
        <w:autoSpaceDN/>
        <w:adjustRightInd/>
        <w:snapToGrid/>
        <w:spacing w:after="0"/>
        <w:rPr>
          <w:sz w:val="20"/>
          <w:szCs w:val="20"/>
        </w:rPr>
      </w:pPr>
      <w:r w:rsidRPr="001461FA">
        <w:rPr>
          <w:sz w:val="20"/>
          <w:szCs w:val="20"/>
        </w:rPr>
        <w:t xml:space="preserve">NR supports periodic and semi-persistent NR-SRS transmission. </w:t>
      </w:r>
    </w:p>
    <w:p w:rsidR="00053043" w:rsidRPr="001461FA" w:rsidRDefault="00053043" w:rsidP="00053043">
      <w:pPr>
        <w:widowControl w:val="0"/>
        <w:numPr>
          <w:ilvl w:val="1"/>
          <w:numId w:val="14"/>
        </w:numPr>
        <w:autoSpaceDE/>
        <w:autoSpaceDN/>
        <w:adjustRightInd/>
        <w:snapToGrid/>
        <w:spacing w:after="0"/>
        <w:rPr>
          <w:sz w:val="20"/>
          <w:szCs w:val="20"/>
        </w:rPr>
      </w:pPr>
      <w:r w:rsidRPr="001461FA">
        <w:rPr>
          <w:sz w:val="20"/>
          <w:szCs w:val="20"/>
        </w:rPr>
        <w:t xml:space="preserve">Note </w:t>
      </w:r>
      <w:proofErr w:type="spellStart"/>
      <w:r w:rsidRPr="001461FA">
        <w:rPr>
          <w:sz w:val="20"/>
          <w:szCs w:val="20"/>
        </w:rPr>
        <w:t>aperiodic</w:t>
      </w:r>
      <w:proofErr w:type="spellEnd"/>
      <w:r w:rsidRPr="001461FA">
        <w:rPr>
          <w:sz w:val="20"/>
          <w:szCs w:val="20"/>
        </w:rPr>
        <w:t xml:space="preserve"> SRS transmission has been agreed </w:t>
      </w:r>
    </w:p>
    <w:p w:rsidR="00053043" w:rsidRPr="001461FA" w:rsidRDefault="00053043" w:rsidP="00053043">
      <w:pPr>
        <w:widowControl w:val="0"/>
        <w:numPr>
          <w:ilvl w:val="0"/>
          <w:numId w:val="14"/>
        </w:numPr>
        <w:autoSpaceDE/>
        <w:autoSpaceDN/>
        <w:adjustRightInd/>
        <w:snapToGrid/>
        <w:spacing w:after="0"/>
        <w:rPr>
          <w:sz w:val="20"/>
          <w:szCs w:val="20"/>
        </w:rPr>
      </w:pPr>
      <w:r w:rsidRPr="001461FA">
        <w:rPr>
          <w:sz w:val="20"/>
          <w:szCs w:val="20"/>
        </w:rPr>
        <w:t>Out of K ≥ 1 configured NR-SRS resources:</w:t>
      </w:r>
    </w:p>
    <w:p w:rsidR="00053043" w:rsidRPr="001461FA" w:rsidRDefault="00053043" w:rsidP="00053043">
      <w:pPr>
        <w:widowControl w:val="0"/>
        <w:numPr>
          <w:ilvl w:val="1"/>
          <w:numId w:val="14"/>
        </w:numPr>
        <w:autoSpaceDE/>
        <w:autoSpaceDN/>
        <w:adjustRightInd/>
        <w:snapToGrid/>
        <w:spacing w:after="0"/>
        <w:rPr>
          <w:sz w:val="20"/>
          <w:szCs w:val="20"/>
        </w:rPr>
      </w:pPr>
      <w:r w:rsidRPr="001461FA">
        <w:rPr>
          <w:sz w:val="20"/>
          <w:szCs w:val="20"/>
        </w:rPr>
        <w:t xml:space="preserve">For </w:t>
      </w:r>
      <w:proofErr w:type="spellStart"/>
      <w:r w:rsidRPr="001461FA">
        <w:rPr>
          <w:sz w:val="20"/>
          <w:szCs w:val="20"/>
        </w:rPr>
        <w:t>aperiodic</w:t>
      </w:r>
      <w:proofErr w:type="spellEnd"/>
      <w:r w:rsidRPr="001461FA">
        <w:rPr>
          <w:sz w:val="20"/>
          <w:szCs w:val="20"/>
        </w:rPr>
        <w:t xml:space="preserve"> transmission, the UE can be configured to transmit a subset of or all K NR-SRS resources with no </w:t>
      </w:r>
      <w:proofErr w:type="spellStart"/>
      <w:r w:rsidRPr="001461FA">
        <w:rPr>
          <w:sz w:val="20"/>
          <w:szCs w:val="20"/>
        </w:rPr>
        <w:t>precoding</w:t>
      </w:r>
      <w:proofErr w:type="spellEnd"/>
      <w:r w:rsidRPr="001461FA">
        <w:rPr>
          <w:sz w:val="20"/>
          <w:szCs w:val="20"/>
        </w:rPr>
        <w:t xml:space="preserve">, the same or different </w:t>
      </w:r>
      <w:proofErr w:type="spellStart"/>
      <w:r w:rsidRPr="001461FA">
        <w:rPr>
          <w:sz w:val="20"/>
          <w:szCs w:val="20"/>
        </w:rPr>
        <w:t>precoding</w:t>
      </w:r>
      <w:proofErr w:type="spellEnd"/>
    </w:p>
    <w:p w:rsidR="00053043" w:rsidRPr="001461FA" w:rsidRDefault="00053043" w:rsidP="00053043">
      <w:pPr>
        <w:widowControl w:val="0"/>
        <w:numPr>
          <w:ilvl w:val="1"/>
          <w:numId w:val="14"/>
        </w:numPr>
        <w:autoSpaceDE/>
        <w:autoSpaceDN/>
        <w:adjustRightInd/>
        <w:snapToGrid/>
        <w:spacing w:after="0"/>
        <w:rPr>
          <w:sz w:val="20"/>
          <w:szCs w:val="20"/>
        </w:rPr>
      </w:pPr>
      <w:r w:rsidRPr="001461FA">
        <w:rPr>
          <w:sz w:val="20"/>
          <w:szCs w:val="20"/>
        </w:rPr>
        <w:t xml:space="preserve">For periodic and semi-persistent transmission, the UE can be configured to transmit K NR-SRS resources with no </w:t>
      </w:r>
      <w:proofErr w:type="spellStart"/>
      <w:r w:rsidRPr="001461FA">
        <w:rPr>
          <w:sz w:val="20"/>
          <w:szCs w:val="20"/>
        </w:rPr>
        <w:t>precoding</w:t>
      </w:r>
      <w:proofErr w:type="spellEnd"/>
      <w:r w:rsidRPr="001461FA">
        <w:rPr>
          <w:sz w:val="20"/>
          <w:szCs w:val="20"/>
        </w:rPr>
        <w:t xml:space="preserve">, the same or different </w:t>
      </w:r>
      <w:proofErr w:type="spellStart"/>
      <w:r w:rsidRPr="001461FA">
        <w:rPr>
          <w:sz w:val="20"/>
          <w:szCs w:val="20"/>
        </w:rPr>
        <w:t>precoding</w:t>
      </w:r>
      <w:proofErr w:type="spellEnd"/>
    </w:p>
    <w:p w:rsidR="00053043" w:rsidRPr="001461FA" w:rsidRDefault="00053043" w:rsidP="00053043">
      <w:pPr>
        <w:widowControl w:val="0"/>
        <w:numPr>
          <w:ilvl w:val="0"/>
          <w:numId w:val="14"/>
        </w:numPr>
        <w:autoSpaceDE/>
        <w:autoSpaceDN/>
        <w:adjustRightInd/>
        <w:snapToGrid/>
        <w:spacing w:after="0"/>
        <w:rPr>
          <w:sz w:val="20"/>
          <w:szCs w:val="20"/>
        </w:rPr>
      </w:pPr>
      <w:r w:rsidRPr="001461FA">
        <w:rPr>
          <w:sz w:val="20"/>
          <w:szCs w:val="20"/>
        </w:rPr>
        <w:lastRenderedPageBreak/>
        <w:t>FFS details related position &amp; timing of SRS transmission (including configurable)</w:t>
      </w:r>
    </w:p>
    <w:p w:rsidR="00053043" w:rsidRPr="001461FA" w:rsidRDefault="00053043" w:rsidP="00053043">
      <w:pPr>
        <w:widowControl w:val="0"/>
        <w:numPr>
          <w:ilvl w:val="0"/>
          <w:numId w:val="14"/>
        </w:numPr>
        <w:autoSpaceDE/>
        <w:autoSpaceDN/>
        <w:adjustRightInd/>
        <w:snapToGrid/>
        <w:spacing w:after="0"/>
        <w:rPr>
          <w:sz w:val="20"/>
          <w:szCs w:val="20"/>
        </w:rPr>
      </w:pPr>
      <w:r w:rsidRPr="001461FA">
        <w:rPr>
          <w:sz w:val="20"/>
          <w:szCs w:val="20"/>
        </w:rPr>
        <w:t xml:space="preserve">NR supports SRS transmission including </w:t>
      </w:r>
    </w:p>
    <w:p w:rsidR="00053043" w:rsidRPr="001461FA" w:rsidRDefault="00053043" w:rsidP="00053043">
      <w:pPr>
        <w:widowControl w:val="0"/>
        <w:numPr>
          <w:ilvl w:val="1"/>
          <w:numId w:val="14"/>
        </w:numPr>
        <w:autoSpaceDE/>
        <w:autoSpaceDN/>
        <w:adjustRightInd/>
        <w:snapToGrid/>
        <w:spacing w:after="0"/>
        <w:rPr>
          <w:sz w:val="20"/>
          <w:szCs w:val="20"/>
        </w:rPr>
      </w:pPr>
      <w:r w:rsidRPr="001461FA">
        <w:rPr>
          <w:sz w:val="20"/>
          <w:szCs w:val="20"/>
        </w:rPr>
        <w:t>Number of SRS ports are 1, 2, 4, FFS 3, 8 (possibly other values)</w:t>
      </w:r>
    </w:p>
    <w:p w:rsidR="00053043" w:rsidRPr="001461FA" w:rsidRDefault="00053043" w:rsidP="00053043">
      <w:pPr>
        <w:widowControl w:val="0"/>
        <w:numPr>
          <w:ilvl w:val="1"/>
          <w:numId w:val="14"/>
        </w:numPr>
        <w:autoSpaceDE/>
        <w:autoSpaceDN/>
        <w:adjustRightInd/>
        <w:snapToGrid/>
        <w:spacing w:after="0"/>
        <w:rPr>
          <w:sz w:val="20"/>
          <w:szCs w:val="20"/>
        </w:rPr>
      </w:pPr>
      <w:r w:rsidRPr="001461FA">
        <w:rPr>
          <w:sz w:val="20"/>
          <w:szCs w:val="20"/>
        </w:rPr>
        <w:t>Comb levels are 2 and 4</w:t>
      </w:r>
    </w:p>
    <w:p w:rsidR="00053043" w:rsidRPr="001461FA" w:rsidRDefault="00053043" w:rsidP="00053043">
      <w:pPr>
        <w:widowControl w:val="0"/>
        <w:numPr>
          <w:ilvl w:val="1"/>
          <w:numId w:val="14"/>
        </w:numPr>
        <w:autoSpaceDE/>
        <w:autoSpaceDN/>
        <w:adjustRightInd/>
        <w:snapToGrid/>
        <w:spacing w:after="0"/>
        <w:rPr>
          <w:sz w:val="20"/>
          <w:szCs w:val="20"/>
        </w:rPr>
      </w:pPr>
      <w:r w:rsidRPr="001461FA">
        <w:rPr>
          <w:sz w:val="20"/>
          <w:szCs w:val="20"/>
        </w:rPr>
        <w:t>Configurable frequency hopping (details FFS)</w:t>
      </w:r>
    </w:p>
    <w:p w:rsidR="00053043" w:rsidRPr="001461FA" w:rsidRDefault="00053043" w:rsidP="00053043">
      <w:pPr>
        <w:widowControl w:val="0"/>
        <w:numPr>
          <w:ilvl w:val="0"/>
          <w:numId w:val="14"/>
        </w:numPr>
        <w:autoSpaceDE/>
        <w:autoSpaceDN/>
        <w:adjustRightInd/>
        <w:snapToGrid/>
        <w:spacing w:after="0"/>
        <w:rPr>
          <w:sz w:val="20"/>
          <w:szCs w:val="20"/>
        </w:rPr>
      </w:pPr>
      <w:r w:rsidRPr="001461FA">
        <w:rPr>
          <w:sz w:val="20"/>
          <w:szCs w:val="20"/>
        </w:rPr>
        <w:t>Clarify the following agreed configurations are applicable to each NR-SRS resource from K configured NR-SRS resources:</w:t>
      </w:r>
    </w:p>
    <w:p w:rsidR="00053043" w:rsidRPr="001461FA" w:rsidRDefault="00053043" w:rsidP="00053043">
      <w:pPr>
        <w:widowControl w:val="0"/>
        <w:numPr>
          <w:ilvl w:val="1"/>
          <w:numId w:val="14"/>
        </w:numPr>
        <w:autoSpaceDE/>
        <w:autoSpaceDN/>
        <w:adjustRightInd/>
        <w:snapToGrid/>
        <w:spacing w:after="0"/>
        <w:rPr>
          <w:sz w:val="20"/>
          <w:szCs w:val="20"/>
        </w:rPr>
      </w:pPr>
      <w:r w:rsidRPr="001461FA">
        <w:rPr>
          <w:sz w:val="20"/>
          <w:szCs w:val="20"/>
        </w:rPr>
        <w:t>NR-SRS bandwidth</w:t>
      </w:r>
    </w:p>
    <w:p w:rsidR="00053043" w:rsidRPr="001461FA" w:rsidRDefault="00053043" w:rsidP="00053043">
      <w:pPr>
        <w:widowControl w:val="0"/>
        <w:numPr>
          <w:ilvl w:val="1"/>
          <w:numId w:val="14"/>
        </w:numPr>
        <w:autoSpaceDE/>
        <w:autoSpaceDN/>
        <w:adjustRightInd/>
        <w:snapToGrid/>
        <w:spacing w:after="0"/>
        <w:rPr>
          <w:sz w:val="20"/>
          <w:szCs w:val="20"/>
        </w:rPr>
      </w:pPr>
      <w:r w:rsidRPr="001461FA">
        <w:rPr>
          <w:sz w:val="20"/>
          <w:szCs w:val="20"/>
        </w:rPr>
        <w:t>Number of CP-OFDM/DFT-S-OFDM symbols</w:t>
      </w:r>
    </w:p>
    <w:p w:rsidR="00053043" w:rsidRPr="001461FA" w:rsidRDefault="00053043" w:rsidP="00053043">
      <w:pPr>
        <w:widowControl w:val="0"/>
        <w:numPr>
          <w:ilvl w:val="1"/>
          <w:numId w:val="14"/>
        </w:numPr>
        <w:autoSpaceDE/>
        <w:autoSpaceDN/>
        <w:adjustRightInd/>
        <w:snapToGrid/>
        <w:spacing w:after="0"/>
        <w:rPr>
          <w:sz w:val="20"/>
          <w:szCs w:val="20"/>
        </w:rPr>
      </w:pPr>
      <w:r w:rsidRPr="001461FA">
        <w:rPr>
          <w:sz w:val="20"/>
          <w:szCs w:val="20"/>
        </w:rPr>
        <w:t>Number of SRS ports</w:t>
      </w:r>
    </w:p>
    <w:p w:rsidR="00053043" w:rsidRDefault="00053043" w:rsidP="00053043">
      <w:pPr>
        <w:widowControl w:val="0"/>
        <w:numPr>
          <w:ilvl w:val="1"/>
          <w:numId w:val="14"/>
        </w:numPr>
        <w:autoSpaceDE/>
        <w:autoSpaceDN/>
        <w:adjustRightInd/>
        <w:snapToGrid/>
        <w:spacing w:afterLines="50"/>
        <w:ind w:left="1434" w:hanging="357"/>
        <w:rPr>
          <w:sz w:val="20"/>
          <w:szCs w:val="20"/>
        </w:rPr>
      </w:pPr>
      <w:r w:rsidRPr="001461FA">
        <w:rPr>
          <w:sz w:val="20"/>
          <w:szCs w:val="20"/>
        </w:rPr>
        <w:t>Comb level</w:t>
      </w:r>
    </w:p>
    <w:p w:rsidR="007B5847" w:rsidRPr="007B5847" w:rsidRDefault="007B5847" w:rsidP="007B5847">
      <w:pPr>
        <w:widowControl w:val="0"/>
        <w:autoSpaceDE/>
        <w:autoSpaceDN/>
        <w:adjustRightInd/>
        <w:snapToGrid/>
        <w:spacing w:afterLines="50"/>
        <w:rPr>
          <w:sz w:val="16"/>
          <w:szCs w:val="20"/>
        </w:rPr>
      </w:pPr>
    </w:p>
    <w:p w:rsidR="007B5847" w:rsidRPr="007B5847" w:rsidRDefault="007B5847" w:rsidP="007B5847">
      <w:pPr>
        <w:numPr>
          <w:ilvl w:val="0"/>
          <w:numId w:val="21"/>
        </w:numPr>
        <w:autoSpaceDE/>
        <w:autoSpaceDN/>
        <w:adjustRightInd/>
        <w:snapToGrid/>
        <w:spacing w:after="0"/>
        <w:jc w:val="left"/>
        <w:rPr>
          <w:rFonts w:eastAsia="MS Mincho"/>
          <w:sz w:val="20"/>
        </w:rPr>
      </w:pPr>
      <w:r w:rsidRPr="007B5847">
        <w:rPr>
          <w:rFonts w:eastAsia="MS Mincho"/>
          <w:sz w:val="20"/>
        </w:rPr>
        <w:t xml:space="preserve">For NR UL, support transmissions of SRS </w:t>
      </w:r>
      <w:proofErr w:type="spellStart"/>
      <w:r w:rsidRPr="007B5847">
        <w:rPr>
          <w:rFonts w:eastAsia="MS Mincho"/>
          <w:sz w:val="20"/>
        </w:rPr>
        <w:t>precoded</w:t>
      </w:r>
      <w:proofErr w:type="spellEnd"/>
      <w:r w:rsidRPr="007B5847">
        <w:rPr>
          <w:rFonts w:eastAsia="MS Mincho"/>
          <w:sz w:val="20"/>
        </w:rPr>
        <w:t xml:space="preserve"> with same and different UE </w:t>
      </w:r>
      <w:proofErr w:type="spellStart"/>
      <w:r w:rsidRPr="007B5847">
        <w:rPr>
          <w:rFonts w:eastAsia="MS Mincho"/>
          <w:sz w:val="20"/>
        </w:rPr>
        <w:t>Tx</w:t>
      </w:r>
      <w:proofErr w:type="spellEnd"/>
      <w:r w:rsidRPr="007B5847">
        <w:rPr>
          <w:rFonts w:eastAsia="MS Mincho"/>
          <w:sz w:val="20"/>
        </w:rPr>
        <w:t xml:space="preserve"> beams within a time duration</w:t>
      </w:r>
    </w:p>
    <w:p w:rsidR="007B5847" w:rsidRPr="007B5847" w:rsidRDefault="007B5847" w:rsidP="007B5847">
      <w:pPr>
        <w:numPr>
          <w:ilvl w:val="1"/>
          <w:numId w:val="21"/>
        </w:numPr>
        <w:autoSpaceDE/>
        <w:autoSpaceDN/>
        <w:adjustRightInd/>
        <w:snapToGrid/>
        <w:spacing w:after="0"/>
        <w:jc w:val="left"/>
        <w:rPr>
          <w:rFonts w:eastAsia="MS Mincho"/>
          <w:sz w:val="20"/>
        </w:rPr>
      </w:pPr>
      <w:r w:rsidRPr="007B5847">
        <w:rPr>
          <w:rFonts w:eastAsia="MS Mincho"/>
          <w:sz w:val="20"/>
        </w:rPr>
        <w:t>Detailed FFS, including the resulting overhead, time duration (e.g., one slot), and configuration, e.g., in the following:</w:t>
      </w:r>
    </w:p>
    <w:p w:rsidR="007B5847" w:rsidRPr="007B5847" w:rsidRDefault="007B5847" w:rsidP="007B5847">
      <w:pPr>
        <w:numPr>
          <w:ilvl w:val="2"/>
          <w:numId w:val="21"/>
        </w:numPr>
        <w:autoSpaceDE/>
        <w:autoSpaceDN/>
        <w:adjustRightInd/>
        <w:snapToGrid/>
        <w:spacing w:after="0"/>
        <w:jc w:val="left"/>
        <w:rPr>
          <w:rFonts w:eastAsia="MS Mincho"/>
          <w:sz w:val="20"/>
        </w:rPr>
      </w:pPr>
      <w:r w:rsidRPr="007B5847">
        <w:rPr>
          <w:rFonts w:eastAsia="MS Mincho"/>
          <w:sz w:val="20"/>
        </w:rPr>
        <w:t xml:space="preserve">Different UE </w:t>
      </w:r>
      <w:proofErr w:type="spellStart"/>
      <w:r w:rsidRPr="007B5847">
        <w:rPr>
          <w:rFonts w:eastAsia="MS Mincho"/>
          <w:sz w:val="20"/>
        </w:rPr>
        <w:t>Tx</w:t>
      </w:r>
      <w:proofErr w:type="spellEnd"/>
      <w:r w:rsidRPr="007B5847">
        <w:rPr>
          <w:rFonts w:eastAsia="MS Mincho"/>
          <w:sz w:val="20"/>
        </w:rPr>
        <w:t xml:space="preserve"> beam: FFS per SRS resource and/or per SRS port</w:t>
      </w:r>
    </w:p>
    <w:p w:rsidR="007B5847" w:rsidRPr="007B5847" w:rsidRDefault="007B5847" w:rsidP="007B5847">
      <w:pPr>
        <w:numPr>
          <w:ilvl w:val="2"/>
          <w:numId w:val="21"/>
        </w:numPr>
        <w:autoSpaceDE/>
        <w:autoSpaceDN/>
        <w:adjustRightInd/>
        <w:snapToGrid/>
        <w:spacing w:after="0"/>
        <w:jc w:val="left"/>
        <w:rPr>
          <w:rFonts w:eastAsia="MS Mincho"/>
          <w:sz w:val="20"/>
        </w:rPr>
      </w:pPr>
      <w:r w:rsidRPr="007B5847">
        <w:rPr>
          <w:rFonts w:eastAsia="MS Mincho"/>
          <w:sz w:val="20"/>
        </w:rPr>
        <w:t xml:space="preserve">Same UE </w:t>
      </w:r>
      <w:proofErr w:type="spellStart"/>
      <w:r w:rsidRPr="007B5847">
        <w:rPr>
          <w:rFonts w:eastAsia="MS Mincho"/>
          <w:sz w:val="20"/>
        </w:rPr>
        <w:t>Tx</w:t>
      </w:r>
      <w:proofErr w:type="spellEnd"/>
      <w:r w:rsidRPr="007B5847">
        <w:rPr>
          <w:rFonts w:eastAsia="MS Mincho"/>
          <w:sz w:val="20"/>
        </w:rPr>
        <w:t xml:space="preserve"> beam across ports: for a given SRS resource and/or a set of SRS resources</w:t>
      </w:r>
    </w:p>
    <w:p w:rsidR="007B5847" w:rsidRPr="007B5847" w:rsidRDefault="007B5847" w:rsidP="007B5847">
      <w:pPr>
        <w:numPr>
          <w:ilvl w:val="2"/>
          <w:numId w:val="21"/>
        </w:numPr>
        <w:autoSpaceDE/>
        <w:autoSpaceDN/>
        <w:adjustRightInd/>
        <w:snapToGrid/>
        <w:spacing w:after="0"/>
        <w:jc w:val="left"/>
        <w:rPr>
          <w:rFonts w:eastAsia="MS Mincho"/>
          <w:sz w:val="20"/>
        </w:rPr>
      </w:pPr>
      <w:r w:rsidRPr="007B5847">
        <w:rPr>
          <w:rFonts w:eastAsia="MS Mincho"/>
          <w:sz w:val="20"/>
        </w:rPr>
        <w:t>FFS: The SRS resources can be mapped in TDM/FDM/CDM manner.</w:t>
      </w:r>
    </w:p>
    <w:p w:rsidR="007B5847" w:rsidRPr="007B5847" w:rsidRDefault="007B5847" w:rsidP="007B5847">
      <w:pPr>
        <w:numPr>
          <w:ilvl w:val="2"/>
          <w:numId w:val="21"/>
        </w:numPr>
        <w:autoSpaceDE/>
        <w:autoSpaceDN/>
        <w:adjustRightInd/>
        <w:snapToGrid/>
        <w:spacing w:after="0"/>
        <w:jc w:val="left"/>
        <w:rPr>
          <w:rFonts w:eastAsia="MS Mincho"/>
          <w:sz w:val="20"/>
        </w:rPr>
      </w:pPr>
      <w:r w:rsidRPr="007B5847">
        <w:rPr>
          <w:rFonts w:eastAsia="MS Mincho"/>
          <w:sz w:val="20"/>
        </w:rPr>
        <w:t>FFS: overhead reduction schemes such as IFDMA or larger subcarrier spacing</w:t>
      </w:r>
    </w:p>
    <w:p w:rsidR="007B5847" w:rsidRPr="007B5847" w:rsidRDefault="007B5847" w:rsidP="007B5847">
      <w:pPr>
        <w:numPr>
          <w:ilvl w:val="2"/>
          <w:numId w:val="21"/>
        </w:numPr>
        <w:autoSpaceDE/>
        <w:autoSpaceDN/>
        <w:adjustRightInd/>
        <w:snapToGrid/>
        <w:spacing w:after="0"/>
        <w:jc w:val="left"/>
        <w:rPr>
          <w:rFonts w:eastAsia="MS Mincho"/>
          <w:sz w:val="20"/>
        </w:rPr>
      </w:pPr>
      <w:r w:rsidRPr="007B5847">
        <w:rPr>
          <w:rFonts w:eastAsia="MS Mincho"/>
          <w:sz w:val="20"/>
        </w:rPr>
        <w:t xml:space="preserve">FFS </w:t>
      </w:r>
      <w:proofErr w:type="spellStart"/>
      <w:r w:rsidRPr="007B5847">
        <w:rPr>
          <w:rFonts w:eastAsia="MS Mincho"/>
          <w:sz w:val="20"/>
        </w:rPr>
        <w:t>gNB</w:t>
      </w:r>
      <w:proofErr w:type="spellEnd"/>
      <w:r w:rsidRPr="007B5847">
        <w:rPr>
          <w:rFonts w:eastAsia="MS Mincho"/>
          <w:sz w:val="20"/>
        </w:rPr>
        <w:t xml:space="preserve"> can indicate selected SRS port/resource for UE after receiving the SRS.</w:t>
      </w:r>
    </w:p>
    <w:p w:rsidR="007B5847" w:rsidRPr="007B5847" w:rsidRDefault="007B5847" w:rsidP="007B5847">
      <w:pPr>
        <w:rPr>
          <w:rFonts w:eastAsia="MS Mincho"/>
          <w:sz w:val="20"/>
        </w:rPr>
      </w:pPr>
    </w:p>
    <w:p w:rsidR="00053043" w:rsidRPr="007B5847" w:rsidRDefault="00053043" w:rsidP="005411B0">
      <w:pPr>
        <w:spacing w:before="120"/>
        <w:rPr>
          <w:kern w:val="2"/>
          <w:sz w:val="20"/>
          <w:szCs w:val="20"/>
          <w:lang w:eastAsia="zh-CN"/>
        </w:rPr>
      </w:pPr>
      <w:r w:rsidRPr="007B5847">
        <w:rPr>
          <w:kern w:val="2"/>
          <w:sz w:val="20"/>
          <w:szCs w:val="20"/>
          <w:lang w:eastAsia="zh-CN"/>
        </w:rPr>
        <w:t>In RAN1#88 meeting, the following agreements were reached:</w:t>
      </w:r>
    </w:p>
    <w:p w:rsidR="007B5847" w:rsidRPr="007B5847" w:rsidRDefault="007B5847" w:rsidP="007B5847">
      <w:pPr>
        <w:numPr>
          <w:ilvl w:val="0"/>
          <w:numId w:val="20"/>
        </w:numPr>
        <w:autoSpaceDE/>
        <w:autoSpaceDN/>
        <w:adjustRightInd/>
        <w:snapToGrid/>
        <w:spacing w:after="0"/>
        <w:jc w:val="left"/>
        <w:rPr>
          <w:rFonts w:eastAsia="MS Mincho"/>
          <w:sz w:val="20"/>
          <w:szCs w:val="20"/>
          <w:lang w:eastAsia="ja-JP"/>
        </w:rPr>
      </w:pPr>
      <w:r w:rsidRPr="007B5847">
        <w:rPr>
          <w:rFonts w:eastAsia="MS Mincho"/>
          <w:sz w:val="20"/>
          <w:szCs w:val="20"/>
          <w:lang w:eastAsia="ja-JP"/>
        </w:rPr>
        <w:t xml:space="preserve">NR supports </w:t>
      </w:r>
      <w:r w:rsidRPr="007B5847">
        <w:rPr>
          <w:rFonts w:eastAsia="MS Mincho" w:hint="eastAsia"/>
          <w:sz w:val="20"/>
          <w:szCs w:val="20"/>
          <w:lang w:eastAsia="ja-JP"/>
        </w:rPr>
        <w:t>both Alt. 1 and Alt. 2</w:t>
      </w:r>
      <w:r w:rsidRPr="007B5847">
        <w:rPr>
          <w:rFonts w:eastAsia="MS Mincho"/>
          <w:sz w:val="20"/>
          <w:szCs w:val="20"/>
          <w:lang w:eastAsia="ja-JP"/>
        </w:rPr>
        <w:t xml:space="preserve"> as TX </w:t>
      </w:r>
      <w:proofErr w:type="spellStart"/>
      <w:r w:rsidRPr="007B5847">
        <w:rPr>
          <w:rFonts w:eastAsia="MS Mincho"/>
          <w:sz w:val="20"/>
          <w:szCs w:val="20"/>
          <w:lang w:eastAsia="ja-JP"/>
        </w:rPr>
        <w:t>beamformer</w:t>
      </w:r>
      <w:proofErr w:type="spellEnd"/>
      <w:r w:rsidRPr="007B5847">
        <w:rPr>
          <w:rFonts w:eastAsia="MS Mincho"/>
          <w:sz w:val="20"/>
          <w:szCs w:val="20"/>
          <w:lang w:eastAsia="ja-JP"/>
        </w:rPr>
        <w:t xml:space="preserve"> determination for SRS from previous agreement.</w:t>
      </w:r>
    </w:p>
    <w:p w:rsidR="007B5847" w:rsidRPr="007B5847" w:rsidRDefault="007B5847" w:rsidP="007B5847">
      <w:pPr>
        <w:numPr>
          <w:ilvl w:val="1"/>
          <w:numId w:val="20"/>
        </w:numPr>
        <w:autoSpaceDE/>
        <w:autoSpaceDN/>
        <w:adjustRightInd/>
        <w:snapToGrid/>
        <w:spacing w:after="0"/>
        <w:jc w:val="left"/>
        <w:rPr>
          <w:rFonts w:eastAsia="MS Mincho"/>
          <w:sz w:val="20"/>
          <w:szCs w:val="20"/>
          <w:lang w:eastAsia="ja-JP"/>
        </w:rPr>
      </w:pPr>
      <w:r w:rsidRPr="007B5847">
        <w:rPr>
          <w:rFonts w:eastAsia="MS Mincho"/>
          <w:sz w:val="20"/>
          <w:szCs w:val="20"/>
          <w:lang w:eastAsia="ja-JP"/>
        </w:rPr>
        <w:t xml:space="preserve">Alt.1: UE applies </w:t>
      </w:r>
      <w:proofErr w:type="spellStart"/>
      <w:r w:rsidRPr="007B5847">
        <w:rPr>
          <w:rFonts w:eastAsia="MS Mincho"/>
          <w:sz w:val="20"/>
          <w:szCs w:val="20"/>
          <w:lang w:eastAsia="ja-JP"/>
        </w:rPr>
        <w:t>gNB</w:t>
      </w:r>
      <w:proofErr w:type="spellEnd"/>
      <w:r w:rsidRPr="007B5847">
        <w:rPr>
          <w:rFonts w:eastAsia="MS Mincho"/>
          <w:sz w:val="20"/>
          <w:szCs w:val="20"/>
          <w:lang w:eastAsia="ja-JP"/>
        </w:rPr>
        <w:t xml:space="preserve">-transparent </w:t>
      </w:r>
      <w:proofErr w:type="spellStart"/>
      <w:r w:rsidRPr="007B5847">
        <w:rPr>
          <w:rFonts w:eastAsia="MS Mincho"/>
          <w:sz w:val="20"/>
          <w:szCs w:val="20"/>
          <w:lang w:eastAsia="ja-JP"/>
        </w:rPr>
        <w:t>Tx</w:t>
      </w:r>
      <w:proofErr w:type="spellEnd"/>
      <w:r w:rsidRPr="007B5847">
        <w:rPr>
          <w:rFonts w:eastAsia="MS Mincho"/>
          <w:sz w:val="20"/>
          <w:szCs w:val="20"/>
          <w:lang w:eastAsia="ja-JP"/>
        </w:rPr>
        <w:t xml:space="preserve"> </w:t>
      </w:r>
      <w:proofErr w:type="spellStart"/>
      <w:r w:rsidRPr="007B5847">
        <w:rPr>
          <w:rFonts w:eastAsia="MS Mincho"/>
          <w:sz w:val="20"/>
          <w:szCs w:val="20"/>
          <w:lang w:eastAsia="ja-JP"/>
        </w:rPr>
        <w:t>beamformer</w:t>
      </w:r>
      <w:proofErr w:type="spellEnd"/>
      <w:r w:rsidRPr="007B5847">
        <w:rPr>
          <w:rFonts w:eastAsia="MS Mincho"/>
          <w:sz w:val="20"/>
          <w:szCs w:val="20"/>
          <w:lang w:eastAsia="ja-JP"/>
        </w:rPr>
        <w:t xml:space="preserve"> to SRS (e.g., UE determines </w:t>
      </w:r>
      <w:proofErr w:type="spellStart"/>
      <w:r w:rsidRPr="007B5847">
        <w:rPr>
          <w:rFonts w:eastAsia="MS Mincho"/>
          <w:sz w:val="20"/>
          <w:szCs w:val="20"/>
          <w:lang w:eastAsia="ja-JP"/>
        </w:rPr>
        <w:t>Tx</w:t>
      </w:r>
      <w:proofErr w:type="spellEnd"/>
      <w:r w:rsidRPr="007B5847">
        <w:rPr>
          <w:rFonts w:eastAsia="MS Mincho"/>
          <w:sz w:val="20"/>
          <w:szCs w:val="20"/>
          <w:lang w:eastAsia="ja-JP"/>
        </w:rPr>
        <w:t xml:space="preserve"> beam for each SRS port/resource)</w:t>
      </w:r>
    </w:p>
    <w:p w:rsidR="007B5847" w:rsidRPr="007B5847" w:rsidRDefault="007B5847" w:rsidP="007B5847">
      <w:pPr>
        <w:numPr>
          <w:ilvl w:val="1"/>
          <w:numId w:val="20"/>
        </w:numPr>
        <w:autoSpaceDE/>
        <w:autoSpaceDN/>
        <w:adjustRightInd/>
        <w:snapToGrid/>
        <w:spacing w:after="0"/>
        <w:jc w:val="left"/>
        <w:rPr>
          <w:rFonts w:eastAsia="MS Mincho"/>
          <w:sz w:val="20"/>
          <w:szCs w:val="20"/>
          <w:lang w:eastAsia="ja-JP"/>
        </w:rPr>
      </w:pPr>
      <w:r w:rsidRPr="007B5847">
        <w:rPr>
          <w:rFonts w:eastAsia="MS Mincho"/>
          <w:sz w:val="20"/>
          <w:szCs w:val="20"/>
          <w:lang w:eastAsia="ja-JP"/>
        </w:rPr>
        <w:t>Alt.2</w:t>
      </w:r>
      <w:r w:rsidRPr="007B5847">
        <w:rPr>
          <w:rFonts w:eastAsia="MS Mincho" w:hint="eastAsia"/>
          <w:sz w:val="20"/>
          <w:szCs w:val="20"/>
          <w:lang w:eastAsia="ja-JP"/>
        </w:rPr>
        <w:t>:</w:t>
      </w:r>
      <w:r w:rsidRPr="007B5847">
        <w:rPr>
          <w:rFonts w:eastAsia="MS Mincho"/>
          <w:sz w:val="20"/>
          <w:szCs w:val="20"/>
          <w:lang w:eastAsia="ja-JP"/>
        </w:rPr>
        <w:t xml:space="preserve"> based on </w:t>
      </w:r>
      <w:proofErr w:type="spellStart"/>
      <w:r w:rsidRPr="007B5847">
        <w:rPr>
          <w:rFonts w:eastAsia="MS Mincho"/>
          <w:sz w:val="20"/>
          <w:szCs w:val="20"/>
          <w:lang w:eastAsia="ja-JP"/>
        </w:rPr>
        <w:t>gNB</w:t>
      </w:r>
      <w:proofErr w:type="spellEnd"/>
      <w:r w:rsidRPr="007B5847">
        <w:rPr>
          <w:rFonts w:eastAsia="MS Mincho"/>
          <w:sz w:val="20"/>
          <w:szCs w:val="20"/>
          <w:lang w:eastAsia="ja-JP"/>
        </w:rPr>
        <w:t xml:space="preserve"> </w:t>
      </w:r>
      <w:proofErr w:type="spellStart"/>
      <w:r w:rsidRPr="007B5847">
        <w:rPr>
          <w:rFonts w:eastAsia="MS Mincho"/>
          <w:sz w:val="20"/>
          <w:szCs w:val="20"/>
          <w:lang w:eastAsia="ja-JP"/>
        </w:rPr>
        <w:t>indication</w:t>
      </w:r>
      <w:r w:rsidR="00FC5F25">
        <w:rPr>
          <w:rFonts w:eastAsia="MS Mincho"/>
          <w:sz w:val="20"/>
          <w:szCs w:val="20"/>
          <w:lang w:eastAsia="ja-JP"/>
        </w:rPr>
        <w:t>,e.g</w:t>
      </w:r>
      <w:proofErr w:type="spellEnd"/>
      <w:r w:rsidR="00FC5F25">
        <w:rPr>
          <w:rFonts w:eastAsia="MS Mincho"/>
          <w:sz w:val="20"/>
          <w:szCs w:val="20"/>
          <w:lang w:eastAsia="ja-JP"/>
        </w:rPr>
        <w:t xml:space="preserve">. </w:t>
      </w:r>
      <w:r w:rsidRPr="007B5847">
        <w:rPr>
          <w:rFonts w:eastAsia="MS Mincho" w:hint="eastAsia"/>
          <w:sz w:val="20"/>
          <w:szCs w:val="20"/>
          <w:lang w:eastAsia="ja-JP"/>
        </w:rPr>
        <w:t>via SRI</w:t>
      </w:r>
    </w:p>
    <w:p w:rsidR="007B5847" w:rsidRPr="007B5847" w:rsidRDefault="007B5847" w:rsidP="007B5847">
      <w:pPr>
        <w:numPr>
          <w:ilvl w:val="1"/>
          <w:numId w:val="20"/>
        </w:numPr>
        <w:autoSpaceDE/>
        <w:autoSpaceDN/>
        <w:adjustRightInd/>
        <w:snapToGrid/>
        <w:spacing w:after="0"/>
        <w:jc w:val="left"/>
        <w:rPr>
          <w:rFonts w:eastAsia="MS Mincho"/>
          <w:sz w:val="20"/>
          <w:szCs w:val="20"/>
          <w:lang w:eastAsia="ja-JP"/>
        </w:rPr>
      </w:pPr>
    </w:p>
    <w:p w:rsidR="007B5847" w:rsidRPr="007B5847" w:rsidRDefault="007B5847" w:rsidP="007B5847">
      <w:pPr>
        <w:numPr>
          <w:ilvl w:val="0"/>
          <w:numId w:val="15"/>
        </w:numPr>
        <w:autoSpaceDE/>
        <w:autoSpaceDN/>
        <w:adjustRightInd/>
        <w:snapToGrid/>
        <w:spacing w:after="0"/>
        <w:jc w:val="left"/>
        <w:rPr>
          <w:rFonts w:eastAsia="MS Mincho"/>
          <w:sz w:val="20"/>
          <w:szCs w:val="20"/>
          <w:lang w:eastAsia="ja-JP"/>
        </w:rPr>
      </w:pPr>
      <w:r w:rsidRPr="007B5847">
        <w:rPr>
          <w:rFonts w:eastAsia="MS Mincho"/>
          <w:sz w:val="20"/>
          <w:szCs w:val="20"/>
          <w:lang w:eastAsia="ja-JP"/>
        </w:rPr>
        <w:t xml:space="preserve">In NR, for SRS based UL-MIMO </w:t>
      </w:r>
      <w:proofErr w:type="spellStart"/>
      <w:r w:rsidRPr="007B5847">
        <w:rPr>
          <w:rFonts w:eastAsia="MS Mincho"/>
          <w:sz w:val="20"/>
          <w:szCs w:val="20"/>
          <w:lang w:eastAsia="ja-JP"/>
        </w:rPr>
        <w:t>precoding</w:t>
      </w:r>
      <w:proofErr w:type="spellEnd"/>
      <w:r w:rsidRPr="007B5847">
        <w:rPr>
          <w:rFonts w:eastAsia="MS Mincho"/>
          <w:sz w:val="20"/>
          <w:szCs w:val="20"/>
          <w:lang w:eastAsia="ja-JP"/>
        </w:rPr>
        <w:t xml:space="preserve"> for data scheduling, FFS the following aspects especially related to potential signaling impact:</w:t>
      </w:r>
    </w:p>
    <w:p w:rsidR="007B5847" w:rsidRPr="007B5847" w:rsidRDefault="007B5847" w:rsidP="007B5847">
      <w:pPr>
        <w:numPr>
          <w:ilvl w:val="1"/>
          <w:numId w:val="15"/>
        </w:numPr>
        <w:autoSpaceDE/>
        <w:autoSpaceDN/>
        <w:adjustRightInd/>
        <w:snapToGrid/>
        <w:spacing w:after="0"/>
        <w:jc w:val="left"/>
        <w:rPr>
          <w:rFonts w:eastAsia="MS Mincho"/>
          <w:sz w:val="20"/>
          <w:szCs w:val="20"/>
          <w:lang w:eastAsia="ja-JP"/>
        </w:rPr>
      </w:pPr>
      <w:r w:rsidRPr="007B5847">
        <w:rPr>
          <w:rFonts w:eastAsia="MS Mincho"/>
          <w:sz w:val="20"/>
          <w:szCs w:val="20"/>
          <w:lang w:eastAsia="ja-JP"/>
        </w:rPr>
        <w:t xml:space="preserve">Single SRS resource based </w:t>
      </w:r>
    </w:p>
    <w:p w:rsidR="007B5847" w:rsidRPr="007B5847" w:rsidRDefault="007B5847" w:rsidP="007B5847">
      <w:pPr>
        <w:numPr>
          <w:ilvl w:val="1"/>
          <w:numId w:val="15"/>
        </w:numPr>
        <w:autoSpaceDE/>
        <w:autoSpaceDN/>
        <w:adjustRightInd/>
        <w:snapToGrid/>
        <w:spacing w:after="0"/>
        <w:jc w:val="left"/>
        <w:rPr>
          <w:rFonts w:eastAsia="MS Mincho"/>
          <w:sz w:val="20"/>
          <w:szCs w:val="20"/>
          <w:lang w:eastAsia="ja-JP"/>
        </w:rPr>
      </w:pPr>
      <w:r w:rsidRPr="007B5847">
        <w:rPr>
          <w:rFonts w:eastAsia="MS Mincho"/>
          <w:sz w:val="20"/>
          <w:szCs w:val="20"/>
          <w:lang w:eastAsia="ja-JP"/>
        </w:rPr>
        <w:t xml:space="preserve">Multiple SRS resource based </w:t>
      </w:r>
    </w:p>
    <w:p w:rsidR="007B5847" w:rsidRPr="007B5847" w:rsidRDefault="007B5847" w:rsidP="007B5847">
      <w:pPr>
        <w:numPr>
          <w:ilvl w:val="1"/>
          <w:numId w:val="15"/>
        </w:numPr>
        <w:autoSpaceDE/>
        <w:autoSpaceDN/>
        <w:adjustRightInd/>
        <w:snapToGrid/>
        <w:spacing w:after="0"/>
        <w:jc w:val="left"/>
        <w:rPr>
          <w:rFonts w:eastAsia="MS Mincho"/>
          <w:sz w:val="20"/>
          <w:szCs w:val="20"/>
          <w:lang w:eastAsia="ja-JP"/>
        </w:rPr>
      </w:pPr>
      <w:r w:rsidRPr="007B5847">
        <w:rPr>
          <w:rFonts w:eastAsia="MS Mincho"/>
          <w:sz w:val="20"/>
          <w:szCs w:val="20"/>
          <w:lang w:eastAsia="ja-JP"/>
        </w:rPr>
        <w:t>Multi-step acquisition, e.g., involving a mixture of single SRS resource and multiple SRS resource based, or using multiple SRS resource only, etc.</w:t>
      </w:r>
    </w:p>
    <w:p w:rsidR="00053043" w:rsidRDefault="00053043" w:rsidP="005411B0">
      <w:pPr>
        <w:spacing w:before="120"/>
        <w:rPr>
          <w:kern w:val="2"/>
          <w:sz w:val="20"/>
          <w:szCs w:val="20"/>
          <w:lang w:eastAsia="zh-CN"/>
        </w:rPr>
      </w:pPr>
    </w:p>
    <w:p w:rsidR="00F61183" w:rsidRPr="00F61183" w:rsidRDefault="00F61183" w:rsidP="00F61183">
      <w:pPr>
        <w:autoSpaceDE/>
        <w:autoSpaceDN/>
        <w:adjustRightInd/>
        <w:snapToGrid/>
        <w:spacing w:after="0"/>
        <w:jc w:val="left"/>
        <w:rPr>
          <w:rFonts w:eastAsia="MS Mincho"/>
          <w:sz w:val="20"/>
          <w:szCs w:val="20"/>
          <w:lang w:eastAsia="ja-JP"/>
        </w:rPr>
      </w:pPr>
      <w:r>
        <w:rPr>
          <w:kern w:val="2"/>
          <w:sz w:val="20"/>
          <w:szCs w:val="20"/>
          <w:lang w:eastAsia="zh-CN"/>
        </w:rPr>
        <w:t>In RAN1#88b</w:t>
      </w:r>
      <w:r w:rsidRPr="00F61183">
        <w:rPr>
          <w:rFonts w:eastAsia="MS Mincho"/>
          <w:sz w:val="20"/>
          <w:szCs w:val="20"/>
          <w:lang w:eastAsia="ja-JP"/>
        </w:rPr>
        <w:t>is meeting, the following agreements were reached:</w:t>
      </w:r>
    </w:p>
    <w:p w:rsidR="00F61183" w:rsidRPr="00F61183" w:rsidRDefault="00F61183" w:rsidP="00F61183">
      <w:pPr>
        <w:numPr>
          <w:ilvl w:val="0"/>
          <w:numId w:val="15"/>
        </w:numPr>
        <w:autoSpaceDE/>
        <w:autoSpaceDN/>
        <w:adjustRightInd/>
        <w:snapToGrid/>
        <w:spacing w:after="0"/>
        <w:jc w:val="left"/>
        <w:rPr>
          <w:rFonts w:eastAsia="MS Mincho"/>
          <w:sz w:val="20"/>
          <w:szCs w:val="20"/>
          <w:lang w:eastAsia="ja-JP"/>
        </w:rPr>
      </w:pPr>
      <w:r w:rsidRPr="00F61183">
        <w:rPr>
          <w:rFonts w:eastAsia="MS Mincho"/>
          <w:sz w:val="20"/>
          <w:szCs w:val="20"/>
          <w:lang w:eastAsia="ja-JP"/>
        </w:rPr>
        <w:t>A UE can be configured with an X-port SRS resource, where the SRS resource spans one or multiple OFDM symbols within a single slot</w:t>
      </w:r>
    </w:p>
    <w:p w:rsidR="00F61183" w:rsidRPr="00F61183" w:rsidRDefault="00F61183" w:rsidP="00F61183">
      <w:pPr>
        <w:numPr>
          <w:ilvl w:val="1"/>
          <w:numId w:val="15"/>
        </w:numPr>
        <w:autoSpaceDE/>
        <w:autoSpaceDN/>
        <w:adjustRightInd/>
        <w:snapToGrid/>
        <w:spacing w:after="0"/>
        <w:jc w:val="left"/>
        <w:rPr>
          <w:rFonts w:eastAsia="MS Mincho"/>
          <w:sz w:val="20"/>
          <w:szCs w:val="20"/>
          <w:lang w:eastAsia="ja-JP"/>
        </w:rPr>
      </w:pPr>
      <w:r w:rsidRPr="00F61183">
        <w:rPr>
          <w:rFonts w:eastAsia="MS Mincho"/>
          <w:sz w:val="20"/>
          <w:szCs w:val="20"/>
          <w:lang w:eastAsia="ja-JP"/>
        </w:rPr>
        <w:t>FFS where all of the X SRS ports are sounded in each OFDM symbol</w:t>
      </w:r>
    </w:p>
    <w:p w:rsidR="00F61183" w:rsidRPr="00F61183" w:rsidRDefault="00F61183" w:rsidP="00F61183">
      <w:pPr>
        <w:numPr>
          <w:ilvl w:val="0"/>
          <w:numId w:val="15"/>
        </w:numPr>
        <w:autoSpaceDE/>
        <w:autoSpaceDN/>
        <w:adjustRightInd/>
        <w:snapToGrid/>
        <w:spacing w:after="0"/>
        <w:jc w:val="left"/>
        <w:rPr>
          <w:rFonts w:eastAsia="MS Mincho"/>
          <w:sz w:val="20"/>
          <w:szCs w:val="20"/>
          <w:lang w:eastAsia="ja-JP"/>
        </w:rPr>
      </w:pPr>
      <w:r w:rsidRPr="00F61183">
        <w:rPr>
          <w:rFonts w:eastAsia="MS Mincho"/>
          <w:sz w:val="20"/>
          <w:szCs w:val="20"/>
          <w:lang w:eastAsia="ja-JP"/>
        </w:rPr>
        <w:t>FFS at least for the purposes of CSI acquisition:</w:t>
      </w:r>
    </w:p>
    <w:p w:rsidR="00F61183" w:rsidRPr="00F61183" w:rsidRDefault="00F61183" w:rsidP="00F61183">
      <w:pPr>
        <w:numPr>
          <w:ilvl w:val="1"/>
          <w:numId w:val="15"/>
        </w:numPr>
        <w:autoSpaceDE/>
        <w:autoSpaceDN/>
        <w:adjustRightInd/>
        <w:snapToGrid/>
        <w:spacing w:after="0"/>
        <w:jc w:val="left"/>
        <w:rPr>
          <w:rFonts w:eastAsia="MS Mincho"/>
          <w:sz w:val="20"/>
          <w:szCs w:val="20"/>
          <w:lang w:eastAsia="ja-JP"/>
        </w:rPr>
      </w:pPr>
      <w:r w:rsidRPr="00F61183">
        <w:rPr>
          <w:rFonts w:eastAsia="MS Mincho"/>
          <w:sz w:val="20"/>
          <w:szCs w:val="20"/>
          <w:lang w:eastAsia="ja-JP"/>
        </w:rPr>
        <w:t>FFS a multi-symbol SRS resource can be configured such that the X SRS ports in each OFDM symbol are transmitted in different locations of the band in different OFDM symbols in the slot in a frequency hopping manner</w:t>
      </w:r>
    </w:p>
    <w:p w:rsidR="00F61183" w:rsidRPr="00F61183" w:rsidRDefault="00F61183" w:rsidP="00F61183">
      <w:pPr>
        <w:numPr>
          <w:ilvl w:val="1"/>
          <w:numId w:val="15"/>
        </w:numPr>
        <w:autoSpaceDE/>
        <w:autoSpaceDN/>
        <w:adjustRightInd/>
        <w:snapToGrid/>
        <w:spacing w:after="0"/>
        <w:jc w:val="left"/>
        <w:rPr>
          <w:rFonts w:eastAsia="MS Mincho"/>
          <w:sz w:val="20"/>
          <w:szCs w:val="20"/>
          <w:lang w:eastAsia="ja-JP"/>
        </w:rPr>
      </w:pPr>
      <w:r w:rsidRPr="00F61183">
        <w:rPr>
          <w:rFonts w:eastAsia="MS Mincho"/>
          <w:sz w:val="20"/>
          <w:szCs w:val="20"/>
          <w:lang w:eastAsia="ja-JP"/>
        </w:rPr>
        <w:t>Note: This allows sounding a larger part of (or the full) UE bandwidth using narrower band SRS transmissions</w:t>
      </w:r>
    </w:p>
    <w:p w:rsidR="00F61183" w:rsidRPr="00F61183" w:rsidRDefault="00F61183" w:rsidP="00F61183">
      <w:pPr>
        <w:numPr>
          <w:ilvl w:val="1"/>
          <w:numId w:val="15"/>
        </w:numPr>
        <w:autoSpaceDE/>
        <w:autoSpaceDN/>
        <w:adjustRightInd/>
        <w:snapToGrid/>
        <w:spacing w:after="0"/>
        <w:jc w:val="left"/>
        <w:rPr>
          <w:rFonts w:eastAsia="MS Mincho"/>
          <w:sz w:val="20"/>
          <w:szCs w:val="20"/>
          <w:lang w:eastAsia="ja-JP"/>
        </w:rPr>
      </w:pPr>
      <w:r w:rsidRPr="00F61183">
        <w:rPr>
          <w:rFonts w:eastAsia="MS Mincho"/>
          <w:sz w:val="20"/>
          <w:szCs w:val="20"/>
          <w:lang w:eastAsia="ja-JP"/>
        </w:rPr>
        <w:t>Note: at any OFDM symbol, all X ports are sounded in the same portion of the band</w:t>
      </w:r>
    </w:p>
    <w:p w:rsidR="00F61183" w:rsidRPr="00F61183" w:rsidRDefault="00F61183" w:rsidP="00F61183">
      <w:pPr>
        <w:numPr>
          <w:ilvl w:val="0"/>
          <w:numId w:val="15"/>
        </w:numPr>
        <w:autoSpaceDE/>
        <w:autoSpaceDN/>
        <w:adjustRightInd/>
        <w:snapToGrid/>
        <w:spacing w:after="0"/>
        <w:jc w:val="left"/>
        <w:rPr>
          <w:rFonts w:eastAsia="MS Mincho"/>
          <w:sz w:val="20"/>
          <w:szCs w:val="20"/>
          <w:lang w:eastAsia="ja-JP"/>
        </w:rPr>
      </w:pPr>
      <w:r w:rsidRPr="00F61183">
        <w:rPr>
          <w:rFonts w:eastAsia="MS Mincho"/>
          <w:sz w:val="20"/>
          <w:szCs w:val="20"/>
          <w:lang w:eastAsia="ja-JP"/>
        </w:rPr>
        <w:t>Note: Consider UE RF implementation aspects on SRS design that may place constraints on the design of the symbol-wise hopping pattern</w:t>
      </w:r>
    </w:p>
    <w:p w:rsidR="00F61183" w:rsidRPr="00F61183" w:rsidRDefault="00F61183" w:rsidP="00F61183">
      <w:pPr>
        <w:numPr>
          <w:ilvl w:val="1"/>
          <w:numId w:val="15"/>
        </w:numPr>
        <w:autoSpaceDE/>
        <w:autoSpaceDN/>
        <w:adjustRightInd/>
        <w:snapToGrid/>
        <w:spacing w:after="0"/>
        <w:jc w:val="left"/>
        <w:rPr>
          <w:rFonts w:eastAsia="MS Mincho"/>
          <w:sz w:val="20"/>
          <w:szCs w:val="20"/>
          <w:lang w:eastAsia="ja-JP"/>
        </w:rPr>
      </w:pPr>
      <w:r w:rsidRPr="00F61183">
        <w:rPr>
          <w:rFonts w:eastAsia="MS Mincho"/>
          <w:sz w:val="20"/>
          <w:szCs w:val="20"/>
          <w:lang w:eastAsia="ja-JP"/>
        </w:rPr>
        <w:t>e.g., Required time for frequency re-tuning (if re-tuning needed) or transient period if re-tuning is not needed</w:t>
      </w:r>
    </w:p>
    <w:p w:rsidR="00F61183" w:rsidRPr="00F61183" w:rsidRDefault="00F61183" w:rsidP="005411B0">
      <w:pPr>
        <w:spacing w:before="120"/>
        <w:rPr>
          <w:kern w:val="2"/>
          <w:sz w:val="20"/>
          <w:szCs w:val="20"/>
          <w:lang w:eastAsia="zh-CN"/>
        </w:rPr>
      </w:pPr>
    </w:p>
    <w:p w:rsidR="000F20B3" w:rsidRDefault="000F20B3" w:rsidP="005411B0">
      <w:pPr>
        <w:spacing w:before="120"/>
        <w:rPr>
          <w:kern w:val="2"/>
          <w:sz w:val="20"/>
          <w:szCs w:val="20"/>
          <w:lang w:eastAsia="zh-CN"/>
        </w:rPr>
      </w:pPr>
      <w:r>
        <w:rPr>
          <w:kern w:val="2"/>
          <w:sz w:val="20"/>
          <w:szCs w:val="20"/>
          <w:lang w:eastAsia="zh-CN"/>
        </w:rPr>
        <w:t xml:space="preserve">In this contribution we </w:t>
      </w:r>
      <w:r w:rsidR="00F61183">
        <w:rPr>
          <w:kern w:val="2"/>
          <w:sz w:val="20"/>
          <w:szCs w:val="20"/>
          <w:lang w:eastAsia="zh-CN"/>
        </w:rPr>
        <w:t>provide our view on the details of</w:t>
      </w:r>
      <w:r>
        <w:rPr>
          <w:kern w:val="2"/>
          <w:sz w:val="20"/>
          <w:szCs w:val="20"/>
          <w:lang w:eastAsia="zh-CN"/>
        </w:rPr>
        <w:t xml:space="preserve"> SRS </w:t>
      </w:r>
      <w:r w:rsidR="00F61183">
        <w:rPr>
          <w:kern w:val="2"/>
          <w:sz w:val="20"/>
          <w:szCs w:val="20"/>
          <w:lang w:eastAsia="zh-CN"/>
        </w:rPr>
        <w:t>resource configuration in order to support CSI acquisition and beam management.</w:t>
      </w:r>
    </w:p>
    <w:p w:rsidR="002D2910" w:rsidRPr="00053043" w:rsidRDefault="000F20B3" w:rsidP="005411B0">
      <w:pPr>
        <w:spacing w:before="120"/>
        <w:rPr>
          <w:kern w:val="2"/>
          <w:sz w:val="20"/>
          <w:szCs w:val="20"/>
          <w:lang w:eastAsia="zh-CN"/>
        </w:rPr>
      </w:pPr>
      <w:r>
        <w:rPr>
          <w:kern w:val="2"/>
          <w:sz w:val="20"/>
          <w:szCs w:val="20"/>
          <w:lang w:eastAsia="zh-CN"/>
        </w:rPr>
        <w:t xml:space="preserve"> </w:t>
      </w:r>
      <w:r w:rsidRPr="00053043">
        <w:rPr>
          <w:kern w:val="2"/>
          <w:sz w:val="20"/>
          <w:szCs w:val="20"/>
          <w:lang w:eastAsia="zh-CN"/>
        </w:rPr>
        <w:t xml:space="preserve"> </w:t>
      </w:r>
    </w:p>
    <w:p w:rsidR="00F61183" w:rsidRDefault="00F44E81" w:rsidP="000F20B3">
      <w:pPr>
        <w:pStyle w:val="Heading1"/>
        <w:rPr>
          <w:rFonts w:ascii="Arial" w:hAnsi="Arial" w:cs="Arial"/>
          <w:lang w:eastAsia="zh-CN"/>
        </w:rPr>
      </w:pPr>
      <w:r>
        <w:rPr>
          <w:rFonts w:ascii="Arial" w:hAnsi="Arial" w:cs="Arial"/>
          <w:lang w:eastAsia="zh-CN"/>
        </w:rPr>
        <w:lastRenderedPageBreak/>
        <w:t>Discussion</w:t>
      </w:r>
    </w:p>
    <w:p w:rsidR="000F20B3" w:rsidRDefault="00FC5F25" w:rsidP="000F20B3">
      <w:pPr>
        <w:spacing w:before="120"/>
        <w:rPr>
          <w:sz w:val="20"/>
          <w:szCs w:val="20"/>
          <w:lang w:eastAsia="zh-CN"/>
        </w:rPr>
      </w:pPr>
      <w:r>
        <w:rPr>
          <w:kern w:val="2"/>
          <w:sz w:val="20"/>
          <w:szCs w:val="20"/>
          <w:lang w:eastAsia="zh-CN"/>
        </w:rPr>
        <w:t xml:space="preserve">When SRS is used for UL beam management, UE may need to transmit SRS with different beams in U1, U2 or U3 phases for the </w:t>
      </w:r>
      <w:proofErr w:type="spellStart"/>
      <w:r>
        <w:rPr>
          <w:kern w:val="2"/>
          <w:sz w:val="20"/>
          <w:szCs w:val="20"/>
          <w:lang w:eastAsia="zh-CN"/>
        </w:rPr>
        <w:t>gNB</w:t>
      </w:r>
      <w:proofErr w:type="spellEnd"/>
      <w:r>
        <w:rPr>
          <w:kern w:val="2"/>
          <w:sz w:val="20"/>
          <w:szCs w:val="20"/>
          <w:lang w:eastAsia="zh-CN"/>
        </w:rPr>
        <w:t xml:space="preserve"> to select and retune the TX beam and the RX beam. Multiple beams are transmitted in multiple SRS ports. For beam measurement and refinement purpose, it is preferable that SRS are transmitted as wide-band with relatively low density in the frequency domain (i.e. a large comb level). Under the previous agreement, UE may apply </w:t>
      </w:r>
      <w:proofErr w:type="spellStart"/>
      <w:r>
        <w:rPr>
          <w:kern w:val="2"/>
          <w:sz w:val="20"/>
          <w:szCs w:val="20"/>
          <w:lang w:eastAsia="zh-CN"/>
        </w:rPr>
        <w:t>gNB</w:t>
      </w:r>
      <w:proofErr w:type="spellEnd"/>
      <w:r>
        <w:rPr>
          <w:kern w:val="2"/>
          <w:sz w:val="20"/>
          <w:szCs w:val="20"/>
          <w:lang w:eastAsia="zh-CN"/>
        </w:rPr>
        <w:t xml:space="preserve">-transparent </w:t>
      </w:r>
      <w:proofErr w:type="spellStart"/>
      <w:proofErr w:type="gramStart"/>
      <w:r>
        <w:rPr>
          <w:kern w:val="2"/>
          <w:sz w:val="20"/>
          <w:szCs w:val="20"/>
          <w:lang w:eastAsia="zh-CN"/>
        </w:rPr>
        <w:t>Tx</w:t>
      </w:r>
      <w:proofErr w:type="spellEnd"/>
      <w:proofErr w:type="gramEnd"/>
      <w:r>
        <w:rPr>
          <w:kern w:val="2"/>
          <w:sz w:val="20"/>
          <w:szCs w:val="20"/>
          <w:lang w:eastAsia="zh-CN"/>
        </w:rPr>
        <w:t xml:space="preserve"> </w:t>
      </w:r>
      <w:proofErr w:type="spellStart"/>
      <w:r>
        <w:rPr>
          <w:kern w:val="2"/>
          <w:sz w:val="20"/>
          <w:szCs w:val="20"/>
          <w:lang w:eastAsia="zh-CN"/>
        </w:rPr>
        <w:t>beamformers</w:t>
      </w:r>
      <w:proofErr w:type="spellEnd"/>
      <w:r>
        <w:rPr>
          <w:kern w:val="2"/>
          <w:sz w:val="20"/>
          <w:szCs w:val="20"/>
          <w:lang w:eastAsia="zh-CN"/>
        </w:rPr>
        <w:t xml:space="preserve"> to the SRS ports/resources. </w:t>
      </w:r>
      <w:r w:rsidR="000F20B3" w:rsidRPr="00FC5F25">
        <w:rPr>
          <w:kern w:val="2"/>
          <w:sz w:val="20"/>
          <w:szCs w:val="20"/>
          <w:lang w:eastAsia="zh-CN"/>
        </w:rPr>
        <w:t xml:space="preserve">Although the details of the TX </w:t>
      </w:r>
      <w:proofErr w:type="spellStart"/>
      <w:r w:rsidR="000F20B3" w:rsidRPr="00FC5F25">
        <w:rPr>
          <w:kern w:val="2"/>
          <w:sz w:val="20"/>
          <w:szCs w:val="20"/>
          <w:lang w:eastAsia="zh-CN"/>
        </w:rPr>
        <w:t>beamformer</w:t>
      </w:r>
      <w:proofErr w:type="spellEnd"/>
      <w:r w:rsidR="000F20B3" w:rsidRPr="00FC5F25">
        <w:rPr>
          <w:kern w:val="2"/>
          <w:sz w:val="20"/>
          <w:szCs w:val="20"/>
          <w:lang w:eastAsia="zh-CN"/>
        </w:rPr>
        <w:t xml:space="preserve"> may be transparent to </w:t>
      </w:r>
      <w:proofErr w:type="spellStart"/>
      <w:r w:rsidR="000F20B3" w:rsidRPr="00FC5F25">
        <w:rPr>
          <w:kern w:val="2"/>
          <w:sz w:val="20"/>
          <w:szCs w:val="20"/>
          <w:lang w:eastAsia="zh-CN"/>
        </w:rPr>
        <w:t>gNB</w:t>
      </w:r>
      <w:proofErr w:type="spellEnd"/>
      <w:r w:rsidR="000F20B3" w:rsidRPr="00FC5F25">
        <w:rPr>
          <w:kern w:val="2"/>
          <w:sz w:val="20"/>
          <w:szCs w:val="20"/>
          <w:lang w:eastAsia="zh-CN"/>
        </w:rPr>
        <w:t xml:space="preserve">, certain implementation of the UE TX </w:t>
      </w:r>
      <w:proofErr w:type="spellStart"/>
      <w:r w:rsidR="000F20B3" w:rsidRPr="00FC5F25">
        <w:rPr>
          <w:kern w:val="2"/>
          <w:sz w:val="20"/>
          <w:szCs w:val="20"/>
          <w:lang w:eastAsia="zh-CN"/>
        </w:rPr>
        <w:t>beamformer</w:t>
      </w:r>
      <w:proofErr w:type="spellEnd"/>
      <w:r w:rsidR="000F20B3" w:rsidRPr="00FC5F25">
        <w:rPr>
          <w:kern w:val="2"/>
          <w:sz w:val="20"/>
          <w:szCs w:val="20"/>
          <w:lang w:eastAsia="zh-CN"/>
        </w:rPr>
        <w:t xml:space="preserve"> may have an impact on the SRS transmission time. When hybrid analog/digital </w:t>
      </w:r>
      <w:proofErr w:type="spellStart"/>
      <w:r w:rsidR="000F20B3" w:rsidRPr="00FC5F25">
        <w:rPr>
          <w:kern w:val="2"/>
          <w:sz w:val="20"/>
          <w:szCs w:val="20"/>
          <w:lang w:eastAsia="zh-CN"/>
        </w:rPr>
        <w:t>beamforming</w:t>
      </w:r>
      <w:proofErr w:type="spellEnd"/>
      <w:r w:rsidR="000F20B3" w:rsidRPr="00FC5F25">
        <w:rPr>
          <w:kern w:val="2"/>
          <w:sz w:val="20"/>
          <w:szCs w:val="20"/>
          <w:lang w:eastAsia="zh-CN"/>
        </w:rPr>
        <w:t xml:space="preserve"> is used at the UE side, the effective </w:t>
      </w:r>
      <w:r w:rsidR="00383268" w:rsidRPr="00FC5F25">
        <w:rPr>
          <w:kern w:val="2"/>
          <w:sz w:val="20"/>
          <w:szCs w:val="20"/>
          <w:lang w:eastAsia="zh-CN"/>
        </w:rPr>
        <w:t xml:space="preserve">TX </w:t>
      </w:r>
      <w:proofErr w:type="spellStart"/>
      <w:r w:rsidR="000F20B3" w:rsidRPr="00FC5F25">
        <w:rPr>
          <w:kern w:val="2"/>
          <w:sz w:val="20"/>
          <w:szCs w:val="20"/>
          <w:lang w:eastAsia="zh-CN"/>
        </w:rPr>
        <w:t>beamforming</w:t>
      </w:r>
      <w:proofErr w:type="spellEnd"/>
      <w:r w:rsidR="000F20B3" w:rsidRPr="00FC5F25">
        <w:rPr>
          <w:kern w:val="2"/>
          <w:sz w:val="20"/>
          <w:szCs w:val="20"/>
          <w:lang w:eastAsia="zh-CN"/>
        </w:rPr>
        <w:t xml:space="preserve"> vector </w:t>
      </w:r>
      <m:oMath>
        <m:r>
          <w:rPr>
            <w:rFonts w:ascii="Cambria Math" w:hAnsi="Cambria Math"/>
            <w:sz w:val="20"/>
            <w:szCs w:val="20"/>
            <w:lang w:eastAsia="zh-CN"/>
          </w:rPr>
          <m:t>F=</m:t>
        </m:r>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RF</m:t>
            </m:r>
          </m:sub>
        </m:sSub>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BB</m:t>
            </m:r>
          </m:sub>
        </m:sSub>
      </m:oMath>
      <w:r w:rsidR="000F20B3" w:rsidRPr="00FC5F25">
        <w:rPr>
          <w:kern w:val="2"/>
          <w:sz w:val="20"/>
          <w:szCs w:val="20"/>
          <w:lang w:eastAsia="zh-CN"/>
        </w:rPr>
        <w:t xml:space="preserve"> </w:t>
      </w:r>
      <w:r w:rsidR="00383268" w:rsidRPr="00FC5F25">
        <w:rPr>
          <w:kern w:val="2"/>
          <w:sz w:val="20"/>
          <w:szCs w:val="20"/>
          <w:lang w:eastAsia="zh-CN"/>
        </w:rPr>
        <w:t xml:space="preserve"> </w:t>
      </w:r>
      <w:r w:rsidR="000F20B3" w:rsidRPr="00FC5F25">
        <w:rPr>
          <w:kern w:val="2"/>
          <w:sz w:val="20"/>
          <w:szCs w:val="20"/>
          <w:lang w:eastAsia="zh-CN"/>
        </w:rPr>
        <w:t xml:space="preserve">is a product of the digital </w:t>
      </w:r>
      <w:proofErr w:type="spellStart"/>
      <w:r w:rsidR="000F20B3" w:rsidRPr="00FC5F25">
        <w:rPr>
          <w:kern w:val="2"/>
          <w:sz w:val="20"/>
          <w:szCs w:val="20"/>
          <w:lang w:eastAsia="zh-CN"/>
        </w:rPr>
        <w:t>beamforming</w:t>
      </w:r>
      <w:proofErr w:type="spellEnd"/>
      <w:r w:rsidR="000F20B3" w:rsidRPr="00FC5F25">
        <w:rPr>
          <w:kern w:val="2"/>
          <w:sz w:val="20"/>
          <w:szCs w:val="20"/>
          <w:lang w:eastAsia="zh-CN"/>
        </w:rPr>
        <w:t xml:space="preserve"> vector </w:t>
      </w:r>
      <w:r w:rsidR="00627863" w:rsidRPr="00FC5F25">
        <w:rPr>
          <w:kern w:val="2"/>
          <w:sz w:val="20"/>
          <w:szCs w:val="20"/>
          <w:lang w:eastAsia="zh-CN"/>
        </w:rPr>
        <w:fldChar w:fldCharType="begin"/>
      </w:r>
      <w:r w:rsidR="000F20B3" w:rsidRPr="00FC5F25">
        <w:rPr>
          <w:kern w:val="2"/>
          <w:sz w:val="20"/>
          <w:szCs w:val="20"/>
          <w:lang w:eastAsia="zh-CN"/>
        </w:rPr>
        <w:instrText xml:space="preserve"> QUOTE </w:instrText>
      </w:r>
      <m:oMath>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RF</m:t>
            </m:r>
          </m:sub>
        </m:sSub>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BB</m:t>
            </m:r>
          </m:sub>
        </m:sSub>
      </m:oMath>
      <w:r w:rsidR="000F20B3" w:rsidRPr="00FC5F25">
        <w:rPr>
          <w:kern w:val="2"/>
          <w:sz w:val="20"/>
          <w:szCs w:val="20"/>
          <w:lang w:eastAsia="zh-CN"/>
        </w:rPr>
        <w:instrText xml:space="preserve"> </w:instrText>
      </w:r>
      <w:r w:rsidR="00627863" w:rsidRPr="00FC5F25">
        <w:rPr>
          <w:kern w:val="2"/>
          <w:sz w:val="20"/>
          <w:szCs w:val="20"/>
          <w:lang w:eastAsia="zh-CN"/>
        </w:rPr>
        <w:fldChar w:fldCharType="separate"/>
      </w:r>
      <m:oMath>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BB</m:t>
            </m:r>
          </m:sub>
        </m:sSub>
      </m:oMath>
      <w:r w:rsidR="00627863" w:rsidRPr="00FC5F25">
        <w:rPr>
          <w:kern w:val="2"/>
          <w:sz w:val="20"/>
          <w:szCs w:val="20"/>
          <w:lang w:eastAsia="zh-CN"/>
        </w:rPr>
        <w:fldChar w:fldCharType="end"/>
      </w:r>
      <w:r w:rsidR="000F20B3" w:rsidRPr="00FC5F25">
        <w:rPr>
          <w:kern w:val="2"/>
          <w:sz w:val="20"/>
          <w:szCs w:val="20"/>
          <w:lang w:eastAsia="zh-CN"/>
        </w:rPr>
        <w:t xml:space="preserve"> and analog beamforming </w:t>
      </w:r>
      <w:proofErr w:type="gramStart"/>
      <w:r w:rsidR="000F20B3" w:rsidRPr="00FC5F25">
        <w:rPr>
          <w:kern w:val="2"/>
          <w:sz w:val="20"/>
          <w:szCs w:val="20"/>
          <w:lang w:eastAsia="zh-CN"/>
        </w:rPr>
        <w:t xml:space="preserve">vector </w:t>
      </w:r>
      <m:oMath>
        <w:proofErr w:type="gramEnd"/>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RF</m:t>
            </m:r>
          </m:sub>
        </m:sSub>
      </m:oMath>
      <w:r w:rsidR="000F20B3" w:rsidRPr="00FC5F25">
        <w:rPr>
          <w:sz w:val="20"/>
          <w:szCs w:val="20"/>
          <w:lang w:eastAsia="zh-CN"/>
        </w:rPr>
        <w:t>.</w:t>
      </w:r>
      <w:r w:rsidR="00383268" w:rsidRPr="00FC5F25">
        <w:rPr>
          <w:sz w:val="20"/>
          <w:szCs w:val="20"/>
          <w:lang w:eastAsia="zh-CN"/>
        </w:rPr>
        <w:t xml:space="preserve"> Due to the limitation of the analog components (PDN and phase shifter), </w:t>
      </w:r>
      <m:oMath>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RF</m:t>
            </m:r>
          </m:sub>
        </m:sSub>
      </m:oMath>
      <w:r w:rsidR="00383268" w:rsidRPr="00FC5F25">
        <w:rPr>
          <w:sz w:val="20"/>
          <w:szCs w:val="20"/>
          <w:lang w:eastAsia="zh-CN"/>
        </w:rPr>
        <w:t xml:space="preserve"> is wide-band and only one analog beam can be generated at a given time. </w:t>
      </w:r>
      <w:r>
        <w:rPr>
          <w:sz w:val="20"/>
          <w:szCs w:val="20"/>
          <w:lang w:eastAsia="zh-CN"/>
        </w:rPr>
        <w:t xml:space="preserve">This may limit the number of SRS beams (corresponding to SRS ports) that a UE can transmit in an OFDM symbol. </w:t>
      </w:r>
      <w:r w:rsidR="00A67CD4">
        <w:rPr>
          <w:sz w:val="20"/>
          <w:szCs w:val="20"/>
          <w:lang w:eastAsia="zh-CN"/>
        </w:rPr>
        <w:t xml:space="preserve">In the U1 phase of the UL beam management, the UE may only have vague knowledge of the channel obtained from the initial access phase. It may need to send UL SRS in different directions </w:t>
      </w:r>
      <w:r w:rsidR="00DA766F">
        <w:rPr>
          <w:sz w:val="20"/>
          <w:szCs w:val="20"/>
          <w:lang w:eastAsia="zh-CN"/>
        </w:rPr>
        <w:t xml:space="preserve">in order for the </w:t>
      </w:r>
      <w:proofErr w:type="spellStart"/>
      <w:r w:rsidR="00DA766F">
        <w:rPr>
          <w:sz w:val="20"/>
          <w:szCs w:val="20"/>
          <w:lang w:eastAsia="zh-CN"/>
        </w:rPr>
        <w:t>gNB</w:t>
      </w:r>
      <w:proofErr w:type="spellEnd"/>
      <w:r w:rsidR="00DA766F">
        <w:rPr>
          <w:sz w:val="20"/>
          <w:szCs w:val="20"/>
          <w:lang w:eastAsia="zh-CN"/>
        </w:rPr>
        <w:t xml:space="preserve"> </w:t>
      </w:r>
      <w:r w:rsidR="00A67CD4">
        <w:rPr>
          <w:sz w:val="20"/>
          <w:szCs w:val="20"/>
          <w:lang w:eastAsia="zh-CN"/>
        </w:rPr>
        <w:t xml:space="preserve">to search for a good UL beam. </w:t>
      </w:r>
      <w:r w:rsidR="00054E14">
        <w:rPr>
          <w:sz w:val="20"/>
          <w:szCs w:val="20"/>
          <w:lang w:eastAsia="zh-CN"/>
        </w:rPr>
        <w:t xml:space="preserve">These SRS beams may require different analog </w:t>
      </w:r>
      <w:proofErr w:type="spellStart"/>
      <w:r w:rsidR="00054E14">
        <w:rPr>
          <w:sz w:val="20"/>
          <w:szCs w:val="20"/>
          <w:lang w:eastAsia="zh-CN"/>
        </w:rPr>
        <w:t>beamforming</w:t>
      </w:r>
      <w:proofErr w:type="spellEnd"/>
      <w:r w:rsidR="00054E14">
        <w:rPr>
          <w:sz w:val="20"/>
          <w:szCs w:val="20"/>
          <w:lang w:eastAsia="zh-CN"/>
        </w:rPr>
        <w:t xml:space="preserve"> vectors, therefore cannot be sent in a single SRS symbol. In the example below, in the U1 phase, </w:t>
      </w:r>
      <w:r w:rsidR="00DA766F">
        <w:rPr>
          <w:sz w:val="20"/>
          <w:szCs w:val="20"/>
          <w:lang w:eastAsia="zh-CN"/>
        </w:rPr>
        <w:t xml:space="preserve">the </w:t>
      </w:r>
      <w:r w:rsidR="00054E14">
        <w:rPr>
          <w:sz w:val="20"/>
          <w:szCs w:val="20"/>
          <w:lang w:eastAsia="zh-CN"/>
        </w:rPr>
        <w:t>UE needs to transmit 4 SRS beams/ports (P</w:t>
      </w:r>
      <w:r w:rsidR="00054E14" w:rsidRPr="00054E14">
        <w:rPr>
          <w:sz w:val="20"/>
          <w:szCs w:val="20"/>
          <w:vertAlign w:val="subscript"/>
          <w:lang w:eastAsia="zh-CN"/>
        </w:rPr>
        <w:t>0</w:t>
      </w:r>
      <w:r w:rsidR="00054E14">
        <w:rPr>
          <w:sz w:val="20"/>
          <w:szCs w:val="20"/>
          <w:lang w:eastAsia="zh-CN"/>
        </w:rPr>
        <w:t>, P</w:t>
      </w:r>
      <w:r w:rsidR="00054E14">
        <w:rPr>
          <w:sz w:val="20"/>
          <w:szCs w:val="20"/>
          <w:vertAlign w:val="subscript"/>
          <w:lang w:eastAsia="zh-CN"/>
        </w:rPr>
        <w:t>1</w:t>
      </w:r>
      <w:r w:rsidR="00054E14">
        <w:rPr>
          <w:sz w:val="20"/>
          <w:szCs w:val="20"/>
          <w:lang w:eastAsia="zh-CN"/>
        </w:rPr>
        <w:t>,</w:t>
      </w:r>
      <w:r w:rsidR="00054E14" w:rsidRPr="00054E14">
        <w:rPr>
          <w:sz w:val="20"/>
          <w:szCs w:val="20"/>
          <w:lang w:eastAsia="zh-CN"/>
        </w:rPr>
        <w:t xml:space="preserve"> </w:t>
      </w:r>
      <w:r w:rsidR="00054E14">
        <w:rPr>
          <w:sz w:val="20"/>
          <w:szCs w:val="20"/>
          <w:lang w:eastAsia="zh-CN"/>
        </w:rPr>
        <w:t>P</w:t>
      </w:r>
      <w:r w:rsidR="00054E14">
        <w:rPr>
          <w:sz w:val="20"/>
          <w:szCs w:val="20"/>
          <w:vertAlign w:val="subscript"/>
          <w:lang w:eastAsia="zh-CN"/>
        </w:rPr>
        <w:t>2</w:t>
      </w:r>
      <w:r w:rsidR="00054E14">
        <w:rPr>
          <w:sz w:val="20"/>
          <w:szCs w:val="20"/>
          <w:lang w:eastAsia="zh-CN"/>
        </w:rPr>
        <w:t>,</w:t>
      </w:r>
      <w:r w:rsidR="00054E14" w:rsidRPr="00054E14">
        <w:rPr>
          <w:sz w:val="20"/>
          <w:szCs w:val="20"/>
          <w:lang w:eastAsia="zh-CN"/>
        </w:rPr>
        <w:t xml:space="preserve"> </w:t>
      </w:r>
      <w:r w:rsidR="00054E14">
        <w:rPr>
          <w:sz w:val="20"/>
          <w:szCs w:val="20"/>
          <w:lang w:eastAsia="zh-CN"/>
        </w:rPr>
        <w:t>P</w:t>
      </w:r>
      <w:r w:rsidR="00054E14">
        <w:rPr>
          <w:sz w:val="20"/>
          <w:szCs w:val="20"/>
          <w:vertAlign w:val="subscript"/>
          <w:lang w:eastAsia="zh-CN"/>
        </w:rPr>
        <w:t>3</w:t>
      </w:r>
      <w:r w:rsidR="00054E14">
        <w:rPr>
          <w:sz w:val="20"/>
          <w:szCs w:val="20"/>
          <w:lang w:eastAsia="zh-CN"/>
        </w:rPr>
        <w:t xml:space="preserve">) using two different analog </w:t>
      </w:r>
      <w:proofErr w:type="spellStart"/>
      <w:r w:rsidR="00054E14">
        <w:rPr>
          <w:sz w:val="20"/>
          <w:szCs w:val="20"/>
          <w:lang w:eastAsia="zh-CN"/>
        </w:rPr>
        <w:t>beamforming</w:t>
      </w:r>
      <w:proofErr w:type="spellEnd"/>
      <w:r w:rsidR="00054E14">
        <w:rPr>
          <w:sz w:val="20"/>
          <w:szCs w:val="20"/>
          <w:lang w:eastAsia="zh-CN"/>
        </w:rPr>
        <w:t xml:space="preserve"> vectors (</w:t>
      </w:r>
      <w:r w:rsidR="00054E14" w:rsidRPr="00054E14">
        <w:rPr>
          <w:i/>
        </w:rPr>
        <w:t>F</w:t>
      </w:r>
      <w:r w:rsidR="004A4186">
        <w:rPr>
          <w:i/>
          <w:vertAlign w:val="superscript"/>
        </w:rPr>
        <w:t>0</w:t>
      </w:r>
      <w:r w:rsidR="00054E14" w:rsidRPr="00054E14">
        <w:rPr>
          <w:i/>
          <w:vertAlign w:val="subscript"/>
        </w:rPr>
        <w:t>RF</w:t>
      </w:r>
      <w:r w:rsidR="00054E14">
        <w:rPr>
          <w:sz w:val="20"/>
          <w:szCs w:val="20"/>
          <w:lang w:eastAsia="zh-CN"/>
        </w:rPr>
        <w:t xml:space="preserve"> and</w:t>
      </w:r>
      <w:r w:rsidR="00054E14" w:rsidRPr="00054E14">
        <w:rPr>
          <w:i/>
        </w:rPr>
        <w:t xml:space="preserve"> F</w:t>
      </w:r>
      <w:r w:rsidR="004A4186">
        <w:rPr>
          <w:i/>
          <w:vertAlign w:val="superscript"/>
        </w:rPr>
        <w:t>1</w:t>
      </w:r>
      <w:r w:rsidR="00054E14" w:rsidRPr="00054E14">
        <w:rPr>
          <w:i/>
          <w:vertAlign w:val="subscript"/>
        </w:rPr>
        <w:t>RF</w:t>
      </w:r>
      <w:r w:rsidR="00054E14">
        <w:rPr>
          <w:sz w:val="20"/>
          <w:szCs w:val="20"/>
          <w:lang w:eastAsia="zh-CN"/>
        </w:rPr>
        <w:t xml:space="preserve">.) Based on the measurements of the SRS beams in U1, </w:t>
      </w:r>
      <w:r w:rsidR="00DA766F">
        <w:rPr>
          <w:sz w:val="20"/>
          <w:szCs w:val="20"/>
          <w:lang w:eastAsia="zh-CN"/>
        </w:rPr>
        <w:t xml:space="preserve">the </w:t>
      </w:r>
      <w:proofErr w:type="spellStart"/>
      <w:r w:rsidR="00054E14">
        <w:rPr>
          <w:sz w:val="20"/>
          <w:szCs w:val="20"/>
          <w:lang w:eastAsia="zh-CN"/>
        </w:rPr>
        <w:t>gNB</w:t>
      </w:r>
      <w:proofErr w:type="spellEnd"/>
      <w:r w:rsidR="00054E14">
        <w:rPr>
          <w:sz w:val="20"/>
          <w:szCs w:val="20"/>
          <w:lang w:eastAsia="zh-CN"/>
        </w:rPr>
        <w:t xml:space="preserve"> may select P</w:t>
      </w:r>
      <w:r w:rsidR="00054E14" w:rsidRPr="00054E14">
        <w:rPr>
          <w:sz w:val="20"/>
          <w:szCs w:val="20"/>
          <w:vertAlign w:val="subscript"/>
          <w:lang w:eastAsia="zh-CN"/>
        </w:rPr>
        <w:t>1</w:t>
      </w:r>
      <w:r w:rsidR="00054E14">
        <w:rPr>
          <w:sz w:val="20"/>
          <w:szCs w:val="20"/>
          <w:lang w:eastAsia="zh-CN"/>
        </w:rPr>
        <w:t xml:space="preserve"> as the best beam and proceeds to the next phase (U2). Based on the feedback of the U1 beams from </w:t>
      </w:r>
      <w:proofErr w:type="spellStart"/>
      <w:r w:rsidR="00054E14">
        <w:rPr>
          <w:sz w:val="20"/>
          <w:szCs w:val="20"/>
          <w:lang w:eastAsia="zh-CN"/>
        </w:rPr>
        <w:t>gNB</w:t>
      </w:r>
      <w:proofErr w:type="spellEnd"/>
      <w:r w:rsidR="00054E14">
        <w:rPr>
          <w:sz w:val="20"/>
          <w:szCs w:val="20"/>
          <w:lang w:eastAsia="zh-CN"/>
        </w:rPr>
        <w:t xml:space="preserve">, UE </w:t>
      </w:r>
      <w:r w:rsidR="004A4186">
        <w:rPr>
          <w:sz w:val="20"/>
          <w:szCs w:val="20"/>
          <w:lang w:eastAsia="zh-CN"/>
        </w:rPr>
        <w:t>may enter the U2</w:t>
      </w:r>
      <w:r w:rsidR="00630F33">
        <w:rPr>
          <w:sz w:val="20"/>
          <w:szCs w:val="20"/>
          <w:lang w:eastAsia="zh-CN"/>
        </w:rPr>
        <w:t>/3</w:t>
      </w:r>
      <w:r w:rsidR="004A4186">
        <w:rPr>
          <w:sz w:val="20"/>
          <w:szCs w:val="20"/>
          <w:lang w:eastAsia="zh-CN"/>
        </w:rPr>
        <w:t xml:space="preserve"> phase with</w:t>
      </w:r>
      <w:r w:rsidR="00E70539">
        <w:rPr>
          <w:sz w:val="20"/>
          <w:szCs w:val="20"/>
          <w:lang w:eastAsia="zh-CN"/>
        </w:rPr>
        <w:t xml:space="preserve"> the</w:t>
      </w:r>
      <w:r w:rsidR="004A4186">
        <w:rPr>
          <w:sz w:val="20"/>
          <w:szCs w:val="20"/>
          <w:lang w:eastAsia="zh-CN"/>
        </w:rPr>
        <w:t xml:space="preserve"> analog </w:t>
      </w:r>
      <w:proofErr w:type="spellStart"/>
      <w:r w:rsidR="004A4186">
        <w:rPr>
          <w:sz w:val="20"/>
          <w:szCs w:val="20"/>
          <w:lang w:eastAsia="zh-CN"/>
        </w:rPr>
        <w:t>beamforming</w:t>
      </w:r>
      <w:proofErr w:type="spellEnd"/>
      <w:r w:rsidR="004A4186">
        <w:rPr>
          <w:sz w:val="20"/>
          <w:szCs w:val="20"/>
          <w:lang w:eastAsia="zh-CN"/>
        </w:rPr>
        <w:t xml:space="preserve"> vector </w:t>
      </w:r>
      <w:r w:rsidR="004A4186" w:rsidRPr="00054E14">
        <w:rPr>
          <w:i/>
        </w:rPr>
        <w:t>F</w:t>
      </w:r>
      <w:r w:rsidR="004A4186">
        <w:rPr>
          <w:i/>
          <w:vertAlign w:val="superscript"/>
        </w:rPr>
        <w:t>0</w:t>
      </w:r>
      <w:r w:rsidR="004A4186" w:rsidRPr="00054E14">
        <w:rPr>
          <w:i/>
          <w:vertAlign w:val="subscript"/>
        </w:rPr>
        <w:t>RF</w:t>
      </w:r>
      <w:r w:rsidR="004A4186">
        <w:rPr>
          <w:sz w:val="20"/>
          <w:szCs w:val="20"/>
          <w:lang w:eastAsia="zh-CN"/>
        </w:rPr>
        <w:t xml:space="preserve"> as the basis. </w:t>
      </w:r>
      <w:r w:rsidR="00054E14">
        <w:rPr>
          <w:sz w:val="20"/>
          <w:szCs w:val="20"/>
          <w:lang w:eastAsia="zh-CN"/>
        </w:rPr>
        <w:t xml:space="preserve"> </w:t>
      </w:r>
      <w:r w:rsidR="00E70539">
        <w:rPr>
          <w:sz w:val="20"/>
          <w:szCs w:val="20"/>
          <w:lang w:eastAsia="zh-CN"/>
        </w:rPr>
        <w:t xml:space="preserve">With the SRS </w:t>
      </w:r>
      <w:proofErr w:type="spellStart"/>
      <w:r w:rsidR="00E70539">
        <w:rPr>
          <w:sz w:val="20"/>
          <w:szCs w:val="20"/>
          <w:lang w:eastAsia="zh-CN"/>
        </w:rPr>
        <w:t>beamforming</w:t>
      </w:r>
      <w:proofErr w:type="spellEnd"/>
      <w:r w:rsidR="00E70539">
        <w:rPr>
          <w:sz w:val="20"/>
          <w:szCs w:val="20"/>
          <w:lang w:eastAsia="zh-CN"/>
        </w:rPr>
        <w:t xml:space="preserve"> vectors transparent to the </w:t>
      </w:r>
      <w:proofErr w:type="spellStart"/>
      <w:r w:rsidR="00E70539">
        <w:rPr>
          <w:sz w:val="20"/>
          <w:szCs w:val="20"/>
          <w:lang w:eastAsia="zh-CN"/>
        </w:rPr>
        <w:t>gNB</w:t>
      </w:r>
      <w:proofErr w:type="spellEnd"/>
      <w:r w:rsidR="00E70539">
        <w:rPr>
          <w:sz w:val="20"/>
          <w:szCs w:val="20"/>
          <w:lang w:eastAsia="zh-CN"/>
        </w:rPr>
        <w:t xml:space="preserve">, it sends a new set of 4 SRS beams, all based on </w:t>
      </w:r>
      <w:r w:rsidR="00E70539" w:rsidRPr="00054E14">
        <w:rPr>
          <w:i/>
        </w:rPr>
        <w:t>F</w:t>
      </w:r>
      <w:r w:rsidR="00E70539">
        <w:rPr>
          <w:i/>
          <w:vertAlign w:val="superscript"/>
        </w:rPr>
        <w:t>0</w:t>
      </w:r>
      <w:r w:rsidR="00E70539" w:rsidRPr="00054E14">
        <w:rPr>
          <w:i/>
          <w:vertAlign w:val="subscript"/>
        </w:rPr>
        <w:t>RF</w:t>
      </w:r>
      <w:r w:rsidR="00E70539">
        <w:rPr>
          <w:sz w:val="20"/>
          <w:szCs w:val="20"/>
          <w:lang w:eastAsia="zh-CN"/>
        </w:rPr>
        <w:t xml:space="preserve">. When the comb level is set to 4, it can transmit all 4 SRS beams </w:t>
      </w:r>
      <w:r w:rsidR="00E70539">
        <w:t>P</w:t>
      </w:r>
      <w:r w:rsidR="00E70539" w:rsidRPr="00F62D85">
        <w:rPr>
          <w:vertAlign w:val="subscript"/>
        </w:rPr>
        <w:t>0</w:t>
      </w:r>
      <w:proofErr w:type="gramStart"/>
      <w:r w:rsidR="00E70539">
        <w:t>,P</w:t>
      </w:r>
      <w:r w:rsidR="00E70539" w:rsidRPr="00F62D85">
        <w:rPr>
          <w:vertAlign w:val="subscript"/>
        </w:rPr>
        <w:t>1</w:t>
      </w:r>
      <w:proofErr w:type="gramEnd"/>
      <w:r w:rsidR="00E70539">
        <w:t>,</w:t>
      </w:r>
      <w:r w:rsidR="00E70539" w:rsidRPr="004F1E22">
        <w:t xml:space="preserve"> </w:t>
      </w:r>
      <w:r w:rsidR="00E70539">
        <w:t>P</w:t>
      </w:r>
      <w:r w:rsidR="00E70539">
        <w:rPr>
          <w:vertAlign w:val="subscript"/>
        </w:rPr>
        <w:t>2</w:t>
      </w:r>
      <w:r w:rsidR="00E70539">
        <w:t>,P</w:t>
      </w:r>
      <w:r w:rsidR="00E70539">
        <w:rPr>
          <w:vertAlign w:val="subscript"/>
        </w:rPr>
        <w:t>3</w:t>
      </w:r>
      <w:r w:rsidR="00E70539">
        <w:rPr>
          <w:sz w:val="20"/>
          <w:szCs w:val="20"/>
          <w:lang w:eastAsia="zh-CN"/>
        </w:rPr>
        <w:t xml:space="preserve"> in a single SRS symbol. </w:t>
      </w:r>
    </w:p>
    <w:p w:rsidR="00E70539" w:rsidRDefault="008C1EE5" w:rsidP="000F20B3">
      <w:pPr>
        <w:spacing w:before="120"/>
        <w:rPr>
          <w:sz w:val="20"/>
          <w:szCs w:val="20"/>
          <w:lang w:eastAsia="zh-CN"/>
        </w:rPr>
      </w:pPr>
      <w:r>
        <w:rPr>
          <w:noProof/>
          <w:sz w:val="20"/>
          <w:szCs w:val="20"/>
          <w:lang w:eastAsia="zh-CN"/>
        </w:rPr>
        <w:drawing>
          <wp:anchor distT="0" distB="0" distL="114300" distR="114300" simplePos="0" relativeHeight="251658240" behindDoc="0" locked="0" layoutInCell="1" allowOverlap="1">
            <wp:simplePos x="0" y="0"/>
            <wp:positionH relativeFrom="column">
              <wp:posOffset>1490345</wp:posOffset>
            </wp:positionH>
            <wp:positionV relativeFrom="paragraph">
              <wp:posOffset>182245</wp:posOffset>
            </wp:positionV>
            <wp:extent cx="3077210" cy="2059940"/>
            <wp:effectExtent l="0" t="0" r="889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srcRect/>
                    <a:stretch>
                      <a:fillRect/>
                    </a:stretch>
                  </pic:blipFill>
                  <pic:spPr bwMode="auto">
                    <a:xfrm>
                      <a:off x="0" y="0"/>
                      <a:ext cx="3077210" cy="2059940"/>
                    </a:xfrm>
                    <a:prstGeom prst="rect">
                      <a:avLst/>
                    </a:prstGeom>
                    <a:noFill/>
                  </pic:spPr>
                </pic:pic>
              </a:graphicData>
            </a:graphic>
          </wp:anchor>
        </w:drawing>
      </w:r>
    </w:p>
    <w:p w:rsidR="00A67CD4" w:rsidRPr="00FC5F25" w:rsidRDefault="00627863" w:rsidP="000F20B3">
      <w:pPr>
        <w:spacing w:before="120"/>
        <w:rPr>
          <w:kern w:val="2"/>
          <w:sz w:val="20"/>
          <w:szCs w:val="20"/>
          <w:lang w:eastAsia="zh-CN"/>
        </w:rPr>
      </w:pPr>
      <w:r>
        <w:rPr>
          <w:kern w:val="2"/>
          <w:sz w:val="20"/>
          <w:szCs w:val="20"/>
          <w:lang w:eastAsia="zh-CN"/>
        </w:rPr>
      </w:r>
      <w:r>
        <w:rPr>
          <w:kern w:val="2"/>
          <w:sz w:val="20"/>
          <w:szCs w:val="20"/>
          <w:lang w:eastAsia="zh-CN"/>
        </w:rPr>
        <w:pict>
          <v:group id="_x0000_s1050" editas="canvas" style="width:457.8pt;height:206.85pt;mso-position-horizontal-relative:char;mso-position-vertical-relative:line" coordorigin="2360,12452" coordsize="7075,319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9" type="#_x0000_t75" style="position:absolute;left:2360;top:12452;width:7075;height:3197"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53" type="#_x0000_t202" style="position:absolute;left:2360;top:15128;width:7075;height:521" stroked="f">
              <v:textbox inset="0,0,0,0">
                <w:txbxContent>
                  <w:p w:rsidR="00A67CD4" w:rsidRPr="00CA0C8D" w:rsidRDefault="00A67CD4" w:rsidP="00F62D85">
                    <w:pPr>
                      <w:pStyle w:val="Caption"/>
                      <w:jc w:val="left"/>
                      <w:rPr>
                        <w:noProof/>
                      </w:rPr>
                    </w:pPr>
                    <w:proofErr w:type="gramStart"/>
                    <w:r>
                      <w:t xml:space="preserve">Figure </w:t>
                    </w:r>
                    <w:fldSimple w:instr=" SEQ Figure \* ARABIC ">
                      <w:r w:rsidR="008B3A87">
                        <w:rPr>
                          <w:noProof/>
                        </w:rPr>
                        <w:t>1</w:t>
                      </w:r>
                    </w:fldSimple>
                    <w:r>
                      <w:t>.</w:t>
                    </w:r>
                    <w:proofErr w:type="gramEnd"/>
                    <w:r>
                      <w:t xml:space="preserve"> In </w:t>
                    </w:r>
                    <w:r w:rsidR="00054E14">
                      <w:t xml:space="preserve">the </w:t>
                    </w:r>
                    <w:r>
                      <w:t xml:space="preserve">U1 phase, UE requires 2 SRS symbols (left and right) to transmit 4 SRS beams (ports), where </w:t>
                    </w:r>
                    <w:r w:rsidR="00F62D85">
                      <w:t>(P</w:t>
                    </w:r>
                    <w:r w:rsidR="00F62D85" w:rsidRPr="00F62D85">
                      <w:rPr>
                        <w:vertAlign w:val="subscript"/>
                      </w:rPr>
                      <w:t>0</w:t>
                    </w:r>
                    <w:proofErr w:type="gramStart"/>
                    <w:r w:rsidR="00F62D85">
                      <w:t>,P</w:t>
                    </w:r>
                    <w:r w:rsidR="00F62D85" w:rsidRPr="00F62D85">
                      <w:rPr>
                        <w:vertAlign w:val="subscript"/>
                      </w:rPr>
                      <w:t>1</w:t>
                    </w:r>
                    <w:proofErr w:type="gramEnd"/>
                    <w:r w:rsidR="00F62D85">
                      <w:t xml:space="preserve">) share analog </w:t>
                    </w:r>
                    <w:proofErr w:type="spellStart"/>
                    <w:r w:rsidR="00F62D85">
                      <w:t>beamforming</w:t>
                    </w:r>
                    <w:proofErr w:type="spellEnd"/>
                    <w:r w:rsidR="00F62D85">
                      <w:t xml:space="preserve"> vector </w:t>
                    </w:r>
                    <w:r w:rsidR="00F62D85" w:rsidRPr="00054E14">
                      <w:rPr>
                        <w:i/>
                      </w:rPr>
                      <w:t>F</w:t>
                    </w:r>
                    <w:r w:rsidR="004A4186">
                      <w:rPr>
                        <w:i/>
                        <w:vertAlign w:val="superscript"/>
                      </w:rPr>
                      <w:t>0</w:t>
                    </w:r>
                    <w:r w:rsidR="00F62D85" w:rsidRPr="00054E14">
                      <w:rPr>
                        <w:i/>
                        <w:vertAlign w:val="subscript"/>
                      </w:rPr>
                      <w:t>RF</w:t>
                    </w:r>
                    <w:r w:rsidR="00F62D85" w:rsidRPr="00F62D85">
                      <w:t>,</w:t>
                    </w:r>
                    <w:r w:rsidR="00F62D85">
                      <w:t xml:space="preserve"> and (P</w:t>
                    </w:r>
                    <w:r w:rsidR="00F62D85">
                      <w:rPr>
                        <w:vertAlign w:val="subscript"/>
                      </w:rPr>
                      <w:t>2</w:t>
                    </w:r>
                    <w:r w:rsidR="00F62D85">
                      <w:t>,P</w:t>
                    </w:r>
                    <w:r w:rsidR="00F62D85">
                      <w:rPr>
                        <w:vertAlign w:val="subscript"/>
                      </w:rPr>
                      <w:t>3</w:t>
                    </w:r>
                    <w:r w:rsidR="00F62D85">
                      <w:t xml:space="preserve">) share analog </w:t>
                    </w:r>
                    <w:proofErr w:type="spellStart"/>
                    <w:r w:rsidR="00F62D85">
                      <w:t>beamforming</w:t>
                    </w:r>
                    <w:proofErr w:type="spellEnd"/>
                    <w:r w:rsidR="00F62D85">
                      <w:t xml:space="preserve"> vector </w:t>
                    </w:r>
                    <w:r w:rsidR="00F62D85" w:rsidRPr="00054E14">
                      <w:rPr>
                        <w:i/>
                      </w:rPr>
                      <w:t>F</w:t>
                    </w:r>
                    <w:r w:rsidR="004A4186">
                      <w:rPr>
                        <w:i/>
                        <w:vertAlign w:val="superscript"/>
                      </w:rPr>
                      <w:t>1</w:t>
                    </w:r>
                    <w:r w:rsidR="00F62D85" w:rsidRPr="00054E14">
                      <w:rPr>
                        <w:i/>
                        <w:vertAlign w:val="subscript"/>
                      </w:rPr>
                      <w:t>RF</w:t>
                    </w:r>
                    <w:r w:rsidR="00F62D85">
                      <w:t>.</w:t>
                    </w:r>
                  </w:p>
                </w:txbxContent>
              </v:textbox>
            </v:shape>
            <w10:wrap type="none"/>
            <w10:anchorlock/>
          </v:group>
        </w:pict>
      </w:r>
    </w:p>
    <w:p w:rsidR="000F20B3" w:rsidRPr="00FC5F25" w:rsidRDefault="000F20B3" w:rsidP="000F20B3">
      <w:pPr>
        <w:spacing w:before="120"/>
        <w:rPr>
          <w:kern w:val="2"/>
          <w:sz w:val="20"/>
          <w:szCs w:val="20"/>
          <w:lang w:eastAsia="zh-CN"/>
        </w:rPr>
      </w:pPr>
    </w:p>
    <w:p w:rsidR="004F1E22" w:rsidRDefault="004F1E22" w:rsidP="004F1E22">
      <w:pPr>
        <w:keepNext/>
        <w:jc w:val="center"/>
      </w:pPr>
      <w:r w:rsidRPr="004F1E22">
        <w:rPr>
          <w:noProof/>
          <w:sz w:val="18"/>
          <w:szCs w:val="16"/>
          <w:lang w:eastAsia="zh-CN"/>
        </w:rPr>
        <w:drawing>
          <wp:inline distT="0" distB="0" distL="0" distR="0">
            <wp:extent cx="1162545" cy="1935678"/>
            <wp:effectExtent l="19050" t="0" r="0" b="0"/>
            <wp:docPr id="13" name="Object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087518" cy="5173582"/>
                      <a:chOff x="5684882" y="910750"/>
                      <a:chExt cx="2087518" cy="5173582"/>
                    </a:xfrm>
                  </a:grpSpPr>
                  <a:grpSp>
                    <a:nvGrpSpPr>
                      <a:cNvPr id="55" name="Group 54"/>
                      <a:cNvGrpSpPr/>
                    </a:nvGrpSpPr>
                    <a:grpSpPr>
                      <a:xfrm>
                        <a:off x="5684882" y="910750"/>
                        <a:ext cx="2087518" cy="5173582"/>
                        <a:chOff x="5684882" y="910750"/>
                        <a:chExt cx="2087518" cy="5173582"/>
                      </a:xfrm>
                    </a:grpSpPr>
                    <a:grpSp>
                      <a:nvGrpSpPr>
                        <a:cNvPr id="3" name="Group 20"/>
                        <a:cNvGrpSpPr/>
                      </a:nvGrpSpPr>
                      <a:grpSpPr>
                        <a:xfrm>
                          <a:off x="6086475" y="3457575"/>
                          <a:ext cx="1638299" cy="1753637"/>
                          <a:chOff x="3543301" y="4114800"/>
                          <a:chExt cx="1638299" cy="1753637"/>
                        </a:xfrm>
                      </a:grpSpPr>
                      <a:sp>
                        <a:nvSpPr>
                          <a:cNvPr id="17" name="Oval 16"/>
                          <a:cNvSpPr/>
                        </a:nvSpPr>
                        <a:spPr>
                          <a:xfrm rot="18658049">
                            <a:off x="4114801" y="4419601"/>
                            <a:ext cx="457200" cy="1600200"/>
                          </a:xfrm>
                          <a:prstGeom prst="ellipse">
                            <a:avLst/>
                          </a:prstGeom>
                          <a:solidFill>
                            <a:schemeClr val="accent1">
                              <a:alpha val="36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Oval 17"/>
                          <a:cNvSpPr/>
                        </a:nvSpPr>
                        <a:spPr>
                          <a:xfrm>
                            <a:off x="4724400" y="4114800"/>
                            <a:ext cx="457200" cy="1600200"/>
                          </a:xfrm>
                          <a:prstGeom prst="ellipse">
                            <a:avLst/>
                          </a:prstGeom>
                          <a:solidFill>
                            <a:srgbClr val="FF0000">
                              <a:alpha val="36000"/>
                            </a:srgb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Oval 18"/>
                          <a:cNvSpPr/>
                        </a:nvSpPr>
                        <a:spPr>
                          <a:xfrm rot="20716333">
                            <a:off x="4463097" y="4146629"/>
                            <a:ext cx="457200" cy="1600200"/>
                          </a:xfrm>
                          <a:prstGeom prst="ellipse">
                            <a:avLst/>
                          </a:prstGeom>
                          <a:solidFill>
                            <a:srgbClr val="FFFF00">
                              <a:alpha val="36000"/>
                            </a:srgb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Oval 19"/>
                          <a:cNvSpPr/>
                        </a:nvSpPr>
                        <a:spPr>
                          <a:xfrm rot="19702256">
                            <a:off x="4271831" y="4268237"/>
                            <a:ext cx="457200" cy="1600200"/>
                          </a:xfrm>
                          <a:prstGeom prst="ellipse">
                            <a:avLst/>
                          </a:prstGeom>
                          <a:solidFill>
                            <a:schemeClr val="accent3">
                              <a:alpha val="36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pic>
                      <a:nvPicPr>
                        <a:cNvPr id="0" name="Object 2"/>
                        <a:cNvPicPr>
                          <a:picLocks noChangeAspect="1" noChangeArrowheads="1"/>
                        </a:cNvPicPr>
                      </a:nvPicPr>
                      <a:blipFill>
                        <a:blip r:embed="rId9"/>
                        <a:srcRect/>
                        <a:stretch>
                          <a:fillRect/>
                        </a:stretch>
                      </a:blipFill>
                      <a:spPr bwMode="auto">
                        <a:xfrm>
                          <a:off x="5684838" y="911225"/>
                          <a:ext cx="990600" cy="2233613"/>
                        </a:xfrm>
                        <a:prstGeom prst="rect">
                          <a:avLst/>
                        </a:prstGeom>
                        <a:noFill/>
                      </a:spPr>
                    </a:pic>
                    <a:pic>
                      <a:nvPicPr>
                        <a:cNvPr id="0" name="Object 3"/>
                        <a:cNvPicPr>
                          <a:picLocks noChangeAspect="1" noChangeArrowheads="1"/>
                        </a:cNvPicPr>
                      </a:nvPicPr>
                      <a:blipFill>
                        <a:blip r:embed="rId10"/>
                        <a:srcRect/>
                        <a:stretch>
                          <a:fillRect/>
                        </a:stretch>
                      </a:blipFill>
                      <a:spPr bwMode="auto">
                        <a:xfrm>
                          <a:off x="7229475" y="5133975"/>
                          <a:ext cx="542925" cy="809625"/>
                        </a:xfrm>
                        <a:prstGeom prst="rect">
                          <a:avLst/>
                        </a:prstGeom>
                        <a:noFill/>
                      </a:spPr>
                    </a:pic>
                    <a:sp>
                      <a:nvSpPr>
                        <a:cNvPr id="21" name="TextBox 20"/>
                        <a:cNvSpPr txBox="1"/>
                      </a:nvSpPr>
                      <a:spPr>
                        <a:xfrm>
                          <a:off x="6315075" y="4067175"/>
                          <a:ext cx="38183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a:t>
                            </a:r>
                            <a:r>
                              <a:rPr lang="en-US" altLang="zh-CN" baseline="-25000" dirty="0" smtClean="0"/>
                              <a:t>0</a:t>
                            </a:r>
                            <a:endParaRPr lang="zh-CN" altLang="en-US" baseline="-25000" dirty="0"/>
                          </a:p>
                        </a:txBody>
                        <a:useSpRect/>
                      </a:txSp>
                    </a:sp>
                    <a:sp>
                      <a:nvSpPr>
                        <a:cNvPr id="22" name="TextBox 21"/>
                        <a:cNvSpPr txBox="1"/>
                      </a:nvSpPr>
                      <a:spPr>
                        <a:xfrm>
                          <a:off x="6619039" y="3762375"/>
                          <a:ext cx="38183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a:t>
                            </a:r>
                            <a:r>
                              <a:rPr lang="en-US" altLang="zh-CN" baseline="-25000" dirty="0" smtClean="0"/>
                              <a:t>1</a:t>
                            </a:r>
                            <a:endParaRPr lang="zh-CN" altLang="en-US" baseline="-25000" dirty="0"/>
                          </a:p>
                        </a:txBody>
                        <a:useSpRect/>
                      </a:txSp>
                    </a:sp>
                    <a:sp>
                      <a:nvSpPr>
                        <a:cNvPr id="23" name="TextBox 22"/>
                        <a:cNvSpPr txBox="1"/>
                      </a:nvSpPr>
                      <a:spPr>
                        <a:xfrm>
                          <a:off x="6924675" y="3621643"/>
                          <a:ext cx="38183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a:t>
                            </a:r>
                            <a:r>
                              <a:rPr lang="en-US" altLang="zh-CN" baseline="-25000" dirty="0" smtClean="0"/>
                              <a:t>2</a:t>
                            </a:r>
                            <a:endParaRPr lang="zh-CN" altLang="en-US" baseline="-25000" dirty="0"/>
                          </a:p>
                        </a:txBody>
                        <a:useSpRect/>
                      </a:txSp>
                    </a:sp>
                    <a:sp>
                      <a:nvSpPr>
                        <a:cNvPr id="24" name="TextBox 23"/>
                        <a:cNvSpPr txBox="1"/>
                      </a:nvSpPr>
                      <a:spPr>
                        <a:xfrm>
                          <a:off x="7305675" y="3533775"/>
                          <a:ext cx="38183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P</a:t>
                            </a:r>
                            <a:r>
                              <a:rPr lang="en-US" altLang="zh-CN" baseline="-25000" dirty="0" smtClean="0"/>
                              <a:t>3</a:t>
                            </a:r>
                            <a:endParaRPr lang="zh-CN" altLang="en-US" baseline="-25000" dirty="0"/>
                          </a:p>
                        </a:txBody>
                        <a:useSpRect/>
                      </a:txSp>
                    </a:sp>
                    <a:sp>
                      <a:nvSpPr>
                        <a:cNvPr id="25" name="TextBox 24"/>
                        <a:cNvSpPr txBox="1"/>
                      </a:nvSpPr>
                      <a:spPr>
                        <a:xfrm>
                          <a:off x="7315200" y="5715000"/>
                          <a:ext cx="44435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UE</a:t>
                            </a:r>
                            <a:endParaRPr lang="zh-CN" altLang="en-US" dirty="0"/>
                          </a:p>
                        </a:txBody>
                        <a:useSpRect/>
                      </a:txSp>
                    </a:sp>
                    <a:sp>
                      <a:nvSpPr>
                        <a:cNvPr id="54" name="TextBox 53"/>
                        <a:cNvSpPr txBox="1"/>
                      </a:nvSpPr>
                      <a:spPr>
                        <a:xfrm>
                          <a:off x="5867400" y="2971800"/>
                          <a:ext cx="56778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err="1" smtClean="0"/>
                              <a:t>gNB</a:t>
                            </a:r>
                            <a:endParaRPr lang="zh-CN" altLang="en-US" dirty="0"/>
                          </a:p>
                        </a:txBody>
                        <a:useSpRect/>
                      </a:txSp>
                    </a:sp>
                  </a:grpSp>
                </lc:lockedCanvas>
              </a:graphicData>
            </a:graphic>
          </wp:inline>
        </w:drawing>
      </w:r>
    </w:p>
    <w:p w:rsidR="000F20B3" w:rsidRPr="000F20B3" w:rsidRDefault="004F1E22" w:rsidP="004F1E22">
      <w:pPr>
        <w:pStyle w:val="Caption"/>
        <w:jc w:val="left"/>
        <w:rPr>
          <w:sz w:val="18"/>
          <w:szCs w:val="16"/>
          <w:lang w:eastAsia="zh-CN"/>
        </w:rPr>
      </w:pPr>
      <w:proofErr w:type="gramStart"/>
      <w:r>
        <w:t xml:space="preserve">Figure </w:t>
      </w:r>
      <w:fldSimple w:instr=" SEQ Figure \* ARABIC ">
        <w:r w:rsidR="008B3A87">
          <w:rPr>
            <w:noProof/>
          </w:rPr>
          <w:t>2</w:t>
        </w:r>
      </w:fldSimple>
      <w:r>
        <w:t>.</w:t>
      </w:r>
      <w:proofErr w:type="gramEnd"/>
      <w:r>
        <w:t xml:space="preserve"> In </w:t>
      </w:r>
      <w:r w:rsidR="00054E14">
        <w:t xml:space="preserve">the </w:t>
      </w:r>
      <w:r>
        <w:t>U2</w:t>
      </w:r>
      <w:r w:rsidR="00630F33">
        <w:t>/3</w:t>
      </w:r>
      <w:r>
        <w:t xml:space="preserve"> phase, UE send</w:t>
      </w:r>
      <w:r w:rsidR="00630F33">
        <w:t>s</w:t>
      </w:r>
      <w:r>
        <w:t xml:space="preserve"> 4 SRS beams (P</w:t>
      </w:r>
      <w:r w:rsidRPr="00F62D85">
        <w:rPr>
          <w:vertAlign w:val="subscript"/>
        </w:rPr>
        <w:t>0</w:t>
      </w:r>
      <w:proofErr w:type="gramStart"/>
      <w:r>
        <w:t>,P</w:t>
      </w:r>
      <w:r w:rsidRPr="00F62D85">
        <w:rPr>
          <w:vertAlign w:val="subscript"/>
        </w:rPr>
        <w:t>1</w:t>
      </w:r>
      <w:proofErr w:type="gramEnd"/>
      <w:r>
        <w:t>,</w:t>
      </w:r>
      <w:r w:rsidRPr="004F1E22">
        <w:t xml:space="preserve"> </w:t>
      </w:r>
      <w:r>
        <w:t>P</w:t>
      </w:r>
      <w:r>
        <w:rPr>
          <w:vertAlign w:val="subscript"/>
        </w:rPr>
        <w:t>2</w:t>
      </w:r>
      <w:r>
        <w:t>,P</w:t>
      </w:r>
      <w:r>
        <w:rPr>
          <w:vertAlign w:val="subscript"/>
        </w:rPr>
        <w:t>3</w:t>
      </w:r>
      <w:r>
        <w:t xml:space="preserve">) using a single analog </w:t>
      </w:r>
      <w:proofErr w:type="spellStart"/>
      <w:r>
        <w:t>beamforming</w:t>
      </w:r>
      <w:proofErr w:type="spellEnd"/>
      <w:r>
        <w:t xml:space="preserve"> vector </w:t>
      </w:r>
      <w:r w:rsidRPr="00054E14">
        <w:rPr>
          <w:i/>
        </w:rPr>
        <w:t>F</w:t>
      </w:r>
      <w:r w:rsidR="004A4186">
        <w:rPr>
          <w:i/>
          <w:vertAlign w:val="superscript"/>
        </w:rPr>
        <w:t>0</w:t>
      </w:r>
      <w:r w:rsidRPr="00054E14">
        <w:rPr>
          <w:i/>
          <w:vertAlign w:val="subscript"/>
        </w:rPr>
        <w:t>RF</w:t>
      </w:r>
      <w:r>
        <w:t xml:space="preserve"> in a single SRS symbol.</w:t>
      </w:r>
    </w:p>
    <w:p w:rsidR="00336CEB" w:rsidRDefault="00630F33" w:rsidP="00C71CF5">
      <w:pPr>
        <w:rPr>
          <w:kern w:val="2"/>
          <w:sz w:val="20"/>
          <w:szCs w:val="20"/>
        </w:rPr>
      </w:pPr>
      <w:r w:rsidRPr="00630F33">
        <w:rPr>
          <w:kern w:val="2"/>
        </w:rPr>
        <w:lastRenderedPageBreak/>
        <w:t>As</w:t>
      </w:r>
      <w:r>
        <w:rPr>
          <w:kern w:val="2"/>
        </w:rPr>
        <w:t xml:space="preserve"> demonstrated in the above example, while it is up to </w:t>
      </w:r>
      <w:r w:rsidR="00730C7B">
        <w:rPr>
          <w:kern w:val="2"/>
        </w:rPr>
        <w:t>t</w:t>
      </w:r>
      <w:r w:rsidR="00DA766F">
        <w:rPr>
          <w:kern w:val="2"/>
        </w:rPr>
        <w:t xml:space="preserve">he </w:t>
      </w:r>
      <w:r>
        <w:rPr>
          <w:kern w:val="2"/>
        </w:rPr>
        <w:t xml:space="preserve">UE to determine the SRS TX </w:t>
      </w:r>
      <w:proofErr w:type="spellStart"/>
      <w:r>
        <w:rPr>
          <w:kern w:val="2"/>
        </w:rPr>
        <w:t>beamforming</w:t>
      </w:r>
      <w:proofErr w:type="spellEnd"/>
      <w:r>
        <w:rPr>
          <w:kern w:val="2"/>
        </w:rPr>
        <w:t xml:space="preserve"> vectors, the requirement for analog </w:t>
      </w:r>
      <w:proofErr w:type="spellStart"/>
      <w:r>
        <w:rPr>
          <w:kern w:val="2"/>
        </w:rPr>
        <w:t>beamforming</w:t>
      </w:r>
      <w:proofErr w:type="spellEnd"/>
      <w:r>
        <w:rPr>
          <w:kern w:val="2"/>
        </w:rPr>
        <w:t xml:space="preserve"> may force the </w:t>
      </w:r>
      <w:proofErr w:type="spellStart"/>
      <w:r>
        <w:rPr>
          <w:kern w:val="2"/>
        </w:rPr>
        <w:t>gNB</w:t>
      </w:r>
      <w:proofErr w:type="spellEnd"/>
      <w:r>
        <w:rPr>
          <w:kern w:val="2"/>
        </w:rPr>
        <w:t xml:space="preserve"> to schedule the SRS resources spanning </w:t>
      </w:r>
      <w:r w:rsidRPr="00DD5223">
        <w:rPr>
          <w:kern w:val="2"/>
          <w:sz w:val="20"/>
          <w:szCs w:val="20"/>
        </w:rPr>
        <w:t xml:space="preserve">multiple OFDM symbols. </w:t>
      </w:r>
      <w:r w:rsidR="00DD5223" w:rsidRPr="00DD5223">
        <w:rPr>
          <w:sz w:val="20"/>
          <w:szCs w:val="20"/>
        </w:rPr>
        <w:t>A conservative</w:t>
      </w:r>
      <w:r w:rsidR="00DD5223" w:rsidRPr="00EB5DF0">
        <w:rPr>
          <w:sz w:val="20"/>
        </w:rPr>
        <w:t xml:space="preserve"> </w:t>
      </w:r>
      <w:r w:rsidR="00DD5223">
        <w:rPr>
          <w:sz w:val="20"/>
        </w:rPr>
        <w:t>approach</w:t>
      </w:r>
      <w:r w:rsidR="00DD5223" w:rsidRPr="00EB5DF0">
        <w:rPr>
          <w:sz w:val="20"/>
        </w:rPr>
        <w:t xml:space="preserve"> is to allow only 1 SRS port transmission from any given UE in </w:t>
      </w:r>
      <w:proofErr w:type="gramStart"/>
      <w:r w:rsidR="00DD5223" w:rsidRPr="00EB5DF0">
        <w:rPr>
          <w:sz w:val="20"/>
        </w:rPr>
        <w:t>a</w:t>
      </w:r>
      <w:proofErr w:type="gramEnd"/>
      <w:r w:rsidR="00DD5223" w:rsidRPr="00EB5DF0">
        <w:rPr>
          <w:sz w:val="20"/>
        </w:rPr>
        <w:t xml:space="preserve"> OFDM symbol. In other words, only TDM, not FDM of different SRS ports from a same UE is supported. Different SRS ports from different UEs can be </w:t>
      </w:r>
      <w:proofErr w:type="spellStart"/>
      <w:r w:rsidR="00DD5223" w:rsidRPr="00EB5DF0">
        <w:rPr>
          <w:sz w:val="20"/>
        </w:rPr>
        <w:t>FDMed</w:t>
      </w:r>
      <w:proofErr w:type="spellEnd"/>
      <w:r w:rsidR="00DD5223" w:rsidRPr="00EB5DF0">
        <w:rPr>
          <w:sz w:val="20"/>
        </w:rPr>
        <w:t xml:space="preserve"> in the same OFDM symbol. This will </w:t>
      </w:r>
      <w:r w:rsidR="00DD5223">
        <w:rPr>
          <w:sz w:val="20"/>
        </w:rPr>
        <w:t xml:space="preserve">not lead to waste of SRS resources from the </w:t>
      </w:r>
      <w:proofErr w:type="spellStart"/>
      <w:r w:rsidR="00DD5223">
        <w:rPr>
          <w:sz w:val="20"/>
        </w:rPr>
        <w:t>gNB</w:t>
      </w:r>
      <w:proofErr w:type="spellEnd"/>
      <w:r w:rsidR="00DD5223">
        <w:rPr>
          <w:sz w:val="20"/>
        </w:rPr>
        <w:t xml:space="preserve"> side, but will cause significant delay to the UE.</w:t>
      </w:r>
      <w:r w:rsidR="00DD5223" w:rsidRPr="00EB5DF0">
        <w:rPr>
          <w:sz w:val="20"/>
        </w:rPr>
        <w:t xml:space="preserve"> </w:t>
      </w:r>
      <w:r w:rsidR="00DD5223">
        <w:rPr>
          <w:sz w:val="20"/>
        </w:rPr>
        <w:t>A better approach is to allow UE to signal the number of OFDM symbols required to complete transmission of multiple SRS ports.</w:t>
      </w:r>
      <w:r w:rsidR="00DD5223" w:rsidRPr="00DD5223">
        <w:rPr>
          <w:sz w:val="20"/>
          <w:szCs w:val="20"/>
        </w:rPr>
        <w:t xml:space="preserve"> </w:t>
      </w:r>
      <w:r w:rsidR="003A1969" w:rsidRPr="00DD5223">
        <w:rPr>
          <w:kern w:val="2"/>
          <w:sz w:val="20"/>
          <w:szCs w:val="20"/>
        </w:rPr>
        <w:t xml:space="preserve">The number of OFDM symbols required may change even for </w:t>
      </w:r>
      <w:r w:rsidR="00DA766F">
        <w:rPr>
          <w:kern w:val="2"/>
          <w:sz w:val="20"/>
          <w:szCs w:val="20"/>
        </w:rPr>
        <w:t>the</w:t>
      </w:r>
      <w:r w:rsidR="003A1969" w:rsidRPr="00DD5223">
        <w:rPr>
          <w:kern w:val="2"/>
          <w:sz w:val="20"/>
          <w:szCs w:val="20"/>
        </w:rPr>
        <w:t xml:space="preserve"> same UE in different beam management phases. </w:t>
      </w:r>
      <w:r w:rsidRPr="00DD5223">
        <w:rPr>
          <w:kern w:val="2"/>
          <w:sz w:val="20"/>
          <w:szCs w:val="20"/>
        </w:rPr>
        <w:t>This requires the UE to signal the number of OFDM symbols required to transmit a given number of SRS ports</w:t>
      </w:r>
      <w:r w:rsidR="003A1969" w:rsidRPr="00DD5223">
        <w:rPr>
          <w:kern w:val="2"/>
          <w:sz w:val="20"/>
          <w:szCs w:val="20"/>
        </w:rPr>
        <w:t xml:space="preserve">, possibly in RRC signaling to the </w:t>
      </w:r>
      <w:proofErr w:type="spellStart"/>
      <w:r w:rsidR="003A1969" w:rsidRPr="00DD5223">
        <w:rPr>
          <w:kern w:val="2"/>
          <w:sz w:val="20"/>
          <w:szCs w:val="20"/>
        </w:rPr>
        <w:t>gNB</w:t>
      </w:r>
      <w:proofErr w:type="spellEnd"/>
      <w:r w:rsidRPr="00DD5223">
        <w:rPr>
          <w:kern w:val="2"/>
          <w:sz w:val="20"/>
          <w:szCs w:val="20"/>
        </w:rPr>
        <w:t xml:space="preserve">. </w:t>
      </w:r>
      <w:fldSimple w:instr=" REF _Ref478050975 \h  \* MERGEFORMAT ">
        <w:r w:rsidR="00336CEB" w:rsidRPr="00DD5223">
          <w:rPr>
            <w:sz w:val="20"/>
            <w:szCs w:val="20"/>
          </w:rPr>
          <w:t xml:space="preserve">Table </w:t>
        </w:r>
        <w:r w:rsidR="00336CEB" w:rsidRPr="00DD5223">
          <w:rPr>
            <w:noProof/>
            <w:sz w:val="20"/>
            <w:szCs w:val="20"/>
          </w:rPr>
          <w:t>1</w:t>
        </w:r>
      </w:fldSimple>
      <w:r w:rsidR="00336CEB" w:rsidRPr="00DD5223">
        <w:rPr>
          <w:kern w:val="2"/>
          <w:sz w:val="20"/>
          <w:szCs w:val="20"/>
        </w:rPr>
        <w:t xml:space="preserve"> shows the number of OFDM symbols a UE may require</w:t>
      </w:r>
      <w:r w:rsidR="00DA766F">
        <w:rPr>
          <w:kern w:val="2"/>
          <w:sz w:val="20"/>
          <w:szCs w:val="20"/>
        </w:rPr>
        <w:t>d</w:t>
      </w:r>
      <w:r w:rsidR="00336CEB" w:rsidRPr="00DD5223">
        <w:rPr>
          <w:kern w:val="2"/>
          <w:sz w:val="20"/>
          <w:szCs w:val="20"/>
        </w:rPr>
        <w:t xml:space="preserve"> to </w:t>
      </w:r>
      <w:proofErr w:type="gramStart"/>
      <w:r w:rsidR="00336CEB" w:rsidRPr="00DD5223">
        <w:rPr>
          <w:kern w:val="2"/>
          <w:sz w:val="20"/>
          <w:szCs w:val="20"/>
        </w:rPr>
        <w:t>transmit  different</w:t>
      </w:r>
      <w:proofErr w:type="gramEnd"/>
      <w:r w:rsidR="00336CEB" w:rsidRPr="00DD5223">
        <w:rPr>
          <w:kern w:val="2"/>
          <w:sz w:val="20"/>
          <w:szCs w:val="20"/>
        </w:rPr>
        <w:t xml:space="preserve"> number of SRS ports.</w:t>
      </w:r>
    </w:p>
    <w:p w:rsidR="000677C5" w:rsidRPr="00C71CF5" w:rsidRDefault="000677C5" w:rsidP="00C71CF5">
      <w:pPr>
        <w:rPr>
          <w:kern w:val="2"/>
          <w:sz w:val="20"/>
          <w:szCs w:val="20"/>
        </w:rPr>
      </w:pPr>
    </w:p>
    <w:tbl>
      <w:tblPr>
        <w:tblStyle w:val="TableGrid"/>
        <w:tblW w:w="0" w:type="auto"/>
        <w:jc w:val="center"/>
        <w:tblLook w:val="04A0"/>
      </w:tblPr>
      <w:tblGrid>
        <w:gridCol w:w="2843"/>
        <w:gridCol w:w="2844"/>
      </w:tblGrid>
      <w:tr w:rsidR="00336CEB" w:rsidTr="00912265">
        <w:trPr>
          <w:trHeight w:val="379"/>
          <w:jc w:val="center"/>
        </w:trPr>
        <w:tc>
          <w:tcPr>
            <w:tcW w:w="2843" w:type="dxa"/>
          </w:tcPr>
          <w:p w:rsidR="00336CEB" w:rsidRPr="00336CEB" w:rsidRDefault="00336CEB" w:rsidP="00912265">
            <w:pPr>
              <w:jc w:val="center"/>
              <w:rPr>
                <w:sz w:val="20"/>
              </w:rPr>
            </w:pPr>
            <w:r w:rsidRPr="00336CEB">
              <w:rPr>
                <w:sz w:val="20"/>
              </w:rPr>
              <w:t>Number of SRS ports</w:t>
            </w:r>
          </w:p>
        </w:tc>
        <w:tc>
          <w:tcPr>
            <w:tcW w:w="2844" w:type="dxa"/>
          </w:tcPr>
          <w:p w:rsidR="00336CEB" w:rsidRPr="00336CEB" w:rsidRDefault="00336CEB" w:rsidP="00912265">
            <w:pPr>
              <w:jc w:val="center"/>
              <w:rPr>
                <w:sz w:val="20"/>
              </w:rPr>
            </w:pPr>
            <w:r>
              <w:rPr>
                <w:sz w:val="20"/>
              </w:rPr>
              <w:t>N</w:t>
            </w:r>
            <w:r w:rsidRPr="00336CEB">
              <w:rPr>
                <w:sz w:val="20"/>
              </w:rPr>
              <w:t>umber of OFDM symbols needed</w:t>
            </w:r>
          </w:p>
        </w:tc>
      </w:tr>
      <w:tr w:rsidR="00336CEB" w:rsidTr="00912265">
        <w:trPr>
          <w:trHeight w:val="379"/>
          <w:jc w:val="center"/>
        </w:trPr>
        <w:tc>
          <w:tcPr>
            <w:tcW w:w="2843" w:type="dxa"/>
          </w:tcPr>
          <w:p w:rsidR="00336CEB" w:rsidRPr="00336CEB" w:rsidRDefault="00336CEB" w:rsidP="00912265">
            <w:pPr>
              <w:jc w:val="center"/>
              <w:rPr>
                <w:sz w:val="20"/>
              </w:rPr>
            </w:pPr>
            <w:r w:rsidRPr="00336CEB">
              <w:rPr>
                <w:sz w:val="20"/>
              </w:rPr>
              <w:t>1</w:t>
            </w:r>
          </w:p>
        </w:tc>
        <w:tc>
          <w:tcPr>
            <w:tcW w:w="2844" w:type="dxa"/>
          </w:tcPr>
          <w:p w:rsidR="00336CEB" w:rsidRPr="00336CEB" w:rsidRDefault="00336CEB" w:rsidP="00912265">
            <w:pPr>
              <w:jc w:val="center"/>
              <w:rPr>
                <w:sz w:val="20"/>
              </w:rPr>
            </w:pPr>
            <w:r w:rsidRPr="00336CEB">
              <w:rPr>
                <w:sz w:val="20"/>
              </w:rPr>
              <w:t>1</w:t>
            </w:r>
          </w:p>
        </w:tc>
      </w:tr>
      <w:tr w:rsidR="00336CEB" w:rsidTr="00912265">
        <w:trPr>
          <w:trHeight w:val="379"/>
          <w:jc w:val="center"/>
        </w:trPr>
        <w:tc>
          <w:tcPr>
            <w:tcW w:w="2843" w:type="dxa"/>
          </w:tcPr>
          <w:p w:rsidR="00336CEB" w:rsidRPr="00336CEB" w:rsidRDefault="00336CEB" w:rsidP="00912265">
            <w:pPr>
              <w:jc w:val="center"/>
              <w:rPr>
                <w:sz w:val="20"/>
              </w:rPr>
            </w:pPr>
            <w:r w:rsidRPr="00336CEB">
              <w:rPr>
                <w:sz w:val="20"/>
              </w:rPr>
              <w:t>2</w:t>
            </w:r>
          </w:p>
        </w:tc>
        <w:tc>
          <w:tcPr>
            <w:tcW w:w="2844" w:type="dxa"/>
          </w:tcPr>
          <w:p w:rsidR="00336CEB" w:rsidRPr="00336CEB" w:rsidRDefault="00336CEB" w:rsidP="00912265">
            <w:pPr>
              <w:jc w:val="center"/>
              <w:rPr>
                <w:sz w:val="20"/>
              </w:rPr>
            </w:pPr>
            <w:r w:rsidRPr="00336CEB">
              <w:rPr>
                <w:sz w:val="20"/>
              </w:rPr>
              <w:t>1 or 2</w:t>
            </w:r>
          </w:p>
        </w:tc>
      </w:tr>
      <w:tr w:rsidR="00336CEB" w:rsidTr="00912265">
        <w:trPr>
          <w:trHeight w:val="379"/>
          <w:jc w:val="center"/>
        </w:trPr>
        <w:tc>
          <w:tcPr>
            <w:tcW w:w="2843" w:type="dxa"/>
          </w:tcPr>
          <w:p w:rsidR="00336CEB" w:rsidRPr="00336CEB" w:rsidRDefault="00336CEB" w:rsidP="00912265">
            <w:pPr>
              <w:jc w:val="center"/>
              <w:rPr>
                <w:sz w:val="20"/>
              </w:rPr>
            </w:pPr>
            <w:r w:rsidRPr="00336CEB">
              <w:rPr>
                <w:sz w:val="20"/>
              </w:rPr>
              <w:t>4</w:t>
            </w:r>
          </w:p>
        </w:tc>
        <w:tc>
          <w:tcPr>
            <w:tcW w:w="2844" w:type="dxa"/>
          </w:tcPr>
          <w:p w:rsidR="00336CEB" w:rsidRPr="00336CEB" w:rsidRDefault="00336CEB" w:rsidP="00336CEB">
            <w:pPr>
              <w:keepNext/>
              <w:jc w:val="center"/>
              <w:rPr>
                <w:sz w:val="20"/>
              </w:rPr>
            </w:pPr>
            <w:r w:rsidRPr="00336CEB">
              <w:rPr>
                <w:sz w:val="20"/>
              </w:rPr>
              <w:t>1, 2, 3 or 4</w:t>
            </w:r>
          </w:p>
        </w:tc>
      </w:tr>
    </w:tbl>
    <w:p w:rsidR="000677C5" w:rsidRDefault="000677C5" w:rsidP="00336CEB">
      <w:pPr>
        <w:pStyle w:val="Caption"/>
      </w:pPr>
      <w:bookmarkStart w:id="2" w:name="_Ref478050975"/>
    </w:p>
    <w:p w:rsidR="00336CEB" w:rsidRDefault="00336CEB" w:rsidP="00336CEB">
      <w:pPr>
        <w:pStyle w:val="Caption"/>
      </w:pPr>
      <w:proofErr w:type="gramStart"/>
      <w:r>
        <w:t xml:space="preserve">Table </w:t>
      </w:r>
      <w:r w:rsidR="00627863">
        <w:fldChar w:fldCharType="begin"/>
      </w:r>
      <w:r>
        <w:instrText xml:space="preserve"> SEQ Table. \* ARABIC </w:instrText>
      </w:r>
      <w:r w:rsidR="00627863">
        <w:fldChar w:fldCharType="separate"/>
      </w:r>
      <w:r>
        <w:rPr>
          <w:noProof/>
        </w:rPr>
        <w:t>1</w:t>
      </w:r>
      <w:r w:rsidR="00627863">
        <w:fldChar w:fldCharType="end"/>
      </w:r>
      <w:bookmarkEnd w:id="2"/>
      <w:r>
        <w:t>.</w:t>
      </w:r>
      <w:proofErr w:type="gramEnd"/>
      <w:r>
        <w:t xml:space="preserve"> The number of OFDM symbols a UE may require </w:t>
      </w:r>
      <w:proofErr w:type="gramStart"/>
      <w:r>
        <w:t>to transmit</w:t>
      </w:r>
      <w:proofErr w:type="gramEnd"/>
      <w:r>
        <w:t xml:space="preserve"> in different number of SRS ports.</w:t>
      </w:r>
    </w:p>
    <w:p w:rsidR="00336CEB" w:rsidRPr="008B6F4F" w:rsidRDefault="00336CEB" w:rsidP="00336CEB">
      <w:pPr>
        <w:rPr>
          <w:sz w:val="20"/>
        </w:rPr>
      </w:pPr>
    </w:p>
    <w:p w:rsidR="008B6F4F" w:rsidRPr="008B6F4F" w:rsidRDefault="008B6F4F" w:rsidP="00336CEB">
      <w:pPr>
        <w:rPr>
          <w:b/>
          <w:i/>
          <w:sz w:val="20"/>
        </w:rPr>
      </w:pPr>
      <w:r w:rsidRPr="008B6F4F">
        <w:rPr>
          <w:b/>
          <w:i/>
          <w:sz w:val="20"/>
        </w:rPr>
        <w:t>Observation 1</w:t>
      </w:r>
      <w:r w:rsidRPr="008B6F4F">
        <w:rPr>
          <w:i/>
          <w:sz w:val="20"/>
        </w:rPr>
        <w:t xml:space="preserve">: </w:t>
      </w:r>
      <w:r w:rsidRPr="008B6F4F">
        <w:rPr>
          <w:b/>
          <w:i/>
          <w:sz w:val="20"/>
        </w:rPr>
        <w:t xml:space="preserve">Different </w:t>
      </w:r>
      <w:r w:rsidR="008C1EE5" w:rsidRPr="008B6F4F">
        <w:rPr>
          <w:b/>
          <w:i/>
          <w:sz w:val="20"/>
        </w:rPr>
        <w:t xml:space="preserve">UE transmitter </w:t>
      </w:r>
      <w:r w:rsidRPr="008B6F4F">
        <w:rPr>
          <w:b/>
          <w:i/>
          <w:sz w:val="20"/>
        </w:rPr>
        <w:t xml:space="preserve">implementations may have different constraints on the number of SRS ports simultaneously transmitted. </w:t>
      </w:r>
    </w:p>
    <w:p w:rsidR="008B6F4F" w:rsidRDefault="008B6F4F" w:rsidP="00336CEB"/>
    <w:p w:rsidR="00F61183" w:rsidRDefault="00F61183" w:rsidP="00F61183">
      <w:pPr>
        <w:autoSpaceDE/>
        <w:autoSpaceDN/>
        <w:adjustRightInd/>
        <w:snapToGrid/>
        <w:spacing w:after="0"/>
        <w:jc w:val="left"/>
        <w:rPr>
          <w:sz w:val="20"/>
        </w:rPr>
      </w:pPr>
      <w:r>
        <w:rPr>
          <w:sz w:val="20"/>
        </w:rPr>
        <w:t>In RAN1#88bis meeting, it has been agreed that a</w:t>
      </w:r>
      <w:r w:rsidRPr="00F61183">
        <w:rPr>
          <w:sz w:val="20"/>
        </w:rPr>
        <w:t xml:space="preserve"> UE can be configured with an X-port SRS resource, where the SRS resource spans one or multiple OFDM symbols within a single slot</w:t>
      </w:r>
      <w:r>
        <w:rPr>
          <w:sz w:val="20"/>
        </w:rPr>
        <w:t xml:space="preserve">. It is for further study </w:t>
      </w:r>
      <w:r w:rsidRPr="00F61183">
        <w:rPr>
          <w:sz w:val="20"/>
        </w:rPr>
        <w:t>where all of the X SRS ports are sounded in each OFDM symbol</w:t>
      </w:r>
      <w:r>
        <w:rPr>
          <w:sz w:val="20"/>
        </w:rPr>
        <w:t xml:space="preserve">. </w:t>
      </w:r>
      <w:r w:rsidR="008C1EE5">
        <w:rPr>
          <w:sz w:val="20"/>
        </w:rPr>
        <w:t xml:space="preserve">For </w:t>
      </w:r>
      <w:r w:rsidR="00DA766F">
        <w:rPr>
          <w:sz w:val="20"/>
        </w:rPr>
        <w:t xml:space="preserve">a </w:t>
      </w:r>
      <w:r w:rsidR="008C1EE5">
        <w:rPr>
          <w:sz w:val="20"/>
        </w:rPr>
        <w:t xml:space="preserve">cell edge UE where transmission power is </w:t>
      </w:r>
      <w:r w:rsidR="000B3565">
        <w:rPr>
          <w:sz w:val="20"/>
        </w:rPr>
        <w:t xml:space="preserve">the </w:t>
      </w:r>
      <w:r w:rsidR="008C1EE5">
        <w:rPr>
          <w:sz w:val="20"/>
        </w:rPr>
        <w:t>limit</w:t>
      </w:r>
      <w:r w:rsidR="000B3565">
        <w:rPr>
          <w:sz w:val="20"/>
        </w:rPr>
        <w:t>ation</w:t>
      </w:r>
      <w:r>
        <w:rPr>
          <w:sz w:val="20"/>
        </w:rPr>
        <w:t xml:space="preserve">, SRS can be transmitted in different locations of the band in different OFDM symbols in a frequency hopping manner. </w:t>
      </w:r>
      <w:r w:rsidR="005E2EFF">
        <w:rPr>
          <w:sz w:val="20"/>
        </w:rPr>
        <w:t>In every OFDM symbol, a n</w:t>
      </w:r>
      <w:r>
        <w:rPr>
          <w:sz w:val="20"/>
        </w:rPr>
        <w:t xml:space="preserve">arrow band SRS </w:t>
      </w:r>
      <w:r w:rsidR="005E2EFF">
        <w:rPr>
          <w:sz w:val="20"/>
        </w:rPr>
        <w:t xml:space="preserve">is transmitted in a </w:t>
      </w:r>
      <w:proofErr w:type="spellStart"/>
      <w:r>
        <w:rPr>
          <w:sz w:val="20"/>
        </w:rPr>
        <w:t>subband</w:t>
      </w:r>
      <w:proofErr w:type="spellEnd"/>
      <w:r>
        <w:rPr>
          <w:sz w:val="20"/>
        </w:rPr>
        <w:t xml:space="preserve"> with</w:t>
      </w:r>
      <w:r w:rsidR="000B3565" w:rsidRPr="000B3565">
        <w:rPr>
          <w:sz w:val="20"/>
        </w:rPr>
        <w:t xml:space="preserve"> </w:t>
      </w:r>
      <w:r w:rsidR="000B3565">
        <w:rPr>
          <w:sz w:val="20"/>
        </w:rPr>
        <w:t>sufficient</w:t>
      </w:r>
      <w:r>
        <w:rPr>
          <w:sz w:val="20"/>
        </w:rPr>
        <w:t xml:space="preserve"> power spectrum density.</w:t>
      </w:r>
      <w:r w:rsidR="005E2EFF">
        <w:rPr>
          <w:sz w:val="20"/>
        </w:rPr>
        <w:t xml:space="preserve"> Several SRS transmissions from </w:t>
      </w:r>
      <w:r w:rsidR="00DA766F">
        <w:rPr>
          <w:sz w:val="20"/>
        </w:rPr>
        <w:t xml:space="preserve">the </w:t>
      </w:r>
      <w:r w:rsidR="005E2EFF">
        <w:rPr>
          <w:sz w:val="20"/>
        </w:rPr>
        <w:t xml:space="preserve">same port complete sounding of the UE TX band (or a partial band). </w:t>
      </w:r>
      <w:r>
        <w:rPr>
          <w:sz w:val="20"/>
        </w:rPr>
        <w:t xml:space="preserve"> </w:t>
      </w:r>
      <w:r w:rsidR="007B0CA7">
        <w:rPr>
          <w:sz w:val="20"/>
        </w:rPr>
        <w:t xml:space="preserve">When analog </w:t>
      </w:r>
      <w:proofErr w:type="spellStart"/>
      <w:r w:rsidR="007B0CA7">
        <w:rPr>
          <w:sz w:val="20"/>
        </w:rPr>
        <w:t>beamforming</w:t>
      </w:r>
      <w:proofErr w:type="spellEnd"/>
      <w:r w:rsidR="007B0CA7">
        <w:rPr>
          <w:sz w:val="20"/>
        </w:rPr>
        <w:t xml:space="preserve"> is used at the UE side, different antenna configurations may allow different combinations of (antenna port, </w:t>
      </w:r>
      <w:proofErr w:type="spellStart"/>
      <w:r w:rsidR="007B0CA7">
        <w:rPr>
          <w:sz w:val="20"/>
        </w:rPr>
        <w:t>subband</w:t>
      </w:r>
      <w:proofErr w:type="spellEnd"/>
      <w:r w:rsidR="007B0CA7">
        <w:rPr>
          <w:sz w:val="20"/>
        </w:rPr>
        <w:t xml:space="preserve">) </w:t>
      </w:r>
      <w:r w:rsidR="00F40847">
        <w:rPr>
          <w:sz w:val="20"/>
        </w:rPr>
        <w:t xml:space="preserve">combinations depending on the detailed configurations. Figure </w:t>
      </w:r>
      <w:r w:rsidR="008B3A87">
        <w:rPr>
          <w:sz w:val="20"/>
        </w:rPr>
        <w:t xml:space="preserve">3 </w:t>
      </w:r>
      <w:r w:rsidR="00F40847">
        <w:rPr>
          <w:sz w:val="20"/>
        </w:rPr>
        <w:t xml:space="preserve">shows two </w:t>
      </w:r>
      <w:r w:rsidR="000B3565">
        <w:rPr>
          <w:sz w:val="20"/>
        </w:rPr>
        <w:t>examples</w:t>
      </w:r>
      <w:r w:rsidR="00F40847">
        <w:rPr>
          <w:sz w:val="20"/>
        </w:rPr>
        <w:t xml:space="preserve"> of SRS resource configurations.</w:t>
      </w:r>
    </w:p>
    <w:p w:rsidR="008B3A87" w:rsidRDefault="008B3A87" w:rsidP="00F61183">
      <w:pPr>
        <w:autoSpaceDE/>
        <w:autoSpaceDN/>
        <w:adjustRightInd/>
        <w:snapToGrid/>
        <w:spacing w:after="0"/>
        <w:jc w:val="left"/>
        <w:rPr>
          <w:sz w:val="20"/>
        </w:rPr>
      </w:pPr>
    </w:p>
    <w:p w:rsidR="00F40847" w:rsidRDefault="00F40847" w:rsidP="00F61183">
      <w:pPr>
        <w:autoSpaceDE/>
        <w:autoSpaceDN/>
        <w:adjustRightInd/>
        <w:snapToGrid/>
        <w:spacing w:after="0"/>
        <w:jc w:val="left"/>
        <w:rPr>
          <w:sz w:val="20"/>
        </w:rPr>
      </w:pPr>
    </w:p>
    <w:p w:rsidR="008B3A87" w:rsidRDefault="00F40847" w:rsidP="008B3A87">
      <w:pPr>
        <w:keepNext/>
        <w:autoSpaceDE/>
        <w:autoSpaceDN/>
        <w:adjustRightInd/>
        <w:snapToGrid/>
        <w:spacing w:after="0"/>
        <w:jc w:val="center"/>
      </w:pPr>
      <w:r w:rsidRPr="00F40847">
        <w:rPr>
          <w:noProof/>
          <w:sz w:val="20"/>
          <w:lang w:eastAsia="zh-CN"/>
        </w:rPr>
        <w:drawing>
          <wp:inline distT="0" distB="0" distL="0" distR="0">
            <wp:extent cx="4142171" cy="2333501"/>
            <wp:effectExtent l="0" t="0" r="0" b="0"/>
            <wp:docPr id="2"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04266" cy="5062625"/>
                      <a:chOff x="1879904" y="1285609"/>
                      <a:chExt cx="8904266" cy="5062625"/>
                    </a:xfrm>
                  </a:grpSpPr>
                  <a:sp>
                    <a:nvSpPr>
                      <a:cNvPr id="5" name="Rectangle 4"/>
                      <a:cNvSpPr/>
                    </a:nvSpPr>
                    <a:spPr>
                      <a:xfrm>
                        <a:off x="2589291" y="2000816"/>
                        <a:ext cx="372692" cy="615636"/>
                      </a:xfrm>
                      <a:prstGeom prst="rect">
                        <a:avLst/>
                      </a:prstGeom>
                      <a:solidFill>
                        <a:schemeClr val="accent1">
                          <a:alpha val="44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2589291" y="2616452"/>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2961983" y="2000816"/>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Rectangle 7"/>
                      <a:cNvSpPr/>
                    </a:nvSpPr>
                    <a:spPr>
                      <a:xfrm>
                        <a:off x="2961983" y="2616452"/>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tangle 8"/>
                      <a:cNvSpPr/>
                    </a:nvSpPr>
                    <a:spPr>
                      <a:xfrm>
                        <a:off x="2589291" y="3232088"/>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2589291" y="3847724"/>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Rectangle 10"/>
                      <a:cNvSpPr/>
                    </a:nvSpPr>
                    <a:spPr>
                      <a:xfrm>
                        <a:off x="2961983" y="3232088"/>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Rectangle 11"/>
                      <a:cNvSpPr/>
                    </a:nvSpPr>
                    <a:spPr>
                      <a:xfrm>
                        <a:off x="2961983" y="3847724"/>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Rectangle 16"/>
                      <a:cNvSpPr/>
                    </a:nvSpPr>
                    <a:spPr>
                      <a:xfrm>
                        <a:off x="3334675" y="2000816"/>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Rectangle 17"/>
                      <a:cNvSpPr/>
                    </a:nvSpPr>
                    <a:spPr>
                      <a:xfrm>
                        <a:off x="3334675" y="2616452"/>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Rectangle 18"/>
                      <a:cNvSpPr/>
                    </a:nvSpPr>
                    <a:spPr>
                      <a:xfrm>
                        <a:off x="3707367" y="2000816"/>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Rectangle 19"/>
                      <a:cNvSpPr/>
                    </a:nvSpPr>
                    <a:spPr>
                      <a:xfrm>
                        <a:off x="3707367" y="2616452"/>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Rectangle 20"/>
                      <a:cNvSpPr/>
                    </a:nvSpPr>
                    <a:spPr>
                      <a:xfrm>
                        <a:off x="3334675" y="3232088"/>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Rectangle 21"/>
                      <a:cNvSpPr/>
                    </a:nvSpPr>
                    <a:spPr>
                      <a:xfrm>
                        <a:off x="3334675" y="3847724"/>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Rectangle 22"/>
                      <a:cNvSpPr/>
                    </a:nvSpPr>
                    <a:spPr>
                      <a:xfrm>
                        <a:off x="3707367" y="3232088"/>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Rectangle 23"/>
                      <a:cNvSpPr/>
                    </a:nvSpPr>
                    <a:spPr>
                      <a:xfrm>
                        <a:off x="3707367" y="3847724"/>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Rectangle 24"/>
                      <a:cNvSpPr/>
                    </a:nvSpPr>
                    <a:spPr>
                      <a:xfrm>
                        <a:off x="2961983" y="2616452"/>
                        <a:ext cx="372692" cy="615636"/>
                      </a:xfrm>
                      <a:prstGeom prst="rect">
                        <a:avLst/>
                      </a:prstGeom>
                      <a:solidFill>
                        <a:schemeClr val="accent1">
                          <a:alpha val="44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Rectangle 25"/>
                      <a:cNvSpPr/>
                    </a:nvSpPr>
                    <a:spPr>
                      <a:xfrm>
                        <a:off x="3334675" y="3232088"/>
                        <a:ext cx="372692" cy="615636"/>
                      </a:xfrm>
                      <a:prstGeom prst="rect">
                        <a:avLst/>
                      </a:prstGeom>
                      <a:solidFill>
                        <a:schemeClr val="accent1">
                          <a:alpha val="44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Rectangle 26"/>
                      <a:cNvSpPr/>
                    </a:nvSpPr>
                    <a:spPr>
                      <a:xfrm>
                        <a:off x="3707367" y="3847724"/>
                        <a:ext cx="372692" cy="615636"/>
                      </a:xfrm>
                      <a:prstGeom prst="rect">
                        <a:avLst/>
                      </a:prstGeom>
                      <a:solidFill>
                        <a:schemeClr val="accent1">
                          <a:alpha val="44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Rectangle 48"/>
                      <a:cNvSpPr/>
                    </a:nvSpPr>
                    <a:spPr>
                      <a:xfrm>
                        <a:off x="4080059" y="2000816"/>
                        <a:ext cx="372692" cy="615636"/>
                      </a:xfrm>
                      <a:prstGeom prst="rect">
                        <a:avLst/>
                      </a:prstGeom>
                      <a:solidFill>
                        <a:srgbClr val="FFC000">
                          <a:alpha val="44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Rectangle 49"/>
                      <a:cNvSpPr/>
                    </a:nvSpPr>
                    <a:spPr>
                      <a:xfrm>
                        <a:off x="4080059" y="2616452"/>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Rectangle 50"/>
                      <a:cNvSpPr/>
                    </a:nvSpPr>
                    <a:spPr>
                      <a:xfrm>
                        <a:off x="4452751" y="2000816"/>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Rectangle 51"/>
                      <a:cNvSpPr/>
                    </a:nvSpPr>
                    <a:spPr>
                      <a:xfrm>
                        <a:off x="4452751" y="2616452"/>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Rectangle 52"/>
                      <a:cNvSpPr/>
                    </a:nvSpPr>
                    <a:spPr>
                      <a:xfrm>
                        <a:off x="4080059" y="3232088"/>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Rectangle 53"/>
                      <a:cNvSpPr/>
                    </a:nvSpPr>
                    <a:spPr>
                      <a:xfrm>
                        <a:off x="4080059" y="3847724"/>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Rectangle 54"/>
                      <a:cNvSpPr/>
                    </a:nvSpPr>
                    <a:spPr>
                      <a:xfrm>
                        <a:off x="4452751" y="3232088"/>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Rectangle 55"/>
                      <a:cNvSpPr/>
                    </a:nvSpPr>
                    <a:spPr>
                      <a:xfrm>
                        <a:off x="4452751" y="3847724"/>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Rectangle 56"/>
                      <a:cNvSpPr/>
                    </a:nvSpPr>
                    <a:spPr>
                      <a:xfrm>
                        <a:off x="4825443" y="2000816"/>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Rectangle 57"/>
                      <a:cNvSpPr/>
                    </a:nvSpPr>
                    <a:spPr>
                      <a:xfrm>
                        <a:off x="4825443" y="2616452"/>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Rectangle 58"/>
                      <a:cNvSpPr/>
                    </a:nvSpPr>
                    <a:spPr>
                      <a:xfrm>
                        <a:off x="5198135" y="2000816"/>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Rectangle 59"/>
                      <a:cNvSpPr/>
                    </a:nvSpPr>
                    <a:spPr>
                      <a:xfrm>
                        <a:off x="5198135" y="2616452"/>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1" name="Rectangle 60"/>
                      <a:cNvSpPr/>
                    </a:nvSpPr>
                    <a:spPr>
                      <a:xfrm>
                        <a:off x="4825443" y="3232088"/>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Rectangle 61"/>
                      <a:cNvSpPr/>
                    </a:nvSpPr>
                    <a:spPr>
                      <a:xfrm>
                        <a:off x="4825443" y="3847724"/>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Rectangle 62"/>
                      <a:cNvSpPr/>
                    </a:nvSpPr>
                    <a:spPr>
                      <a:xfrm>
                        <a:off x="5198135" y="3232088"/>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Rectangle 63"/>
                      <a:cNvSpPr/>
                    </a:nvSpPr>
                    <a:spPr>
                      <a:xfrm>
                        <a:off x="5198135" y="3847724"/>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8" name="Rectangle 67"/>
                      <a:cNvSpPr/>
                    </a:nvSpPr>
                    <a:spPr>
                      <a:xfrm>
                        <a:off x="4452751" y="2616452"/>
                        <a:ext cx="372692" cy="615636"/>
                      </a:xfrm>
                      <a:prstGeom prst="rect">
                        <a:avLst/>
                      </a:prstGeom>
                      <a:solidFill>
                        <a:srgbClr val="FFC000">
                          <a:alpha val="44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Rectangle 68"/>
                      <a:cNvSpPr/>
                    </a:nvSpPr>
                    <a:spPr>
                      <a:xfrm>
                        <a:off x="4825443" y="3232088"/>
                        <a:ext cx="372692" cy="615636"/>
                      </a:xfrm>
                      <a:prstGeom prst="rect">
                        <a:avLst/>
                      </a:prstGeom>
                      <a:solidFill>
                        <a:srgbClr val="FFC000">
                          <a:alpha val="44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Rectangle 69"/>
                      <a:cNvSpPr/>
                    </a:nvSpPr>
                    <a:spPr>
                      <a:xfrm>
                        <a:off x="5198135" y="3847724"/>
                        <a:ext cx="372692" cy="615636"/>
                      </a:xfrm>
                      <a:prstGeom prst="rect">
                        <a:avLst/>
                      </a:prstGeom>
                      <a:solidFill>
                        <a:srgbClr val="FFC000">
                          <a:alpha val="44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1" name="TextBox 70"/>
                      <a:cNvSpPr txBox="1"/>
                    </a:nvSpPr>
                    <a:spPr>
                      <a:xfrm rot="16200000">
                        <a:off x="287368" y="2905324"/>
                        <a:ext cx="3892958" cy="707886"/>
                      </a:xfrm>
                      <a:prstGeom prst="rect">
                        <a:avLst/>
                      </a:prstGeom>
                      <a:noFill/>
                    </a:spPr>
                    <a:txSp>
                      <a:txBody>
                        <a:bodyPr wrap="square" rtlCol="0">
                          <a:spAutoFit/>
                        </a:bodyPr>
                        <a:lstStyle>
                          <a:defPPr>
                            <a:defRPr lang="en-US"/>
                          </a:defPPr>
                          <a:lvl1pPr marL="0" algn="l" defTabSz="1218987" rtl="0" eaLnBrk="1" latinLnBrk="0" hangingPunct="1">
                            <a:defRPr sz="2400" kern="1200">
                              <a:solidFill>
                                <a:schemeClr val="tx1"/>
                              </a:solidFill>
                              <a:latin typeface="+mn-lt"/>
                              <a:ea typeface="+mn-ea"/>
                              <a:cs typeface="+mn-cs"/>
                            </a:defRPr>
                          </a:lvl1pPr>
                          <a:lvl2pPr marL="609493" algn="l" defTabSz="1218987" rtl="0" eaLnBrk="1" latinLnBrk="0" hangingPunct="1">
                            <a:defRPr sz="2400" kern="1200">
                              <a:solidFill>
                                <a:schemeClr val="tx1"/>
                              </a:solidFill>
                              <a:latin typeface="+mn-lt"/>
                              <a:ea typeface="+mn-ea"/>
                              <a:cs typeface="+mn-cs"/>
                            </a:defRPr>
                          </a:lvl2pPr>
                          <a:lvl3pPr marL="1218987" algn="l" defTabSz="1218987" rtl="0" eaLnBrk="1" latinLnBrk="0" hangingPunct="1">
                            <a:defRPr sz="2400" kern="1200">
                              <a:solidFill>
                                <a:schemeClr val="tx1"/>
                              </a:solidFill>
                              <a:latin typeface="+mn-lt"/>
                              <a:ea typeface="+mn-ea"/>
                              <a:cs typeface="+mn-cs"/>
                            </a:defRPr>
                          </a:lvl3pPr>
                          <a:lvl4pPr marL="1828480" algn="l" defTabSz="1218987" rtl="0" eaLnBrk="1" latinLnBrk="0" hangingPunct="1">
                            <a:defRPr sz="2400" kern="1200">
                              <a:solidFill>
                                <a:schemeClr val="tx1"/>
                              </a:solidFill>
                              <a:latin typeface="+mn-lt"/>
                              <a:ea typeface="+mn-ea"/>
                              <a:cs typeface="+mn-cs"/>
                            </a:defRPr>
                          </a:lvl4pPr>
                          <a:lvl5pPr marL="2437973" algn="l" defTabSz="1218987" rtl="0" eaLnBrk="1" latinLnBrk="0" hangingPunct="1">
                            <a:defRPr sz="2400" kern="1200">
                              <a:solidFill>
                                <a:schemeClr val="tx1"/>
                              </a:solidFill>
                              <a:latin typeface="+mn-lt"/>
                              <a:ea typeface="+mn-ea"/>
                              <a:cs typeface="+mn-cs"/>
                            </a:defRPr>
                          </a:lvl5pPr>
                          <a:lvl6pPr marL="3047467" algn="l" defTabSz="1218987" rtl="0" eaLnBrk="1" latinLnBrk="0" hangingPunct="1">
                            <a:defRPr sz="2400" kern="1200">
                              <a:solidFill>
                                <a:schemeClr val="tx1"/>
                              </a:solidFill>
                              <a:latin typeface="+mn-lt"/>
                              <a:ea typeface="+mn-ea"/>
                              <a:cs typeface="+mn-cs"/>
                            </a:defRPr>
                          </a:lvl6pPr>
                          <a:lvl7pPr marL="3656960" algn="l" defTabSz="1218987" rtl="0" eaLnBrk="1" latinLnBrk="0" hangingPunct="1">
                            <a:defRPr sz="2400" kern="1200">
                              <a:solidFill>
                                <a:schemeClr val="tx1"/>
                              </a:solidFill>
                              <a:latin typeface="+mn-lt"/>
                              <a:ea typeface="+mn-ea"/>
                              <a:cs typeface="+mn-cs"/>
                            </a:defRPr>
                          </a:lvl7pPr>
                          <a:lvl8pPr marL="4266453" algn="l" defTabSz="1218987" rtl="0" eaLnBrk="1" latinLnBrk="0" hangingPunct="1">
                            <a:defRPr sz="2400" kern="1200">
                              <a:solidFill>
                                <a:schemeClr val="tx1"/>
                              </a:solidFill>
                              <a:latin typeface="+mn-lt"/>
                              <a:ea typeface="+mn-ea"/>
                              <a:cs typeface="+mn-cs"/>
                            </a:defRPr>
                          </a:lvl8pPr>
                          <a:lvl9pPr marL="4875947" algn="l" defTabSz="1218987" rtl="0" eaLnBrk="1" latinLnBrk="0" hangingPunct="1">
                            <a:defRPr sz="2400" kern="1200">
                              <a:solidFill>
                                <a:schemeClr val="tx1"/>
                              </a:solidFill>
                              <a:latin typeface="+mn-lt"/>
                              <a:ea typeface="+mn-ea"/>
                              <a:cs typeface="+mn-cs"/>
                            </a:defRPr>
                          </a:lvl9pPr>
                        </a:lstStyle>
                        <a:p>
                          <a:pPr algn="ctr"/>
                          <a:r>
                            <a:rPr lang="en-US" altLang="zh-CN" sz="2000" dirty="0" err="1" smtClean="0">
                              <a:latin typeface="Arial" pitchFamily="34" charset="0"/>
                              <a:cs typeface="Arial" pitchFamily="34" charset="0"/>
                            </a:rPr>
                            <a:t>Subband</a:t>
                          </a:r>
                          <a:endParaRPr lang="en-US" altLang="zh-CN" sz="2000" dirty="0" smtClean="0">
                            <a:latin typeface="Arial" pitchFamily="34" charset="0"/>
                            <a:cs typeface="Arial" pitchFamily="34" charset="0"/>
                          </a:endParaRPr>
                        </a:p>
                        <a:p>
                          <a:pPr algn="ctr"/>
                          <a:r>
                            <a:rPr lang="en-US" altLang="zh-CN" sz="2000" dirty="0" smtClean="0">
                              <a:latin typeface="Arial" pitchFamily="34" charset="0"/>
                              <a:cs typeface="Arial" pitchFamily="34" charset="0"/>
                            </a:rPr>
                            <a:t>0      1       2       3	4       5</a:t>
                          </a:r>
                          <a:endParaRPr lang="zh-CN" altLang="en-US" sz="2000" dirty="0" err="1" smtClean="0">
                            <a:latin typeface="Arial" pitchFamily="34" charset="0"/>
                            <a:cs typeface="Arial" pitchFamily="34" charset="0"/>
                          </a:endParaRPr>
                        </a:p>
                      </a:txBody>
                      <a:useSpRect/>
                    </a:txSp>
                  </a:sp>
                  <a:sp>
                    <a:nvSpPr>
                      <a:cNvPr id="72" name="TextBox 71"/>
                      <a:cNvSpPr txBox="1"/>
                    </a:nvSpPr>
                    <a:spPr>
                      <a:xfrm>
                        <a:off x="2988873" y="5278170"/>
                        <a:ext cx="2194438" cy="400110"/>
                      </a:xfrm>
                      <a:prstGeom prst="rect">
                        <a:avLst/>
                      </a:prstGeom>
                      <a:noFill/>
                    </a:spPr>
                    <a:txSp>
                      <a:txBody>
                        <a:bodyPr wrap="square" rtlCol="0">
                          <a:spAutoFit/>
                        </a:bodyPr>
                        <a:lstStyle>
                          <a:defPPr>
                            <a:defRPr lang="en-US"/>
                          </a:defPPr>
                          <a:lvl1pPr marL="0" algn="l" defTabSz="1218987" rtl="0" eaLnBrk="1" latinLnBrk="0" hangingPunct="1">
                            <a:defRPr sz="2400" kern="1200">
                              <a:solidFill>
                                <a:schemeClr val="tx1"/>
                              </a:solidFill>
                              <a:latin typeface="+mn-lt"/>
                              <a:ea typeface="+mn-ea"/>
                              <a:cs typeface="+mn-cs"/>
                            </a:defRPr>
                          </a:lvl1pPr>
                          <a:lvl2pPr marL="609493" algn="l" defTabSz="1218987" rtl="0" eaLnBrk="1" latinLnBrk="0" hangingPunct="1">
                            <a:defRPr sz="2400" kern="1200">
                              <a:solidFill>
                                <a:schemeClr val="tx1"/>
                              </a:solidFill>
                              <a:latin typeface="+mn-lt"/>
                              <a:ea typeface="+mn-ea"/>
                              <a:cs typeface="+mn-cs"/>
                            </a:defRPr>
                          </a:lvl2pPr>
                          <a:lvl3pPr marL="1218987" algn="l" defTabSz="1218987" rtl="0" eaLnBrk="1" latinLnBrk="0" hangingPunct="1">
                            <a:defRPr sz="2400" kern="1200">
                              <a:solidFill>
                                <a:schemeClr val="tx1"/>
                              </a:solidFill>
                              <a:latin typeface="+mn-lt"/>
                              <a:ea typeface="+mn-ea"/>
                              <a:cs typeface="+mn-cs"/>
                            </a:defRPr>
                          </a:lvl3pPr>
                          <a:lvl4pPr marL="1828480" algn="l" defTabSz="1218987" rtl="0" eaLnBrk="1" latinLnBrk="0" hangingPunct="1">
                            <a:defRPr sz="2400" kern="1200">
                              <a:solidFill>
                                <a:schemeClr val="tx1"/>
                              </a:solidFill>
                              <a:latin typeface="+mn-lt"/>
                              <a:ea typeface="+mn-ea"/>
                              <a:cs typeface="+mn-cs"/>
                            </a:defRPr>
                          </a:lvl4pPr>
                          <a:lvl5pPr marL="2437973" algn="l" defTabSz="1218987" rtl="0" eaLnBrk="1" latinLnBrk="0" hangingPunct="1">
                            <a:defRPr sz="2400" kern="1200">
                              <a:solidFill>
                                <a:schemeClr val="tx1"/>
                              </a:solidFill>
                              <a:latin typeface="+mn-lt"/>
                              <a:ea typeface="+mn-ea"/>
                              <a:cs typeface="+mn-cs"/>
                            </a:defRPr>
                          </a:lvl5pPr>
                          <a:lvl6pPr marL="3047467" algn="l" defTabSz="1218987" rtl="0" eaLnBrk="1" latinLnBrk="0" hangingPunct="1">
                            <a:defRPr sz="2400" kern="1200">
                              <a:solidFill>
                                <a:schemeClr val="tx1"/>
                              </a:solidFill>
                              <a:latin typeface="+mn-lt"/>
                              <a:ea typeface="+mn-ea"/>
                              <a:cs typeface="+mn-cs"/>
                            </a:defRPr>
                          </a:lvl6pPr>
                          <a:lvl7pPr marL="3656960" algn="l" defTabSz="1218987" rtl="0" eaLnBrk="1" latinLnBrk="0" hangingPunct="1">
                            <a:defRPr sz="2400" kern="1200">
                              <a:solidFill>
                                <a:schemeClr val="tx1"/>
                              </a:solidFill>
                              <a:latin typeface="+mn-lt"/>
                              <a:ea typeface="+mn-ea"/>
                              <a:cs typeface="+mn-cs"/>
                            </a:defRPr>
                          </a:lvl7pPr>
                          <a:lvl8pPr marL="4266453" algn="l" defTabSz="1218987" rtl="0" eaLnBrk="1" latinLnBrk="0" hangingPunct="1">
                            <a:defRPr sz="2400" kern="1200">
                              <a:solidFill>
                                <a:schemeClr val="tx1"/>
                              </a:solidFill>
                              <a:latin typeface="+mn-lt"/>
                              <a:ea typeface="+mn-ea"/>
                              <a:cs typeface="+mn-cs"/>
                            </a:defRPr>
                          </a:lvl8pPr>
                          <a:lvl9pPr marL="4875947" algn="l" defTabSz="1218987" rtl="0" eaLnBrk="1" latinLnBrk="0" hangingPunct="1">
                            <a:defRPr sz="2400" kern="1200">
                              <a:solidFill>
                                <a:schemeClr val="tx1"/>
                              </a:solidFill>
                              <a:latin typeface="+mn-lt"/>
                              <a:ea typeface="+mn-ea"/>
                              <a:cs typeface="+mn-cs"/>
                            </a:defRPr>
                          </a:lvl9pPr>
                        </a:lstStyle>
                        <a:p>
                          <a:pPr algn="ctr"/>
                          <a:r>
                            <a:rPr lang="en-US" altLang="zh-CN" sz="2000" dirty="0" smtClean="0">
                              <a:latin typeface="Arial" pitchFamily="34" charset="0"/>
                              <a:cs typeface="Arial" pitchFamily="34" charset="0"/>
                            </a:rPr>
                            <a:t>OFDM symbol</a:t>
                          </a:r>
                          <a:endParaRPr lang="zh-CN" altLang="en-US" sz="2000" dirty="0" err="1" smtClean="0">
                            <a:latin typeface="Arial" pitchFamily="34" charset="0"/>
                            <a:cs typeface="Arial" pitchFamily="34" charset="0"/>
                          </a:endParaRPr>
                        </a:p>
                      </a:txBody>
                      <a:useSpRect/>
                    </a:txSp>
                  </a:sp>
                  <a:grpSp>
                    <a:nvGrpSpPr>
                      <a:cNvPr id="73" name="Group 72"/>
                      <a:cNvGrpSpPr/>
                    </a:nvGrpSpPr>
                    <a:grpSpPr>
                      <a:xfrm>
                        <a:off x="7802632" y="2000816"/>
                        <a:ext cx="1490768" cy="2462544"/>
                        <a:chOff x="2589291" y="2000816"/>
                        <a:chExt cx="1490768" cy="2462544"/>
                      </a:xfrm>
                    </a:grpSpPr>
                    <a:sp>
                      <a:nvSpPr>
                        <a:cNvPr id="74" name="Rectangle 73"/>
                        <a:cNvSpPr/>
                      </a:nvSpPr>
                      <a:spPr>
                        <a:xfrm>
                          <a:off x="2589291" y="2000816"/>
                          <a:ext cx="372692" cy="615636"/>
                        </a:xfrm>
                        <a:prstGeom prst="rect">
                          <a:avLst/>
                        </a:prstGeom>
                        <a:solidFill>
                          <a:schemeClr val="accent1">
                            <a:alpha val="44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Rectangle 74"/>
                        <a:cNvSpPr/>
                      </a:nvSpPr>
                      <a:spPr>
                        <a:xfrm>
                          <a:off x="2589291" y="2616452"/>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Rectangle 75"/>
                        <a:cNvSpPr/>
                      </a:nvSpPr>
                      <a:spPr>
                        <a:xfrm>
                          <a:off x="2961983" y="2000816"/>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Rectangle 76"/>
                        <a:cNvSpPr/>
                      </a:nvSpPr>
                      <a:spPr>
                        <a:xfrm>
                          <a:off x="2961983" y="2616452"/>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Rectangle 77"/>
                        <a:cNvSpPr/>
                      </a:nvSpPr>
                      <a:spPr>
                        <a:xfrm>
                          <a:off x="2589291" y="3232088"/>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Rectangle 78"/>
                        <a:cNvSpPr/>
                      </a:nvSpPr>
                      <a:spPr>
                        <a:xfrm>
                          <a:off x="2589291" y="3847724"/>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Rectangle 79"/>
                        <a:cNvSpPr/>
                      </a:nvSpPr>
                      <a:spPr>
                        <a:xfrm>
                          <a:off x="2961983" y="3232088"/>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Rectangle 80"/>
                        <a:cNvSpPr/>
                      </a:nvSpPr>
                      <a:spPr>
                        <a:xfrm>
                          <a:off x="2961983" y="3847724"/>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Rectangle 81"/>
                        <a:cNvSpPr/>
                      </a:nvSpPr>
                      <a:spPr>
                        <a:xfrm>
                          <a:off x="3334675" y="2000816"/>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Rectangle 82"/>
                        <a:cNvSpPr/>
                      </a:nvSpPr>
                      <a:spPr>
                        <a:xfrm>
                          <a:off x="3334675" y="2616452"/>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Rectangle 83"/>
                        <a:cNvSpPr/>
                      </a:nvSpPr>
                      <a:spPr>
                        <a:xfrm>
                          <a:off x="3707367" y="2000816"/>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Rectangle 84"/>
                        <a:cNvSpPr/>
                      </a:nvSpPr>
                      <a:spPr>
                        <a:xfrm>
                          <a:off x="3707367" y="2616452"/>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Rectangle 85"/>
                        <a:cNvSpPr/>
                      </a:nvSpPr>
                      <a:spPr>
                        <a:xfrm>
                          <a:off x="3334675" y="3232088"/>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Rectangle 86"/>
                        <a:cNvSpPr/>
                      </a:nvSpPr>
                      <a:spPr>
                        <a:xfrm>
                          <a:off x="3334675" y="3847724"/>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8" name="Rectangle 87"/>
                        <a:cNvSpPr/>
                      </a:nvSpPr>
                      <a:spPr>
                        <a:xfrm>
                          <a:off x="3707367" y="3232088"/>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9" name="Rectangle 88"/>
                        <a:cNvSpPr/>
                      </a:nvSpPr>
                      <a:spPr>
                        <a:xfrm>
                          <a:off x="3707367" y="3847724"/>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0" name="Rectangle 89"/>
                        <a:cNvSpPr/>
                      </a:nvSpPr>
                      <a:spPr>
                        <a:xfrm>
                          <a:off x="2961983" y="2616452"/>
                          <a:ext cx="372692" cy="615636"/>
                        </a:xfrm>
                        <a:prstGeom prst="rect">
                          <a:avLst/>
                        </a:prstGeom>
                        <a:solidFill>
                          <a:schemeClr val="accent1">
                            <a:alpha val="44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Rectangle 90"/>
                        <a:cNvSpPr/>
                      </a:nvSpPr>
                      <a:spPr>
                        <a:xfrm>
                          <a:off x="3334675" y="3232088"/>
                          <a:ext cx="372692" cy="615636"/>
                        </a:xfrm>
                        <a:prstGeom prst="rect">
                          <a:avLst/>
                        </a:prstGeom>
                        <a:solidFill>
                          <a:schemeClr val="accent1">
                            <a:alpha val="44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Rectangle 91"/>
                        <a:cNvSpPr/>
                      </a:nvSpPr>
                      <a:spPr>
                        <a:xfrm>
                          <a:off x="3707367" y="3847724"/>
                          <a:ext cx="372692" cy="615636"/>
                        </a:xfrm>
                        <a:prstGeom prst="rect">
                          <a:avLst/>
                        </a:prstGeom>
                        <a:solidFill>
                          <a:schemeClr val="accent1">
                            <a:alpha val="44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93" name="Group 92"/>
                      <a:cNvGrpSpPr/>
                    </a:nvGrpSpPr>
                    <a:grpSpPr>
                      <a:xfrm>
                        <a:off x="9293400" y="2000816"/>
                        <a:ext cx="1490768" cy="2462544"/>
                        <a:chOff x="2589291" y="2000816"/>
                        <a:chExt cx="1490768" cy="2462544"/>
                      </a:xfrm>
                    </a:grpSpPr>
                    <a:sp>
                      <a:nvSpPr>
                        <a:cNvPr id="94" name="Rectangle 93"/>
                        <a:cNvSpPr/>
                      </a:nvSpPr>
                      <a:spPr>
                        <a:xfrm>
                          <a:off x="2589291" y="2000816"/>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5" name="Rectangle 94"/>
                        <a:cNvSpPr/>
                      </a:nvSpPr>
                      <a:spPr>
                        <a:xfrm>
                          <a:off x="2589291" y="2616452"/>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6" name="Rectangle 95"/>
                        <a:cNvSpPr/>
                      </a:nvSpPr>
                      <a:spPr>
                        <a:xfrm>
                          <a:off x="2961983" y="2000816"/>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7" name="Rectangle 96"/>
                        <a:cNvSpPr/>
                      </a:nvSpPr>
                      <a:spPr>
                        <a:xfrm>
                          <a:off x="2961983" y="2616452"/>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8" name="Rectangle 97"/>
                        <a:cNvSpPr/>
                      </a:nvSpPr>
                      <a:spPr>
                        <a:xfrm>
                          <a:off x="2589291" y="3232088"/>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9" name="Rectangle 98"/>
                        <a:cNvSpPr/>
                      </a:nvSpPr>
                      <a:spPr>
                        <a:xfrm>
                          <a:off x="2589291" y="3847724"/>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0" name="Rectangle 99"/>
                        <a:cNvSpPr/>
                      </a:nvSpPr>
                      <a:spPr>
                        <a:xfrm>
                          <a:off x="2961983" y="3232088"/>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1" name="Rectangle 100"/>
                        <a:cNvSpPr/>
                      </a:nvSpPr>
                      <a:spPr>
                        <a:xfrm>
                          <a:off x="2961983" y="3847724"/>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2" name="Rectangle 101"/>
                        <a:cNvSpPr/>
                      </a:nvSpPr>
                      <a:spPr>
                        <a:xfrm>
                          <a:off x="3334675" y="2000816"/>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3" name="Rectangle 102"/>
                        <a:cNvSpPr/>
                      </a:nvSpPr>
                      <a:spPr>
                        <a:xfrm>
                          <a:off x="3334675" y="2616452"/>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4" name="Rectangle 103"/>
                        <a:cNvSpPr/>
                      </a:nvSpPr>
                      <a:spPr>
                        <a:xfrm>
                          <a:off x="3707367" y="2000816"/>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5" name="Rectangle 104"/>
                        <a:cNvSpPr/>
                      </a:nvSpPr>
                      <a:spPr>
                        <a:xfrm>
                          <a:off x="3707367" y="2616452"/>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6" name="Rectangle 105"/>
                        <a:cNvSpPr/>
                      </a:nvSpPr>
                      <a:spPr>
                        <a:xfrm>
                          <a:off x="3334675" y="3232088"/>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7" name="Rectangle 106"/>
                        <a:cNvSpPr/>
                      </a:nvSpPr>
                      <a:spPr>
                        <a:xfrm>
                          <a:off x="3334675" y="3847724"/>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8" name="Rectangle 107"/>
                        <a:cNvSpPr/>
                      </a:nvSpPr>
                      <a:spPr>
                        <a:xfrm>
                          <a:off x="3707367" y="3232088"/>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9" name="Rectangle 108"/>
                        <a:cNvSpPr/>
                      </a:nvSpPr>
                      <a:spPr>
                        <a:xfrm>
                          <a:off x="3707367" y="3847724"/>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10" name="Rectangle 109"/>
                      <a:cNvSpPr/>
                    </a:nvSpPr>
                    <a:spPr>
                      <a:xfrm>
                        <a:off x="7802632" y="3232088"/>
                        <a:ext cx="372692" cy="615636"/>
                      </a:xfrm>
                      <a:prstGeom prst="rect">
                        <a:avLst/>
                      </a:prstGeom>
                      <a:solidFill>
                        <a:srgbClr val="FFC000">
                          <a:alpha val="44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1" name="Rectangle 110"/>
                      <a:cNvSpPr/>
                    </a:nvSpPr>
                    <a:spPr>
                      <a:xfrm>
                        <a:off x="8175324" y="3847724"/>
                        <a:ext cx="372692" cy="615636"/>
                      </a:xfrm>
                      <a:prstGeom prst="rect">
                        <a:avLst/>
                      </a:prstGeom>
                      <a:solidFill>
                        <a:srgbClr val="FFC000">
                          <a:alpha val="44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2" name="Rectangle 111"/>
                      <a:cNvSpPr/>
                    </a:nvSpPr>
                    <a:spPr>
                      <a:xfrm>
                        <a:off x="8920708" y="2616452"/>
                        <a:ext cx="372692" cy="615636"/>
                      </a:xfrm>
                      <a:prstGeom prst="rect">
                        <a:avLst/>
                      </a:prstGeom>
                      <a:solidFill>
                        <a:srgbClr val="FFC000">
                          <a:alpha val="44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4" name="TextBox 113"/>
                      <a:cNvSpPr txBox="1"/>
                    </a:nvSpPr>
                    <a:spPr>
                      <a:xfrm>
                        <a:off x="8217040" y="5278170"/>
                        <a:ext cx="2194438" cy="400110"/>
                      </a:xfrm>
                      <a:prstGeom prst="rect">
                        <a:avLst/>
                      </a:prstGeom>
                      <a:noFill/>
                    </a:spPr>
                    <a:txSp>
                      <a:txBody>
                        <a:bodyPr wrap="square" rtlCol="0">
                          <a:spAutoFit/>
                        </a:bodyPr>
                        <a:lstStyle>
                          <a:defPPr>
                            <a:defRPr lang="en-US"/>
                          </a:defPPr>
                          <a:lvl1pPr marL="0" algn="l" defTabSz="1218987" rtl="0" eaLnBrk="1" latinLnBrk="0" hangingPunct="1">
                            <a:defRPr sz="2400" kern="1200">
                              <a:solidFill>
                                <a:schemeClr val="tx1"/>
                              </a:solidFill>
                              <a:latin typeface="+mn-lt"/>
                              <a:ea typeface="+mn-ea"/>
                              <a:cs typeface="+mn-cs"/>
                            </a:defRPr>
                          </a:lvl1pPr>
                          <a:lvl2pPr marL="609493" algn="l" defTabSz="1218987" rtl="0" eaLnBrk="1" latinLnBrk="0" hangingPunct="1">
                            <a:defRPr sz="2400" kern="1200">
                              <a:solidFill>
                                <a:schemeClr val="tx1"/>
                              </a:solidFill>
                              <a:latin typeface="+mn-lt"/>
                              <a:ea typeface="+mn-ea"/>
                              <a:cs typeface="+mn-cs"/>
                            </a:defRPr>
                          </a:lvl2pPr>
                          <a:lvl3pPr marL="1218987" algn="l" defTabSz="1218987" rtl="0" eaLnBrk="1" latinLnBrk="0" hangingPunct="1">
                            <a:defRPr sz="2400" kern="1200">
                              <a:solidFill>
                                <a:schemeClr val="tx1"/>
                              </a:solidFill>
                              <a:latin typeface="+mn-lt"/>
                              <a:ea typeface="+mn-ea"/>
                              <a:cs typeface="+mn-cs"/>
                            </a:defRPr>
                          </a:lvl3pPr>
                          <a:lvl4pPr marL="1828480" algn="l" defTabSz="1218987" rtl="0" eaLnBrk="1" latinLnBrk="0" hangingPunct="1">
                            <a:defRPr sz="2400" kern="1200">
                              <a:solidFill>
                                <a:schemeClr val="tx1"/>
                              </a:solidFill>
                              <a:latin typeface="+mn-lt"/>
                              <a:ea typeface="+mn-ea"/>
                              <a:cs typeface="+mn-cs"/>
                            </a:defRPr>
                          </a:lvl4pPr>
                          <a:lvl5pPr marL="2437973" algn="l" defTabSz="1218987" rtl="0" eaLnBrk="1" latinLnBrk="0" hangingPunct="1">
                            <a:defRPr sz="2400" kern="1200">
                              <a:solidFill>
                                <a:schemeClr val="tx1"/>
                              </a:solidFill>
                              <a:latin typeface="+mn-lt"/>
                              <a:ea typeface="+mn-ea"/>
                              <a:cs typeface="+mn-cs"/>
                            </a:defRPr>
                          </a:lvl5pPr>
                          <a:lvl6pPr marL="3047467" algn="l" defTabSz="1218987" rtl="0" eaLnBrk="1" latinLnBrk="0" hangingPunct="1">
                            <a:defRPr sz="2400" kern="1200">
                              <a:solidFill>
                                <a:schemeClr val="tx1"/>
                              </a:solidFill>
                              <a:latin typeface="+mn-lt"/>
                              <a:ea typeface="+mn-ea"/>
                              <a:cs typeface="+mn-cs"/>
                            </a:defRPr>
                          </a:lvl6pPr>
                          <a:lvl7pPr marL="3656960" algn="l" defTabSz="1218987" rtl="0" eaLnBrk="1" latinLnBrk="0" hangingPunct="1">
                            <a:defRPr sz="2400" kern="1200">
                              <a:solidFill>
                                <a:schemeClr val="tx1"/>
                              </a:solidFill>
                              <a:latin typeface="+mn-lt"/>
                              <a:ea typeface="+mn-ea"/>
                              <a:cs typeface="+mn-cs"/>
                            </a:defRPr>
                          </a:lvl7pPr>
                          <a:lvl8pPr marL="4266453" algn="l" defTabSz="1218987" rtl="0" eaLnBrk="1" latinLnBrk="0" hangingPunct="1">
                            <a:defRPr sz="2400" kern="1200">
                              <a:solidFill>
                                <a:schemeClr val="tx1"/>
                              </a:solidFill>
                              <a:latin typeface="+mn-lt"/>
                              <a:ea typeface="+mn-ea"/>
                              <a:cs typeface="+mn-cs"/>
                            </a:defRPr>
                          </a:lvl8pPr>
                          <a:lvl9pPr marL="4875947" algn="l" defTabSz="1218987" rtl="0" eaLnBrk="1" latinLnBrk="0" hangingPunct="1">
                            <a:defRPr sz="2400" kern="1200">
                              <a:solidFill>
                                <a:schemeClr val="tx1"/>
                              </a:solidFill>
                              <a:latin typeface="+mn-lt"/>
                              <a:ea typeface="+mn-ea"/>
                              <a:cs typeface="+mn-cs"/>
                            </a:defRPr>
                          </a:lvl9pPr>
                        </a:lstStyle>
                        <a:p>
                          <a:pPr algn="ctr"/>
                          <a:r>
                            <a:rPr lang="en-US" altLang="zh-CN" sz="2000" dirty="0" smtClean="0">
                              <a:latin typeface="Arial" pitchFamily="34" charset="0"/>
                              <a:cs typeface="Arial" pitchFamily="34" charset="0"/>
                            </a:rPr>
                            <a:t>OFDM symbol</a:t>
                          </a:r>
                          <a:endParaRPr lang="zh-CN" altLang="en-US" sz="2000" dirty="0" err="1" smtClean="0">
                            <a:latin typeface="Arial" pitchFamily="34" charset="0"/>
                            <a:cs typeface="Arial" pitchFamily="34" charset="0"/>
                          </a:endParaRPr>
                        </a:p>
                      </a:txBody>
                      <a:useSpRect/>
                    </a:txSp>
                  </a:sp>
                  <a:sp>
                    <a:nvSpPr>
                      <a:cNvPr id="115" name="Rectangle 114"/>
                      <a:cNvSpPr/>
                    </a:nvSpPr>
                    <a:spPr>
                      <a:xfrm>
                        <a:off x="8548016" y="2000816"/>
                        <a:ext cx="372692" cy="615636"/>
                      </a:xfrm>
                      <a:prstGeom prst="rect">
                        <a:avLst/>
                      </a:prstGeom>
                      <a:solidFill>
                        <a:srgbClr val="FFC000">
                          <a:alpha val="44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6" name="Rectangle 115"/>
                      <a:cNvSpPr/>
                    </a:nvSpPr>
                    <a:spPr>
                      <a:xfrm>
                        <a:off x="2587790" y="1383711"/>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7" name="Rectangle 116"/>
                      <a:cNvSpPr/>
                    </a:nvSpPr>
                    <a:spPr>
                      <a:xfrm>
                        <a:off x="2960482" y="1383711"/>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8" name="Rectangle 117"/>
                      <a:cNvSpPr/>
                    </a:nvSpPr>
                    <a:spPr>
                      <a:xfrm>
                        <a:off x="3333174" y="1383711"/>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9" name="Rectangle 118"/>
                      <a:cNvSpPr/>
                    </a:nvSpPr>
                    <a:spPr>
                      <a:xfrm>
                        <a:off x="3705865" y="1383711"/>
                        <a:ext cx="378725"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1" name="Rectangle 120"/>
                      <a:cNvSpPr/>
                    </a:nvSpPr>
                    <a:spPr>
                      <a:xfrm>
                        <a:off x="4451250" y="1383711"/>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2" name="Rectangle 121"/>
                      <a:cNvSpPr/>
                    </a:nvSpPr>
                    <a:spPr>
                      <a:xfrm>
                        <a:off x="4823942" y="1383711"/>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3" name="Rectangle 122"/>
                      <a:cNvSpPr/>
                    </a:nvSpPr>
                    <a:spPr>
                      <a:xfrm>
                        <a:off x="5196634" y="1383711"/>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4" name="Rectangle 123"/>
                      <a:cNvSpPr/>
                    </a:nvSpPr>
                    <a:spPr>
                      <a:xfrm>
                        <a:off x="4084591" y="1382210"/>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5" name="Rectangle 124"/>
                      <a:cNvSpPr/>
                    </a:nvSpPr>
                    <a:spPr>
                      <a:xfrm>
                        <a:off x="2589291" y="4464861"/>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6" name="Rectangle 125"/>
                      <a:cNvSpPr/>
                    </a:nvSpPr>
                    <a:spPr>
                      <a:xfrm>
                        <a:off x="2961983" y="4464861"/>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7" name="Rectangle 126"/>
                      <a:cNvSpPr/>
                    </a:nvSpPr>
                    <a:spPr>
                      <a:xfrm>
                        <a:off x="3334675" y="4464861"/>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8" name="Rectangle 127"/>
                      <a:cNvSpPr/>
                    </a:nvSpPr>
                    <a:spPr>
                      <a:xfrm>
                        <a:off x="3707366" y="4464861"/>
                        <a:ext cx="378725"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9" name="Rectangle 128"/>
                      <a:cNvSpPr/>
                    </a:nvSpPr>
                    <a:spPr>
                      <a:xfrm>
                        <a:off x="4452751" y="4464861"/>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0" name="Rectangle 129"/>
                      <a:cNvSpPr/>
                    </a:nvSpPr>
                    <a:spPr>
                      <a:xfrm>
                        <a:off x="4825443" y="4464861"/>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1" name="Rectangle 130"/>
                      <a:cNvSpPr/>
                    </a:nvSpPr>
                    <a:spPr>
                      <a:xfrm>
                        <a:off x="5198135" y="4464861"/>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2" name="Rectangle 131"/>
                      <a:cNvSpPr/>
                    </a:nvSpPr>
                    <a:spPr>
                      <a:xfrm>
                        <a:off x="4086092" y="4463360"/>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9" name="Rectangle 148"/>
                      <a:cNvSpPr/>
                    </a:nvSpPr>
                    <a:spPr>
                      <a:xfrm>
                        <a:off x="7802633" y="1385212"/>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0" name="Rectangle 149"/>
                      <a:cNvSpPr/>
                    </a:nvSpPr>
                    <a:spPr>
                      <a:xfrm>
                        <a:off x="8175325" y="1385212"/>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1" name="Rectangle 150"/>
                      <a:cNvSpPr/>
                    </a:nvSpPr>
                    <a:spPr>
                      <a:xfrm>
                        <a:off x="8548017" y="1385212"/>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2" name="Rectangle 151"/>
                      <a:cNvSpPr/>
                    </a:nvSpPr>
                    <a:spPr>
                      <a:xfrm>
                        <a:off x="8920708" y="1385212"/>
                        <a:ext cx="378725"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3" name="Rectangle 152"/>
                      <a:cNvSpPr/>
                    </a:nvSpPr>
                    <a:spPr>
                      <a:xfrm>
                        <a:off x="9666093" y="1385212"/>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4" name="Rectangle 153"/>
                      <a:cNvSpPr/>
                    </a:nvSpPr>
                    <a:spPr>
                      <a:xfrm>
                        <a:off x="10038785" y="1385212"/>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5" name="Rectangle 154"/>
                      <a:cNvSpPr/>
                    </a:nvSpPr>
                    <a:spPr>
                      <a:xfrm>
                        <a:off x="10411477" y="1385212"/>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6" name="Rectangle 155"/>
                      <a:cNvSpPr/>
                    </a:nvSpPr>
                    <a:spPr>
                      <a:xfrm>
                        <a:off x="9299434" y="1383711"/>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7" name="Rectangle 156"/>
                      <a:cNvSpPr/>
                    </a:nvSpPr>
                    <a:spPr>
                      <a:xfrm>
                        <a:off x="7802634" y="4463360"/>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8" name="Rectangle 157"/>
                      <a:cNvSpPr/>
                    </a:nvSpPr>
                    <a:spPr>
                      <a:xfrm>
                        <a:off x="8175326" y="4463360"/>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9" name="Rectangle 158"/>
                      <a:cNvSpPr/>
                    </a:nvSpPr>
                    <a:spPr>
                      <a:xfrm>
                        <a:off x="8548018" y="4463360"/>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0" name="Rectangle 159"/>
                      <a:cNvSpPr/>
                    </a:nvSpPr>
                    <a:spPr>
                      <a:xfrm>
                        <a:off x="8920709" y="4463360"/>
                        <a:ext cx="378725"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1" name="Rectangle 160"/>
                      <a:cNvSpPr/>
                    </a:nvSpPr>
                    <a:spPr>
                      <a:xfrm>
                        <a:off x="9666094" y="4463360"/>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2" name="Rectangle 161"/>
                      <a:cNvSpPr/>
                    </a:nvSpPr>
                    <a:spPr>
                      <a:xfrm>
                        <a:off x="10038786" y="4463360"/>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3" name="Rectangle 162"/>
                      <a:cNvSpPr/>
                    </a:nvSpPr>
                    <a:spPr>
                      <a:xfrm>
                        <a:off x="10411478" y="4463360"/>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4" name="Rectangle 163"/>
                      <a:cNvSpPr/>
                    </a:nvSpPr>
                    <a:spPr>
                      <a:xfrm>
                        <a:off x="9299435" y="4461859"/>
                        <a:ext cx="372692" cy="615636"/>
                      </a:xfrm>
                      <a:prstGeom prst="rect">
                        <a:avLst/>
                      </a:prstGeom>
                      <a:no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5" name="Rectangle 164"/>
                      <a:cNvSpPr/>
                    </a:nvSpPr>
                    <a:spPr>
                      <a:xfrm>
                        <a:off x="4458784" y="5732598"/>
                        <a:ext cx="372692" cy="615636"/>
                      </a:xfrm>
                      <a:prstGeom prst="rect">
                        <a:avLst/>
                      </a:prstGeom>
                      <a:solidFill>
                        <a:schemeClr val="accent1">
                          <a:alpha val="44000"/>
                        </a:scheme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6" name="Rectangle 165"/>
                      <a:cNvSpPr/>
                    </a:nvSpPr>
                    <a:spPr>
                      <a:xfrm>
                        <a:off x="6933500" y="5714492"/>
                        <a:ext cx="372692" cy="615636"/>
                      </a:xfrm>
                      <a:prstGeom prst="rect">
                        <a:avLst/>
                      </a:prstGeom>
                      <a:solidFill>
                        <a:srgbClr val="FFC000">
                          <a:alpha val="44000"/>
                        </a:srgbClr>
                      </a:solidFill>
                      <a:ln>
                        <a:solidFill>
                          <a:schemeClr val="tx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7" name="TextBox 166"/>
                      <a:cNvSpPr txBox="1"/>
                    </a:nvSpPr>
                    <a:spPr>
                      <a:xfrm>
                        <a:off x="4831476" y="5832251"/>
                        <a:ext cx="1005403" cy="461665"/>
                      </a:xfrm>
                      <a:prstGeom prst="rect">
                        <a:avLst/>
                      </a:prstGeom>
                      <a:noFill/>
                    </a:spPr>
                    <a:txSp>
                      <a:txBody>
                        <a:bodyPr wrap="none" rtlCol="0">
                          <a:spAutoFit/>
                        </a:bodyPr>
                        <a:lstStyle>
                          <a:defPPr>
                            <a:defRPr lang="en-US"/>
                          </a:defPPr>
                          <a:lvl1pPr marL="0" algn="l" defTabSz="1218987" rtl="0" eaLnBrk="1" latinLnBrk="0" hangingPunct="1">
                            <a:defRPr sz="2400" kern="1200">
                              <a:solidFill>
                                <a:schemeClr val="tx1"/>
                              </a:solidFill>
                              <a:latin typeface="+mn-lt"/>
                              <a:ea typeface="+mn-ea"/>
                              <a:cs typeface="+mn-cs"/>
                            </a:defRPr>
                          </a:lvl1pPr>
                          <a:lvl2pPr marL="609493" algn="l" defTabSz="1218987" rtl="0" eaLnBrk="1" latinLnBrk="0" hangingPunct="1">
                            <a:defRPr sz="2400" kern="1200">
                              <a:solidFill>
                                <a:schemeClr val="tx1"/>
                              </a:solidFill>
                              <a:latin typeface="+mn-lt"/>
                              <a:ea typeface="+mn-ea"/>
                              <a:cs typeface="+mn-cs"/>
                            </a:defRPr>
                          </a:lvl2pPr>
                          <a:lvl3pPr marL="1218987" algn="l" defTabSz="1218987" rtl="0" eaLnBrk="1" latinLnBrk="0" hangingPunct="1">
                            <a:defRPr sz="2400" kern="1200">
                              <a:solidFill>
                                <a:schemeClr val="tx1"/>
                              </a:solidFill>
                              <a:latin typeface="+mn-lt"/>
                              <a:ea typeface="+mn-ea"/>
                              <a:cs typeface="+mn-cs"/>
                            </a:defRPr>
                          </a:lvl3pPr>
                          <a:lvl4pPr marL="1828480" algn="l" defTabSz="1218987" rtl="0" eaLnBrk="1" latinLnBrk="0" hangingPunct="1">
                            <a:defRPr sz="2400" kern="1200">
                              <a:solidFill>
                                <a:schemeClr val="tx1"/>
                              </a:solidFill>
                              <a:latin typeface="+mn-lt"/>
                              <a:ea typeface="+mn-ea"/>
                              <a:cs typeface="+mn-cs"/>
                            </a:defRPr>
                          </a:lvl4pPr>
                          <a:lvl5pPr marL="2437973" algn="l" defTabSz="1218987" rtl="0" eaLnBrk="1" latinLnBrk="0" hangingPunct="1">
                            <a:defRPr sz="2400" kern="1200">
                              <a:solidFill>
                                <a:schemeClr val="tx1"/>
                              </a:solidFill>
                              <a:latin typeface="+mn-lt"/>
                              <a:ea typeface="+mn-ea"/>
                              <a:cs typeface="+mn-cs"/>
                            </a:defRPr>
                          </a:lvl5pPr>
                          <a:lvl6pPr marL="3047467" algn="l" defTabSz="1218987" rtl="0" eaLnBrk="1" latinLnBrk="0" hangingPunct="1">
                            <a:defRPr sz="2400" kern="1200">
                              <a:solidFill>
                                <a:schemeClr val="tx1"/>
                              </a:solidFill>
                              <a:latin typeface="+mn-lt"/>
                              <a:ea typeface="+mn-ea"/>
                              <a:cs typeface="+mn-cs"/>
                            </a:defRPr>
                          </a:lvl6pPr>
                          <a:lvl7pPr marL="3656960" algn="l" defTabSz="1218987" rtl="0" eaLnBrk="1" latinLnBrk="0" hangingPunct="1">
                            <a:defRPr sz="2400" kern="1200">
                              <a:solidFill>
                                <a:schemeClr val="tx1"/>
                              </a:solidFill>
                              <a:latin typeface="+mn-lt"/>
                              <a:ea typeface="+mn-ea"/>
                              <a:cs typeface="+mn-cs"/>
                            </a:defRPr>
                          </a:lvl7pPr>
                          <a:lvl8pPr marL="4266453" algn="l" defTabSz="1218987" rtl="0" eaLnBrk="1" latinLnBrk="0" hangingPunct="1">
                            <a:defRPr sz="2400" kern="1200">
                              <a:solidFill>
                                <a:schemeClr val="tx1"/>
                              </a:solidFill>
                              <a:latin typeface="+mn-lt"/>
                              <a:ea typeface="+mn-ea"/>
                              <a:cs typeface="+mn-cs"/>
                            </a:defRPr>
                          </a:lvl8pPr>
                          <a:lvl9pPr marL="4875947" algn="l" defTabSz="1218987" rtl="0" eaLnBrk="1" latinLnBrk="0" hangingPunct="1">
                            <a:defRPr sz="2400" kern="1200">
                              <a:solidFill>
                                <a:schemeClr val="tx1"/>
                              </a:solidFill>
                              <a:latin typeface="+mn-lt"/>
                              <a:ea typeface="+mn-ea"/>
                              <a:cs typeface="+mn-cs"/>
                            </a:defRPr>
                          </a:lvl9pPr>
                        </a:lstStyle>
                        <a:p>
                          <a:r>
                            <a:rPr lang="en-US" altLang="zh-CN" dirty="0" smtClean="0">
                              <a:latin typeface="Arial" pitchFamily="34" charset="0"/>
                              <a:cs typeface="Arial" pitchFamily="34" charset="0"/>
                            </a:rPr>
                            <a:t>Port 0</a:t>
                          </a:r>
                          <a:endParaRPr lang="zh-CN" altLang="en-US" dirty="0" err="1" smtClean="0">
                            <a:latin typeface="Arial" pitchFamily="34" charset="0"/>
                            <a:cs typeface="Arial" pitchFamily="34" charset="0"/>
                          </a:endParaRPr>
                        </a:p>
                      </a:txBody>
                      <a:useSpRect/>
                    </a:txSp>
                  </a:sp>
                  <a:sp>
                    <a:nvSpPr>
                      <a:cNvPr id="168" name="TextBox 167"/>
                      <a:cNvSpPr txBox="1"/>
                    </a:nvSpPr>
                    <a:spPr>
                      <a:xfrm>
                        <a:off x="7306192" y="5832251"/>
                        <a:ext cx="1005403" cy="461665"/>
                      </a:xfrm>
                      <a:prstGeom prst="rect">
                        <a:avLst/>
                      </a:prstGeom>
                      <a:noFill/>
                    </a:spPr>
                    <a:txSp>
                      <a:txBody>
                        <a:bodyPr wrap="none" rtlCol="0">
                          <a:spAutoFit/>
                        </a:bodyPr>
                        <a:lstStyle>
                          <a:defPPr>
                            <a:defRPr lang="en-US"/>
                          </a:defPPr>
                          <a:lvl1pPr marL="0" algn="l" defTabSz="1218987" rtl="0" eaLnBrk="1" latinLnBrk="0" hangingPunct="1">
                            <a:defRPr sz="2400" kern="1200">
                              <a:solidFill>
                                <a:schemeClr val="tx1"/>
                              </a:solidFill>
                              <a:latin typeface="+mn-lt"/>
                              <a:ea typeface="+mn-ea"/>
                              <a:cs typeface="+mn-cs"/>
                            </a:defRPr>
                          </a:lvl1pPr>
                          <a:lvl2pPr marL="609493" algn="l" defTabSz="1218987" rtl="0" eaLnBrk="1" latinLnBrk="0" hangingPunct="1">
                            <a:defRPr sz="2400" kern="1200">
                              <a:solidFill>
                                <a:schemeClr val="tx1"/>
                              </a:solidFill>
                              <a:latin typeface="+mn-lt"/>
                              <a:ea typeface="+mn-ea"/>
                              <a:cs typeface="+mn-cs"/>
                            </a:defRPr>
                          </a:lvl2pPr>
                          <a:lvl3pPr marL="1218987" algn="l" defTabSz="1218987" rtl="0" eaLnBrk="1" latinLnBrk="0" hangingPunct="1">
                            <a:defRPr sz="2400" kern="1200">
                              <a:solidFill>
                                <a:schemeClr val="tx1"/>
                              </a:solidFill>
                              <a:latin typeface="+mn-lt"/>
                              <a:ea typeface="+mn-ea"/>
                              <a:cs typeface="+mn-cs"/>
                            </a:defRPr>
                          </a:lvl3pPr>
                          <a:lvl4pPr marL="1828480" algn="l" defTabSz="1218987" rtl="0" eaLnBrk="1" latinLnBrk="0" hangingPunct="1">
                            <a:defRPr sz="2400" kern="1200">
                              <a:solidFill>
                                <a:schemeClr val="tx1"/>
                              </a:solidFill>
                              <a:latin typeface="+mn-lt"/>
                              <a:ea typeface="+mn-ea"/>
                              <a:cs typeface="+mn-cs"/>
                            </a:defRPr>
                          </a:lvl4pPr>
                          <a:lvl5pPr marL="2437973" algn="l" defTabSz="1218987" rtl="0" eaLnBrk="1" latinLnBrk="0" hangingPunct="1">
                            <a:defRPr sz="2400" kern="1200">
                              <a:solidFill>
                                <a:schemeClr val="tx1"/>
                              </a:solidFill>
                              <a:latin typeface="+mn-lt"/>
                              <a:ea typeface="+mn-ea"/>
                              <a:cs typeface="+mn-cs"/>
                            </a:defRPr>
                          </a:lvl5pPr>
                          <a:lvl6pPr marL="3047467" algn="l" defTabSz="1218987" rtl="0" eaLnBrk="1" latinLnBrk="0" hangingPunct="1">
                            <a:defRPr sz="2400" kern="1200">
                              <a:solidFill>
                                <a:schemeClr val="tx1"/>
                              </a:solidFill>
                              <a:latin typeface="+mn-lt"/>
                              <a:ea typeface="+mn-ea"/>
                              <a:cs typeface="+mn-cs"/>
                            </a:defRPr>
                          </a:lvl6pPr>
                          <a:lvl7pPr marL="3656960" algn="l" defTabSz="1218987" rtl="0" eaLnBrk="1" latinLnBrk="0" hangingPunct="1">
                            <a:defRPr sz="2400" kern="1200">
                              <a:solidFill>
                                <a:schemeClr val="tx1"/>
                              </a:solidFill>
                              <a:latin typeface="+mn-lt"/>
                              <a:ea typeface="+mn-ea"/>
                              <a:cs typeface="+mn-cs"/>
                            </a:defRPr>
                          </a:lvl7pPr>
                          <a:lvl8pPr marL="4266453" algn="l" defTabSz="1218987" rtl="0" eaLnBrk="1" latinLnBrk="0" hangingPunct="1">
                            <a:defRPr sz="2400" kern="1200">
                              <a:solidFill>
                                <a:schemeClr val="tx1"/>
                              </a:solidFill>
                              <a:latin typeface="+mn-lt"/>
                              <a:ea typeface="+mn-ea"/>
                              <a:cs typeface="+mn-cs"/>
                            </a:defRPr>
                          </a:lvl8pPr>
                          <a:lvl9pPr marL="4875947" algn="l" defTabSz="1218987" rtl="0" eaLnBrk="1" latinLnBrk="0" hangingPunct="1">
                            <a:defRPr sz="2400" kern="1200">
                              <a:solidFill>
                                <a:schemeClr val="tx1"/>
                              </a:solidFill>
                              <a:latin typeface="+mn-lt"/>
                              <a:ea typeface="+mn-ea"/>
                              <a:cs typeface="+mn-cs"/>
                            </a:defRPr>
                          </a:lvl9pPr>
                        </a:lstStyle>
                        <a:p>
                          <a:r>
                            <a:rPr lang="en-US" altLang="zh-CN" dirty="0" smtClean="0">
                              <a:latin typeface="Arial" pitchFamily="34" charset="0"/>
                              <a:cs typeface="Arial" pitchFamily="34" charset="0"/>
                            </a:rPr>
                            <a:t>Port 1</a:t>
                          </a:r>
                          <a:endParaRPr lang="zh-CN" altLang="en-US" dirty="0" err="1" smtClean="0">
                            <a:latin typeface="Arial" pitchFamily="34" charset="0"/>
                            <a:cs typeface="Arial" pitchFamily="34" charset="0"/>
                          </a:endParaRPr>
                        </a:p>
                      </a:txBody>
                      <a:useSpRect/>
                    </a:txSp>
                  </a:sp>
                  <a:sp>
                    <a:nvSpPr>
                      <a:cNvPr id="169" name="TextBox 168"/>
                      <a:cNvSpPr txBox="1"/>
                    </a:nvSpPr>
                    <a:spPr>
                      <a:xfrm rot="16200000">
                        <a:off x="5359713" y="2878145"/>
                        <a:ext cx="3892958" cy="707886"/>
                      </a:xfrm>
                      <a:prstGeom prst="rect">
                        <a:avLst/>
                      </a:prstGeom>
                      <a:noFill/>
                    </a:spPr>
                    <a:txSp>
                      <a:txBody>
                        <a:bodyPr wrap="square" rtlCol="0">
                          <a:spAutoFit/>
                        </a:bodyPr>
                        <a:lstStyle>
                          <a:defPPr>
                            <a:defRPr lang="en-US"/>
                          </a:defPPr>
                          <a:lvl1pPr marL="0" algn="l" defTabSz="1218987" rtl="0" eaLnBrk="1" latinLnBrk="0" hangingPunct="1">
                            <a:defRPr sz="2400" kern="1200">
                              <a:solidFill>
                                <a:schemeClr val="tx1"/>
                              </a:solidFill>
                              <a:latin typeface="+mn-lt"/>
                              <a:ea typeface="+mn-ea"/>
                              <a:cs typeface="+mn-cs"/>
                            </a:defRPr>
                          </a:lvl1pPr>
                          <a:lvl2pPr marL="609493" algn="l" defTabSz="1218987" rtl="0" eaLnBrk="1" latinLnBrk="0" hangingPunct="1">
                            <a:defRPr sz="2400" kern="1200">
                              <a:solidFill>
                                <a:schemeClr val="tx1"/>
                              </a:solidFill>
                              <a:latin typeface="+mn-lt"/>
                              <a:ea typeface="+mn-ea"/>
                              <a:cs typeface="+mn-cs"/>
                            </a:defRPr>
                          </a:lvl2pPr>
                          <a:lvl3pPr marL="1218987" algn="l" defTabSz="1218987" rtl="0" eaLnBrk="1" latinLnBrk="0" hangingPunct="1">
                            <a:defRPr sz="2400" kern="1200">
                              <a:solidFill>
                                <a:schemeClr val="tx1"/>
                              </a:solidFill>
                              <a:latin typeface="+mn-lt"/>
                              <a:ea typeface="+mn-ea"/>
                              <a:cs typeface="+mn-cs"/>
                            </a:defRPr>
                          </a:lvl3pPr>
                          <a:lvl4pPr marL="1828480" algn="l" defTabSz="1218987" rtl="0" eaLnBrk="1" latinLnBrk="0" hangingPunct="1">
                            <a:defRPr sz="2400" kern="1200">
                              <a:solidFill>
                                <a:schemeClr val="tx1"/>
                              </a:solidFill>
                              <a:latin typeface="+mn-lt"/>
                              <a:ea typeface="+mn-ea"/>
                              <a:cs typeface="+mn-cs"/>
                            </a:defRPr>
                          </a:lvl4pPr>
                          <a:lvl5pPr marL="2437973" algn="l" defTabSz="1218987" rtl="0" eaLnBrk="1" latinLnBrk="0" hangingPunct="1">
                            <a:defRPr sz="2400" kern="1200">
                              <a:solidFill>
                                <a:schemeClr val="tx1"/>
                              </a:solidFill>
                              <a:latin typeface="+mn-lt"/>
                              <a:ea typeface="+mn-ea"/>
                              <a:cs typeface="+mn-cs"/>
                            </a:defRPr>
                          </a:lvl5pPr>
                          <a:lvl6pPr marL="3047467" algn="l" defTabSz="1218987" rtl="0" eaLnBrk="1" latinLnBrk="0" hangingPunct="1">
                            <a:defRPr sz="2400" kern="1200">
                              <a:solidFill>
                                <a:schemeClr val="tx1"/>
                              </a:solidFill>
                              <a:latin typeface="+mn-lt"/>
                              <a:ea typeface="+mn-ea"/>
                              <a:cs typeface="+mn-cs"/>
                            </a:defRPr>
                          </a:lvl6pPr>
                          <a:lvl7pPr marL="3656960" algn="l" defTabSz="1218987" rtl="0" eaLnBrk="1" latinLnBrk="0" hangingPunct="1">
                            <a:defRPr sz="2400" kern="1200">
                              <a:solidFill>
                                <a:schemeClr val="tx1"/>
                              </a:solidFill>
                              <a:latin typeface="+mn-lt"/>
                              <a:ea typeface="+mn-ea"/>
                              <a:cs typeface="+mn-cs"/>
                            </a:defRPr>
                          </a:lvl7pPr>
                          <a:lvl8pPr marL="4266453" algn="l" defTabSz="1218987" rtl="0" eaLnBrk="1" latinLnBrk="0" hangingPunct="1">
                            <a:defRPr sz="2400" kern="1200">
                              <a:solidFill>
                                <a:schemeClr val="tx1"/>
                              </a:solidFill>
                              <a:latin typeface="+mn-lt"/>
                              <a:ea typeface="+mn-ea"/>
                              <a:cs typeface="+mn-cs"/>
                            </a:defRPr>
                          </a:lvl8pPr>
                          <a:lvl9pPr marL="4875947" algn="l" defTabSz="1218987" rtl="0" eaLnBrk="1" latinLnBrk="0" hangingPunct="1">
                            <a:defRPr sz="2400" kern="1200">
                              <a:solidFill>
                                <a:schemeClr val="tx1"/>
                              </a:solidFill>
                              <a:latin typeface="+mn-lt"/>
                              <a:ea typeface="+mn-ea"/>
                              <a:cs typeface="+mn-cs"/>
                            </a:defRPr>
                          </a:lvl9pPr>
                        </a:lstStyle>
                        <a:p>
                          <a:pPr algn="ctr"/>
                          <a:r>
                            <a:rPr lang="en-US" altLang="zh-CN" sz="2000" dirty="0" err="1" smtClean="0">
                              <a:latin typeface="Arial" pitchFamily="34" charset="0"/>
                              <a:cs typeface="Arial" pitchFamily="34" charset="0"/>
                            </a:rPr>
                            <a:t>Subband</a:t>
                          </a:r>
                          <a:endParaRPr lang="en-US" altLang="zh-CN" sz="2000" dirty="0" smtClean="0">
                            <a:latin typeface="Arial" pitchFamily="34" charset="0"/>
                            <a:cs typeface="Arial" pitchFamily="34" charset="0"/>
                          </a:endParaRPr>
                        </a:p>
                        <a:p>
                          <a:pPr algn="ctr"/>
                          <a:r>
                            <a:rPr lang="en-US" altLang="zh-CN" sz="2000" dirty="0" smtClean="0">
                              <a:latin typeface="Arial" pitchFamily="34" charset="0"/>
                              <a:cs typeface="Arial" pitchFamily="34" charset="0"/>
                            </a:rPr>
                            <a:t>0      1       2       3	4       5</a:t>
                          </a:r>
                          <a:endParaRPr lang="zh-CN" altLang="en-US" sz="2000" dirty="0" err="1" smtClean="0">
                            <a:latin typeface="Arial" pitchFamily="34" charset="0"/>
                            <a:cs typeface="Arial" pitchFamily="34" charset="0"/>
                          </a:endParaRPr>
                        </a:p>
                      </a:txBody>
                      <a:useSpRect/>
                    </a:txSp>
                  </a:sp>
                </lc:lockedCanvas>
              </a:graphicData>
            </a:graphic>
          </wp:inline>
        </w:drawing>
      </w:r>
    </w:p>
    <w:p w:rsidR="006F53CE" w:rsidRDefault="006F53CE" w:rsidP="008B3A87">
      <w:pPr>
        <w:keepNext/>
        <w:autoSpaceDE/>
        <w:autoSpaceDN/>
        <w:adjustRightInd/>
        <w:snapToGrid/>
        <w:spacing w:after="0"/>
        <w:jc w:val="center"/>
      </w:pPr>
    </w:p>
    <w:p w:rsidR="00F40847" w:rsidRPr="00F61183" w:rsidRDefault="008B3A87" w:rsidP="008B3A87">
      <w:pPr>
        <w:pStyle w:val="Caption"/>
        <w:rPr>
          <w:szCs w:val="22"/>
        </w:rPr>
      </w:pPr>
      <w:proofErr w:type="gramStart"/>
      <w:r>
        <w:t xml:space="preserve">Figure </w:t>
      </w:r>
      <w:fldSimple w:instr=" SEQ Figure \* ARABIC ">
        <w:r>
          <w:rPr>
            <w:noProof/>
          </w:rPr>
          <w:t>3</w:t>
        </w:r>
      </w:fldSimple>
      <w:r>
        <w:t>.</w:t>
      </w:r>
      <w:proofErr w:type="gramEnd"/>
      <w:r>
        <w:t xml:space="preserve"> </w:t>
      </w:r>
      <w:proofErr w:type="gramStart"/>
      <w:r>
        <w:t xml:space="preserve">Multi-symbol SRS configurations for 2 antenna ports and 4 </w:t>
      </w:r>
      <w:proofErr w:type="spellStart"/>
      <w:r>
        <w:t>subbands</w:t>
      </w:r>
      <w:proofErr w:type="spellEnd"/>
      <w:r>
        <w:t>.</w:t>
      </w:r>
      <w:proofErr w:type="gramEnd"/>
      <w:r>
        <w:t xml:space="preserve"> </w:t>
      </w:r>
    </w:p>
    <w:p w:rsidR="00F61183" w:rsidRDefault="00F61183" w:rsidP="00336CEB">
      <w:pPr>
        <w:rPr>
          <w:sz w:val="20"/>
        </w:rPr>
      </w:pPr>
      <w:r>
        <w:rPr>
          <w:sz w:val="20"/>
        </w:rPr>
        <w:t xml:space="preserve"> </w:t>
      </w:r>
    </w:p>
    <w:p w:rsidR="00AF51D1" w:rsidRDefault="001D6DFD" w:rsidP="007E5F11">
      <w:pPr>
        <w:rPr>
          <w:sz w:val="20"/>
        </w:rPr>
      </w:pPr>
      <w:r>
        <w:rPr>
          <w:sz w:val="20"/>
        </w:rPr>
        <w:lastRenderedPageBreak/>
        <w:t xml:space="preserve">The configuration to the left applies when the two SRS ports cannot transmit in the same OFDM symbol, either because of the limitation of analog </w:t>
      </w:r>
      <w:proofErr w:type="spellStart"/>
      <w:proofErr w:type="gramStart"/>
      <w:r>
        <w:rPr>
          <w:sz w:val="20"/>
        </w:rPr>
        <w:t>beamforming</w:t>
      </w:r>
      <w:proofErr w:type="spellEnd"/>
      <w:r>
        <w:rPr>
          <w:sz w:val="20"/>
        </w:rPr>
        <w:t>,</w:t>
      </w:r>
      <w:proofErr w:type="gramEnd"/>
      <w:r>
        <w:rPr>
          <w:sz w:val="20"/>
        </w:rPr>
        <w:t xml:space="preserve"> or because of the limited power budget</w:t>
      </w:r>
      <w:r w:rsidR="000B3565">
        <w:rPr>
          <w:sz w:val="20"/>
        </w:rPr>
        <w:t xml:space="preserve"> when they are subject to </w:t>
      </w:r>
      <w:r w:rsidR="00025198">
        <w:rPr>
          <w:sz w:val="20"/>
        </w:rPr>
        <w:t xml:space="preserve">a </w:t>
      </w:r>
      <w:r w:rsidR="000B3565">
        <w:rPr>
          <w:sz w:val="20"/>
        </w:rPr>
        <w:t>total power constraint</w:t>
      </w:r>
      <w:r>
        <w:rPr>
          <w:sz w:val="20"/>
        </w:rPr>
        <w:t xml:space="preserve">. The latter case could happen when full digital TX </w:t>
      </w:r>
      <w:proofErr w:type="spellStart"/>
      <w:r>
        <w:rPr>
          <w:sz w:val="20"/>
        </w:rPr>
        <w:t>beamforming</w:t>
      </w:r>
      <w:proofErr w:type="spellEnd"/>
      <w:r>
        <w:rPr>
          <w:sz w:val="20"/>
        </w:rPr>
        <w:t xml:space="preserve"> is used at the UE, where two digital beams can be transmitted at the same time but subject to the total power limit. The configuration to the right applies when the </w:t>
      </w:r>
      <w:r w:rsidR="006F53CE">
        <w:rPr>
          <w:sz w:val="20"/>
        </w:rPr>
        <w:t xml:space="preserve">two ports can transmit at the same time, and they </w:t>
      </w:r>
      <w:r w:rsidR="000B3565">
        <w:rPr>
          <w:sz w:val="20"/>
        </w:rPr>
        <w:t>have separate RF chains</w:t>
      </w:r>
      <w:r w:rsidR="006F53CE">
        <w:rPr>
          <w:sz w:val="20"/>
        </w:rPr>
        <w:t xml:space="preserve"> </w:t>
      </w:r>
      <w:r w:rsidR="000B3565">
        <w:rPr>
          <w:sz w:val="20"/>
        </w:rPr>
        <w:t xml:space="preserve">and </w:t>
      </w:r>
      <w:r w:rsidR="006F53CE">
        <w:rPr>
          <w:sz w:val="20"/>
        </w:rPr>
        <w:t xml:space="preserve">subject to individual transmission power constraint. </w:t>
      </w:r>
    </w:p>
    <w:p w:rsidR="00AF51D1" w:rsidRPr="008B6F4F" w:rsidRDefault="00AF51D1" w:rsidP="00336CEB">
      <w:pPr>
        <w:rPr>
          <w:i/>
          <w:sz w:val="20"/>
        </w:rPr>
      </w:pPr>
    </w:p>
    <w:p w:rsidR="008B6F4F" w:rsidRPr="008B6F4F" w:rsidRDefault="008B6F4F" w:rsidP="00336CEB">
      <w:pPr>
        <w:rPr>
          <w:b/>
          <w:i/>
          <w:sz w:val="20"/>
        </w:rPr>
      </w:pPr>
      <w:r w:rsidRPr="008B6F4F">
        <w:rPr>
          <w:b/>
          <w:i/>
          <w:sz w:val="20"/>
        </w:rPr>
        <w:t>Observation 2</w:t>
      </w:r>
      <w:r w:rsidRPr="008B6F4F">
        <w:rPr>
          <w:i/>
          <w:sz w:val="20"/>
        </w:rPr>
        <w:t xml:space="preserve">: </w:t>
      </w:r>
      <w:proofErr w:type="spellStart"/>
      <w:r w:rsidRPr="008B6F4F">
        <w:rPr>
          <w:b/>
          <w:i/>
          <w:sz w:val="20"/>
        </w:rPr>
        <w:t>Subband</w:t>
      </w:r>
      <w:proofErr w:type="spellEnd"/>
      <w:r w:rsidRPr="008B6F4F">
        <w:rPr>
          <w:b/>
          <w:i/>
          <w:sz w:val="20"/>
        </w:rPr>
        <w:t xml:space="preserve"> transmissions from multiple SRS ports are subject to additional constraints transparent to </w:t>
      </w:r>
      <w:r w:rsidR="00025198">
        <w:rPr>
          <w:b/>
          <w:i/>
          <w:sz w:val="20"/>
        </w:rPr>
        <w:t xml:space="preserve">the </w:t>
      </w:r>
      <w:proofErr w:type="spellStart"/>
      <w:r w:rsidRPr="008B6F4F">
        <w:rPr>
          <w:b/>
          <w:i/>
          <w:sz w:val="20"/>
        </w:rPr>
        <w:t>gNB</w:t>
      </w:r>
      <w:proofErr w:type="spellEnd"/>
      <w:r w:rsidRPr="008B6F4F">
        <w:rPr>
          <w:b/>
          <w:i/>
          <w:sz w:val="20"/>
        </w:rPr>
        <w:t>.</w:t>
      </w:r>
    </w:p>
    <w:p w:rsidR="008B6F4F" w:rsidRDefault="008B6F4F" w:rsidP="00336CEB">
      <w:pPr>
        <w:rPr>
          <w:i/>
          <w:sz w:val="20"/>
        </w:rPr>
      </w:pPr>
    </w:p>
    <w:p w:rsidR="00DD5784" w:rsidRDefault="000B3565" w:rsidP="000501E1">
      <w:pPr>
        <w:rPr>
          <w:sz w:val="20"/>
        </w:rPr>
      </w:pPr>
      <w:r>
        <w:rPr>
          <w:sz w:val="20"/>
        </w:rPr>
        <w:t>Because the detailed UE antenna configuration</w:t>
      </w:r>
      <w:r w:rsidR="000501E1">
        <w:rPr>
          <w:sz w:val="20"/>
        </w:rPr>
        <w:t xml:space="preserve"> and the limitations</w:t>
      </w:r>
      <w:r>
        <w:rPr>
          <w:sz w:val="20"/>
        </w:rPr>
        <w:t xml:space="preserve"> </w:t>
      </w:r>
      <w:r w:rsidR="000501E1">
        <w:rPr>
          <w:sz w:val="20"/>
        </w:rPr>
        <w:t>are</w:t>
      </w:r>
      <w:r>
        <w:rPr>
          <w:sz w:val="20"/>
        </w:rPr>
        <w:t xml:space="preserve"> transparent to </w:t>
      </w:r>
      <w:proofErr w:type="spellStart"/>
      <w:r>
        <w:rPr>
          <w:sz w:val="20"/>
        </w:rPr>
        <w:t>gNB</w:t>
      </w:r>
      <w:proofErr w:type="spellEnd"/>
      <w:r>
        <w:rPr>
          <w:sz w:val="20"/>
        </w:rPr>
        <w:t xml:space="preserve">, </w:t>
      </w:r>
      <w:r w:rsidR="00025198">
        <w:rPr>
          <w:sz w:val="20"/>
        </w:rPr>
        <w:t xml:space="preserve">the </w:t>
      </w:r>
      <w:r>
        <w:rPr>
          <w:sz w:val="20"/>
        </w:rPr>
        <w:t xml:space="preserve">UE </w:t>
      </w:r>
      <w:r w:rsidR="000501E1">
        <w:rPr>
          <w:sz w:val="20"/>
        </w:rPr>
        <w:t>need</w:t>
      </w:r>
      <w:r w:rsidR="00025198">
        <w:rPr>
          <w:sz w:val="20"/>
        </w:rPr>
        <w:t>s</w:t>
      </w:r>
      <w:r w:rsidR="000501E1">
        <w:rPr>
          <w:sz w:val="20"/>
        </w:rPr>
        <w:t xml:space="preserve"> to</w:t>
      </w:r>
      <w:r>
        <w:rPr>
          <w:sz w:val="20"/>
        </w:rPr>
        <w:t xml:space="preserve"> signal the supported SRS configuration across multiple </w:t>
      </w:r>
      <w:proofErr w:type="spellStart"/>
      <w:r>
        <w:rPr>
          <w:sz w:val="20"/>
        </w:rPr>
        <w:t>subbands</w:t>
      </w:r>
      <w:proofErr w:type="spellEnd"/>
      <w:r>
        <w:rPr>
          <w:sz w:val="20"/>
        </w:rPr>
        <w:t xml:space="preserve">, multiple symbols and multiple antenna ports to </w:t>
      </w:r>
      <w:r w:rsidR="00025198">
        <w:rPr>
          <w:sz w:val="20"/>
        </w:rPr>
        <w:t xml:space="preserve">the </w:t>
      </w:r>
      <w:proofErr w:type="spellStart"/>
      <w:r>
        <w:rPr>
          <w:sz w:val="20"/>
        </w:rPr>
        <w:t>gNB</w:t>
      </w:r>
      <w:proofErr w:type="spellEnd"/>
      <w:r>
        <w:rPr>
          <w:sz w:val="20"/>
        </w:rPr>
        <w:t xml:space="preserve"> through RRC configuration. </w:t>
      </w:r>
      <w:r w:rsidR="000501E1">
        <w:rPr>
          <w:sz w:val="20"/>
        </w:rPr>
        <w:t>T</w:t>
      </w:r>
      <w:r w:rsidR="00DD5784">
        <w:rPr>
          <w:sz w:val="20"/>
        </w:rPr>
        <w:t xml:space="preserve">he </w:t>
      </w:r>
      <w:proofErr w:type="spellStart"/>
      <w:r w:rsidR="00DD5784">
        <w:rPr>
          <w:sz w:val="20"/>
        </w:rPr>
        <w:t>gNB</w:t>
      </w:r>
      <w:proofErr w:type="spellEnd"/>
      <w:r w:rsidR="00DD5784">
        <w:rPr>
          <w:sz w:val="20"/>
        </w:rPr>
        <w:t xml:space="preserve"> can assign SRS resources </w:t>
      </w:r>
      <w:r w:rsidR="000501E1">
        <w:rPr>
          <w:sz w:val="20"/>
        </w:rPr>
        <w:t xml:space="preserve">based on these constraints </w:t>
      </w:r>
      <w:r w:rsidR="00DD5784">
        <w:rPr>
          <w:sz w:val="20"/>
        </w:rPr>
        <w:t>accordingly. Therefore we proposal the following:</w:t>
      </w:r>
    </w:p>
    <w:p w:rsidR="00DD5784" w:rsidRPr="00DD5784" w:rsidRDefault="00DD5784" w:rsidP="00336CEB">
      <w:pPr>
        <w:rPr>
          <w:sz w:val="20"/>
        </w:rPr>
      </w:pPr>
    </w:p>
    <w:p w:rsidR="008B6F4F" w:rsidRDefault="008B6F4F" w:rsidP="008B6F4F">
      <w:pPr>
        <w:rPr>
          <w:sz w:val="20"/>
        </w:rPr>
      </w:pPr>
      <w:r w:rsidRPr="00634512">
        <w:rPr>
          <w:b/>
          <w:i/>
          <w:sz w:val="20"/>
        </w:rPr>
        <w:t>Proposal</w:t>
      </w:r>
      <w:r>
        <w:rPr>
          <w:b/>
          <w:i/>
          <w:sz w:val="20"/>
        </w:rPr>
        <w:t>1</w:t>
      </w:r>
      <w:r w:rsidRPr="00634512">
        <w:rPr>
          <w:b/>
          <w:i/>
          <w:sz w:val="20"/>
        </w:rPr>
        <w:t xml:space="preserve">: </w:t>
      </w:r>
      <w:r w:rsidR="00DD5784">
        <w:rPr>
          <w:b/>
          <w:i/>
          <w:sz w:val="20"/>
        </w:rPr>
        <w:t>S</w:t>
      </w:r>
      <w:r w:rsidRPr="00634512">
        <w:rPr>
          <w:b/>
          <w:i/>
          <w:sz w:val="20"/>
        </w:rPr>
        <w:t xml:space="preserve">upport </w:t>
      </w:r>
      <w:r>
        <w:rPr>
          <w:b/>
          <w:i/>
          <w:sz w:val="20"/>
        </w:rPr>
        <w:t xml:space="preserve">UE </w:t>
      </w:r>
      <w:r w:rsidRPr="00634512">
        <w:rPr>
          <w:b/>
          <w:i/>
          <w:sz w:val="20"/>
        </w:rPr>
        <w:t>signaling of the number of SRS symbols needed to transmit a given number of SRS ports</w:t>
      </w:r>
      <w:r>
        <w:rPr>
          <w:sz w:val="20"/>
        </w:rPr>
        <w:t xml:space="preserve">. </w:t>
      </w:r>
    </w:p>
    <w:p w:rsidR="00336CEB" w:rsidRDefault="00336CEB" w:rsidP="00336CEB"/>
    <w:p w:rsidR="00035368" w:rsidRDefault="003338C3" w:rsidP="00336CEB">
      <w:pPr>
        <w:rPr>
          <w:sz w:val="20"/>
        </w:rPr>
      </w:pPr>
      <w:r w:rsidRPr="003338C3">
        <w:rPr>
          <w:sz w:val="20"/>
        </w:rPr>
        <w:t>The SRS for CSI acquisition and beam management</w:t>
      </w:r>
      <w:r>
        <w:rPr>
          <w:sz w:val="20"/>
        </w:rPr>
        <w:t xml:space="preserve"> </w:t>
      </w:r>
      <w:r w:rsidR="00A75EF3">
        <w:rPr>
          <w:sz w:val="20"/>
        </w:rPr>
        <w:t xml:space="preserve">often have different requirements. For CSI acquisition, fine granularity in the frequency domain, i.e. small comb value, should be used. CSI acquisition SRS often are sent in a </w:t>
      </w:r>
      <w:proofErr w:type="spellStart"/>
      <w:r w:rsidR="00A75EF3">
        <w:rPr>
          <w:sz w:val="20"/>
        </w:rPr>
        <w:t>subband</w:t>
      </w:r>
      <w:proofErr w:type="spellEnd"/>
      <w:r w:rsidR="00A75EF3">
        <w:rPr>
          <w:sz w:val="20"/>
        </w:rPr>
        <w:t>. SRS for beam management are usually sent over wide bandwidth and with coarse granularity in the frequency domain. Different numerologies can be used for SRS for CSI acquisitions a</w:t>
      </w:r>
      <w:r w:rsidR="00035368">
        <w:rPr>
          <w:sz w:val="20"/>
        </w:rPr>
        <w:t xml:space="preserve">nd for SRS for beam management. They may also be configured with different transmission mode (periodic, </w:t>
      </w:r>
      <w:proofErr w:type="spellStart"/>
      <w:r w:rsidR="00035368">
        <w:rPr>
          <w:sz w:val="20"/>
        </w:rPr>
        <w:t>aperiodic</w:t>
      </w:r>
      <w:proofErr w:type="spellEnd"/>
      <w:r w:rsidR="00035368">
        <w:rPr>
          <w:sz w:val="20"/>
        </w:rPr>
        <w:t>, and semi-persistent).</w:t>
      </w:r>
    </w:p>
    <w:p w:rsidR="00035368" w:rsidRDefault="00035368" w:rsidP="00336CEB">
      <w:pPr>
        <w:rPr>
          <w:sz w:val="20"/>
        </w:rPr>
      </w:pPr>
    </w:p>
    <w:p w:rsidR="003338C3" w:rsidRPr="00035368" w:rsidRDefault="00035368" w:rsidP="00336CEB">
      <w:pPr>
        <w:rPr>
          <w:b/>
          <w:i/>
          <w:sz w:val="20"/>
        </w:rPr>
      </w:pPr>
      <w:r w:rsidRPr="00035368">
        <w:rPr>
          <w:b/>
          <w:i/>
          <w:sz w:val="20"/>
        </w:rPr>
        <w:t>Observation</w:t>
      </w:r>
      <w:r w:rsidR="007674BB">
        <w:rPr>
          <w:b/>
          <w:i/>
          <w:sz w:val="20"/>
        </w:rPr>
        <w:t xml:space="preserve"> 3</w:t>
      </w:r>
      <w:r w:rsidRPr="00035368">
        <w:rPr>
          <w:b/>
          <w:i/>
          <w:sz w:val="20"/>
        </w:rPr>
        <w:t>: SRS for CSI acquisition and beam management often have different requirements and need different configurations, including bandwidth, comb level, numerology, and transmission mode.</w:t>
      </w:r>
    </w:p>
    <w:p w:rsidR="00462EB3" w:rsidRDefault="00462EB3" w:rsidP="00336CEB"/>
    <w:p w:rsidR="00462EB3" w:rsidRDefault="00462EB3" w:rsidP="00336CEB">
      <w:pPr>
        <w:rPr>
          <w:sz w:val="20"/>
        </w:rPr>
      </w:pPr>
      <w:r>
        <w:rPr>
          <w:sz w:val="20"/>
        </w:rPr>
        <w:t>In the January NR ad hoc meeting, it was agreed that the number of SRS ports supported are 1</w:t>
      </w:r>
      <w:proofErr w:type="gramStart"/>
      <w:r>
        <w:rPr>
          <w:sz w:val="20"/>
        </w:rPr>
        <w:t>,2,4</w:t>
      </w:r>
      <w:proofErr w:type="gramEnd"/>
      <w:r>
        <w:rPr>
          <w:sz w:val="20"/>
        </w:rPr>
        <w:t>, with the value 3 and 8 as FFS. Considering the need for CSI acquisition and beam management, we believe 4 SRS ports may not always meet the requirement for SRS. Therefore we propose to increase the number of SRS ports up to 8.</w:t>
      </w:r>
    </w:p>
    <w:p w:rsidR="00462EB3" w:rsidRPr="00462EB3" w:rsidRDefault="00462EB3" w:rsidP="00336CEB">
      <w:pPr>
        <w:rPr>
          <w:b/>
          <w:i/>
          <w:sz w:val="20"/>
        </w:rPr>
      </w:pPr>
    </w:p>
    <w:p w:rsidR="00035368" w:rsidRPr="00035368" w:rsidRDefault="008F6CDE" w:rsidP="00336CEB">
      <w:pPr>
        <w:rPr>
          <w:sz w:val="20"/>
        </w:rPr>
      </w:pPr>
      <w:r>
        <w:rPr>
          <w:b/>
          <w:i/>
          <w:sz w:val="20"/>
        </w:rPr>
        <w:t>Proposal 2: Support 8</w:t>
      </w:r>
      <w:r w:rsidR="00462EB3" w:rsidRPr="00462EB3">
        <w:rPr>
          <w:b/>
          <w:i/>
          <w:sz w:val="20"/>
        </w:rPr>
        <w:t xml:space="preserve"> SRS ports.</w:t>
      </w:r>
      <w:r w:rsidR="00462EB3">
        <w:rPr>
          <w:sz w:val="20"/>
        </w:rPr>
        <w:t xml:space="preserve"> </w:t>
      </w:r>
    </w:p>
    <w:p w:rsidR="00035368" w:rsidRPr="00336CEB" w:rsidRDefault="00035368" w:rsidP="00336CEB"/>
    <w:p w:rsidR="0082623E" w:rsidRPr="00F3645B" w:rsidRDefault="0082623E" w:rsidP="002A5A92">
      <w:pPr>
        <w:pStyle w:val="Heading1"/>
        <w:rPr>
          <w:rFonts w:ascii="Arial" w:hAnsi="Arial" w:cs="Arial"/>
          <w:lang w:eastAsia="zh-CN"/>
        </w:rPr>
      </w:pPr>
      <w:r w:rsidRPr="00F3645B">
        <w:rPr>
          <w:rFonts w:ascii="Arial" w:hAnsi="Arial" w:cs="Arial"/>
          <w:lang w:eastAsia="zh-CN"/>
        </w:rPr>
        <w:t>Conclusion</w:t>
      </w:r>
    </w:p>
    <w:p w:rsidR="00514E7D" w:rsidRPr="004E1004" w:rsidRDefault="004D7610" w:rsidP="00ED0B0C">
      <w:pPr>
        <w:spacing w:before="120"/>
        <w:rPr>
          <w:b/>
          <w:i/>
          <w:sz w:val="20"/>
          <w:szCs w:val="20"/>
          <w:lang w:val="en-GB" w:eastAsia="zh-CN"/>
        </w:rPr>
      </w:pPr>
      <w:r w:rsidRPr="004D7610">
        <w:rPr>
          <w:kern w:val="2"/>
          <w:sz w:val="20"/>
          <w:szCs w:val="20"/>
        </w:rPr>
        <w:t xml:space="preserve">In this contribution, </w:t>
      </w:r>
      <w:r w:rsidR="00634512">
        <w:rPr>
          <w:kern w:val="2"/>
          <w:sz w:val="20"/>
          <w:szCs w:val="20"/>
        </w:rPr>
        <w:t xml:space="preserve">we discussed the use of SRS for beam management </w:t>
      </w:r>
      <w:r w:rsidR="008F6CDE">
        <w:rPr>
          <w:kern w:val="2"/>
          <w:sz w:val="20"/>
          <w:szCs w:val="20"/>
        </w:rPr>
        <w:t>and CSI acquisition</w:t>
      </w:r>
      <w:r w:rsidR="003D37B9">
        <w:rPr>
          <w:kern w:val="2"/>
          <w:sz w:val="20"/>
          <w:szCs w:val="20"/>
        </w:rPr>
        <w:t>, and limitations at the UE TX side on</w:t>
      </w:r>
      <w:r w:rsidR="00634512">
        <w:rPr>
          <w:kern w:val="2"/>
          <w:sz w:val="20"/>
          <w:szCs w:val="20"/>
        </w:rPr>
        <w:t xml:space="preserve"> </w:t>
      </w:r>
      <w:r w:rsidR="003D37B9">
        <w:rPr>
          <w:kern w:val="2"/>
          <w:sz w:val="20"/>
          <w:szCs w:val="20"/>
        </w:rPr>
        <w:t>t</w:t>
      </w:r>
      <w:r w:rsidR="008F6CDE">
        <w:rPr>
          <w:kern w:val="2"/>
          <w:sz w:val="20"/>
          <w:szCs w:val="20"/>
        </w:rPr>
        <w:t xml:space="preserve">ransmission of SRS in multiple </w:t>
      </w:r>
      <w:proofErr w:type="spellStart"/>
      <w:r w:rsidR="008F6CDE">
        <w:rPr>
          <w:kern w:val="2"/>
          <w:sz w:val="20"/>
          <w:szCs w:val="20"/>
        </w:rPr>
        <w:t>subband</w:t>
      </w:r>
      <w:r w:rsidR="003D37B9">
        <w:rPr>
          <w:kern w:val="2"/>
          <w:sz w:val="20"/>
          <w:szCs w:val="20"/>
        </w:rPr>
        <w:t>s</w:t>
      </w:r>
      <w:proofErr w:type="spellEnd"/>
      <w:r w:rsidR="008F6CDE">
        <w:rPr>
          <w:kern w:val="2"/>
          <w:sz w:val="20"/>
          <w:szCs w:val="20"/>
        </w:rPr>
        <w:t xml:space="preserve"> and multiple ports</w:t>
      </w:r>
      <w:r w:rsidR="003D37B9">
        <w:rPr>
          <w:kern w:val="2"/>
          <w:sz w:val="20"/>
          <w:szCs w:val="20"/>
        </w:rPr>
        <w:t>. We</w:t>
      </w:r>
      <w:r w:rsidR="00D9068E">
        <w:rPr>
          <w:kern w:val="2"/>
          <w:sz w:val="20"/>
          <w:szCs w:val="20"/>
        </w:rPr>
        <w:t xml:space="preserve"> </w:t>
      </w:r>
      <w:r w:rsidR="003D37B9">
        <w:rPr>
          <w:kern w:val="2"/>
          <w:sz w:val="20"/>
          <w:szCs w:val="20"/>
        </w:rPr>
        <w:t>have made the following the following observations and proposals:</w:t>
      </w:r>
    </w:p>
    <w:p w:rsidR="00653083" w:rsidRDefault="00653083" w:rsidP="00653083">
      <w:pPr>
        <w:rPr>
          <w:b/>
          <w:i/>
          <w:sz w:val="20"/>
        </w:rPr>
      </w:pPr>
    </w:p>
    <w:p w:rsidR="00653083" w:rsidRPr="008B6F4F" w:rsidRDefault="00653083" w:rsidP="00653083">
      <w:pPr>
        <w:rPr>
          <w:b/>
          <w:i/>
          <w:sz w:val="20"/>
        </w:rPr>
      </w:pPr>
      <w:r w:rsidRPr="008B6F4F">
        <w:rPr>
          <w:b/>
          <w:i/>
          <w:sz w:val="20"/>
        </w:rPr>
        <w:t>Observation 1</w:t>
      </w:r>
      <w:r w:rsidRPr="008B6F4F">
        <w:rPr>
          <w:i/>
          <w:sz w:val="20"/>
        </w:rPr>
        <w:t xml:space="preserve">: </w:t>
      </w:r>
      <w:r w:rsidRPr="008B6F4F">
        <w:rPr>
          <w:b/>
          <w:i/>
          <w:sz w:val="20"/>
        </w:rPr>
        <w:t xml:space="preserve">Different UE transmitter implementations may have different constraints on the number of SRS ports simultaneously transmitted. </w:t>
      </w:r>
    </w:p>
    <w:p w:rsidR="007674BB" w:rsidRPr="008B6F4F" w:rsidRDefault="007674BB" w:rsidP="007674BB">
      <w:pPr>
        <w:rPr>
          <w:b/>
          <w:i/>
          <w:sz w:val="20"/>
        </w:rPr>
      </w:pPr>
      <w:r w:rsidRPr="008B6F4F">
        <w:rPr>
          <w:b/>
          <w:i/>
          <w:sz w:val="20"/>
        </w:rPr>
        <w:t>Observation 2</w:t>
      </w:r>
      <w:r w:rsidRPr="008B6F4F">
        <w:rPr>
          <w:i/>
          <w:sz w:val="20"/>
        </w:rPr>
        <w:t xml:space="preserve">: </w:t>
      </w:r>
      <w:proofErr w:type="spellStart"/>
      <w:r w:rsidRPr="008B6F4F">
        <w:rPr>
          <w:b/>
          <w:i/>
          <w:sz w:val="20"/>
        </w:rPr>
        <w:t>Subband</w:t>
      </w:r>
      <w:proofErr w:type="spellEnd"/>
      <w:r w:rsidRPr="008B6F4F">
        <w:rPr>
          <w:b/>
          <w:i/>
          <w:sz w:val="20"/>
        </w:rPr>
        <w:t xml:space="preserve"> transmissions from multiple SRS ports are subject to additional constraints transparent to </w:t>
      </w:r>
      <w:proofErr w:type="spellStart"/>
      <w:r w:rsidRPr="008B6F4F">
        <w:rPr>
          <w:b/>
          <w:i/>
          <w:sz w:val="20"/>
        </w:rPr>
        <w:t>gNB</w:t>
      </w:r>
      <w:proofErr w:type="spellEnd"/>
      <w:r w:rsidRPr="008B6F4F">
        <w:rPr>
          <w:b/>
          <w:i/>
          <w:sz w:val="20"/>
        </w:rPr>
        <w:t>.</w:t>
      </w:r>
    </w:p>
    <w:p w:rsidR="00653083" w:rsidRPr="00035368" w:rsidRDefault="00653083" w:rsidP="00653083">
      <w:pPr>
        <w:rPr>
          <w:b/>
          <w:i/>
          <w:sz w:val="20"/>
        </w:rPr>
      </w:pPr>
      <w:r w:rsidRPr="00035368">
        <w:rPr>
          <w:b/>
          <w:i/>
          <w:sz w:val="20"/>
        </w:rPr>
        <w:t>Observation</w:t>
      </w:r>
      <w:r>
        <w:rPr>
          <w:b/>
          <w:i/>
          <w:sz w:val="20"/>
        </w:rPr>
        <w:t xml:space="preserve"> </w:t>
      </w:r>
      <w:r w:rsidR="007674BB">
        <w:rPr>
          <w:b/>
          <w:i/>
          <w:sz w:val="20"/>
        </w:rPr>
        <w:t>3</w:t>
      </w:r>
      <w:r w:rsidRPr="00035368">
        <w:rPr>
          <w:b/>
          <w:i/>
          <w:sz w:val="20"/>
        </w:rPr>
        <w:t>: SRS for CSI acquisition and beam management often have different requirements and need different configurations, including bandwidth, comb level, numerology, and transmission mode.</w:t>
      </w:r>
    </w:p>
    <w:p w:rsidR="007674BB" w:rsidRDefault="007674BB" w:rsidP="007674BB">
      <w:pPr>
        <w:rPr>
          <w:b/>
          <w:i/>
          <w:sz w:val="20"/>
        </w:rPr>
      </w:pPr>
    </w:p>
    <w:p w:rsidR="007674BB" w:rsidRDefault="007674BB" w:rsidP="007674BB">
      <w:pPr>
        <w:rPr>
          <w:sz w:val="20"/>
        </w:rPr>
      </w:pPr>
      <w:r w:rsidRPr="00634512">
        <w:rPr>
          <w:b/>
          <w:i/>
          <w:sz w:val="20"/>
        </w:rPr>
        <w:t>Proposal</w:t>
      </w:r>
      <w:r>
        <w:rPr>
          <w:b/>
          <w:i/>
          <w:sz w:val="20"/>
        </w:rPr>
        <w:t>1</w:t>
      </w:r>
      <w:r w:rsidRPr="00634512">
        <w:rPr>
          <w:b/>
          <w:i/>
          <w:sz w:val="20"/>
        </w:rPr>
        <w:t xml:space="preserve">: </w:t>
      </w:r>
      <w:r>
        <w:rPr>
          <w:b/>
          <w:i/>
          <w:sz w:val="20"/>
        </w:rPr>
        <w:t>S</w:t>
      </w:r>
      <w:r w:rsidRPr="00634512">
        <w:rPr>
          <w:b/>
          <w:i/>
          <w:sz w:val="20"/>
        </w:rPr>
        <w:t xml:space="preserve">upport </w:t>
      </w:r>
      <w:r>
        <w:rPr>
          <w:b/>
          <w:i/>
          <w:sz w:val="20"/>
        </w:rPr>
        <w:t xml:space="preserve">UE </w:t>
      </w:r>
      <w:r w:rsidRPr="00634512">
        <w:rPr>
          <w:b/>
          <w:i/>
          <w:sz w:val="20"/>
        </w:rPr>
        <w:t>signaling of the number of SRS symbols needed to transmit a given number of SRS ports</w:t>
      </w:r>
      <w:r>
        <w:rPr>
          <w:sz w:val="20"/>
        </w:rPr>
        <w:t xml:space="preserve">. </w:t>
      </w:r>
    </w:p>
    <w:p w:rsidR="008F6CDE" w:rsidRDefault="00653083" w:rsidP="00653083">
      <w:pPr>
        <w:rPr>
          <w:b/>
          <w:i/>
          <w:sz w:val="20"/>
        </w:rPr>
      </w:pPr>
      <w:r w:rsidRPr="00462EB3">
        <w:rPr>
          <w:b/>
          <w:i/>
          <w:sz w:val="20"/>
        </w:rPr>
        <w:t xml:space="preserve">Proposal 2: Support </w:t>
      </w:r>
      <w:r w:rsidR="008F6CDE">
        <w:rPr>
          <w:b/>
          <w:i/>
          <w:sz w:val="20"/>
        </w:rPr>
        <w:t>8 SRS ports.</w:t>
      </w:r>
    </w:p>
    <w:p w:rsidR="00111C6E" w:rsidRPr="00F3645B" w:rsidRDefault="00111C6E" w:rsidP="00A83CF6">
      <w:pPr>
        <w:pStyle w:val="Heading1"/>
        <w:numPr>
          <w:ilvl w:val="0"/>
          <w:numId w:val="0"/>
        </w:numPr>
        <w:rPr>
          <w:rFonts w:ascii="Arial" w:hAnsi="Arial" w:cs="Arial"/>
          <w:kern w:val="2"/>
          <w:lang w:eastAsia="zh-CN"/>
        </w:rPr>
      </w:pPr>
      <w:r w:rsidRPr="00F3645B">
        <w:rPr>
          <w:rFonts w:ascii="Arial" w:hAnsi="Arial" w:cs="Arial"/>
          <w:kern w:val="2"/>
          <w:lang w:eastAsia="zh-CN"/>
        </w:rPr>
        <w:lastRenderedPageBreak/>
        <w:t>Reference</w:t>
      </w:r>
      <w:r w:rsidR="00971F76" w:rsidRPr="00F3645B">
        <w:rPr>
          <w:rFonts w:ascii="Arial" w:hAnsi="Arial" w:cs="Arial"/>
          <w:kern w:val="2"/>
          <w:lang w:eastAsia="zh-CN"/>
        </w:rPr>
        <w:t>s</w:t>
      </w:r>
    </w:p>
    <w:p w:rsidR="00ED0B0C" w:rsidRDefault="00ED0B0C" w:rsidP="00F920B5">
      <w:pPr>
        <w:pStyle w:val="References"/>
      </w:pPr>
      <w:r>
        <w:t xml:space="preserve">3GPP TR38.802, </w:t>
      </w:r>
      <w:r w:rsidR="00053043">
        <w:t>“Study on new radio (NR) access technology: physical layer aspects”.</w:t>
      </w:r>
    </w:p>
    <w:p w:rsidR="00D86D0E" w:rsidRDefault="00D86D0E" w:rsidP="00F920B5">
      <w:pPr>
        <w:pStyle w:val="References"/>
      </w:pPr>
      <w:r>
        <w:t xml:space="preserve">Chairman’s </w:t>
      </w:r>
      <w:proofErr w:type="gramStart"/>
      <w:r>
        <w:t>notes, RAN1#86bis</w:t>
      </w:r>
      <w:proofErr w:type="gramEnd"/>
      <w:r>
        <w:t>.</w:t>
      </w:r>
    </w:p>
    <w:p w:rsidR="00F920B5" w:rsidRDefault="00035368" w:rsidP="00F920B5">
      <w:pPr>
        <w:pStyle w:val="References"/>
      </w:pPr>
      <w:r>
        <w:t>C</w:t>
      </w:r>
      <w:r w:rsidR="00F920B5">
        <w:t>hairman’s</w:t>
      </w:r>
      <w:r w:rsidR="00F920B5" w:rsidRPr="00F920B5">
        <w:t xml:space="preserve"> </w:t>
      </w:r>
      <w:r w:rsidR="00F920B5">
        <w:t>notes</w:t>
      </w:r>
      <w:r w:rsidR="00D9068E">
        <w:t>,</w:t>
      </w:r>
      <w:r w:rsidR="00BA3332">
        <w:t xml:space="preserve"> RAN1 NR Ad hoc meeting</w:t>
      </w:r>
      <w:r w:rsidR="00D9068E">
        <w:t xml:space="preserve"> #1.</w:t>
      </w:r>
    </w:p>
    <w:p w:rsidR="00D86D0E" w:rsidRDefault="00D86D0E" w:rsidP="00D86D0E">
      <w:pPr>
        <w:pStyle w:val="References"/>
      </w:pPr>
      <w:r>
        <w:t xml:space="preserve">Chairman’s </w:t>
      </w:r>
      <w:proofErr w:type="gramStart"/>
      <w:r>
        <w:t>notes, RAN1#88</w:t>
      </w:r>
      <w:proofErr w:type="gramEnd"/>
      <w:r>
        <w:t>.</w:t>
      </w:r>
    </w:p>
    <w:p w:rsidR="00035368" w:rsidRDefault="00035368" w:rsidP="00035368">
      <w:pPr>
        <w:pStyle w:val="References"/>
      </w:pPr>
      <w:r>
        <w:t xml:space="preserve">Chairman’s </w:t>
      </w:r>
      <w:proofErr w:type="gramStart"/>
      <w:r>
        <w:t>notes, RAN1#88bis</w:t>
      </w:r>
      <w:proofErr w:type="gramEnd"/>
      <w:r>
        <w:t>.</w:t>
      </w:r>
    </w:p>
    <w:p w:rsidR="0004756C" w:rsidRPr="00F3645B" w:rsidRDefault="0004756C" w:rsidP="0004756C">
      <w:pPr>
        <w:rPr>
          <w:rFonts w:ascii="Arial" w:hAnsi="Arial" w:cs="Arial"/>
          <w:lang w:eastAsia="zh-CN"/>
        </w:rPr>
      </w:pPr>
    </w:p>
    <w:sectPr w:rsidR="0004756C" w:rsidRPr="00F3645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7EF9" w:rsidRDefault="00EC7EF9">
      <w:r>
        <w:separator/>
      </w:r>
    </w:p>
  </w:endnote>
  <w:endnote w:type="continuationSeparator" w:id="0">
    <w:p w:rsidR="00EC7EF9" w:rsidRDefault="00EC7EF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7EF9" w:rsidRDefault="00EC7EF9">
      <w:r>
        <w:separator/>
      </w:r>
    </w:p>
  </w:footnote>
  <w:footnote w:type="continuationSeparator" w:id="0">
    <w:p w:rsidR="00EC7EF9" w:rsidRDefault="00EC7E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3">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5">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6">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7">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8">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9">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2">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3">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4">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5">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18">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9">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2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2">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21"/>
  </w:num>
  <w:num w:numId="4">
    <w:abstractNumId w:val="15"/>
  </w:num>
  <w:num w:numId="5">
    <w:abstractNumId w:val="14"/>
  </w:num>
  <w:num w:numId="6">
    <w:abstractNumId w:val="5"/>
  </w:num>
  <w:num w:numId="7">
    <w:abstractNumId w:val="9"/>
  </w:num>
  <w:num w:numId="8">
    <w:abstractNumId w:val="12"/>
  </w:num>
  <w:num w:numId="9">
    <w:abstractNumId w:val="17"/>
  </w:num>
  <w:num w:numId="10">
    <w:abstractNumId w:val="6"/>
  </w:num>
  <w:num w:numId="11">
    <w:abstractNumId w:val="10"/>
  </w:num>
  <w:num w:numId="12">
    <w:abstractNumId w:val="4"/>
  </w:num>
  <w:num w:numId="13">
    <w:abstractNumId w:val="18"/>
  </w:num>
  <w:num w:numId="14">
    <w:abstractNumId w:val="3"/>
  </w:num>
  <w:num w:numId="15">
    <w:abstractNumId w:val="20"/>
  </w:num>
  <w:num w:numId="16">
    <w:abstractNumId w:val="11"/>
  </w:num>
  <w:num w:numId="17">
    <w:abstractNumId w:val="19"/>
  </w:num>
  <w:num w:numId="18">
    <w:abstractNumId w:val="1"/>
  </w:num>
  <w:num w:numId="19">
    <w:abstractNumId w:val="0"/>
  </w:num>
  <w:num w:numId="20">
    <w:abstractNumId w:val="13"/>
  </w:num>
  <w:num w:numId="21">
    <w:abstractNumId w:val="7"/>
  </w:num>
  <w:num w:numId="22">
    <w:abstractNumId w:val="2"/>
  </w:num>
  <w:num w:numId="23">
    <w:abstractNumId w:val="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8434">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FB"/>
    <w:rsid w:val="0001622D"/>
    <w:rsid w:val="0001644D"/>
    <w:rsid w:val="000165E2"/>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B30"/>
    <w:rsid w:val="00065D38"/>
    <w:rsid w:val="00065F19"/>
    <w:rsid w:val="0006640F"/>
    <w:rsid w:val="000668E2"/>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905"/>
    <w:rsid w:val="000B5975"/>
    <w:rsid w:val="000B59CC"/>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B0C"/>
    <w:rsid w:val="000C3D23"/>
    <w:rsid w:val="000C422D"/>
    <w:rsid w:val="000C4A82"/>
    <w:rsid w:val="000C57DF"/>
    <w:rsid w:val="000C5F91"/>
    <w:rsid w:val="000C6025"/>
    <w:rsid w:val="000C72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3F04"/>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7A4"/>
    <w:rsid w:val="000F2EEE"/>
    <w:rsid w:val="000F3697"/>
    <w:rsid w:val="000F3825"/>
    <w:rsid w:val="000F3D73"/>
    <w:rsid w:val="000F3E2D"/>
    <w:rsid w:val="000F41EF"/>
    <w:rsid w:val="000F44E3"/>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E17"/>
    <w:rsid w:val="0029237F"/>
    <w:rsid w:val="00292715"/>
    <w:rsid w:val="002934F4"/>
    <w:rsid w:val="002938BA"/>
    <w:rsid w:val="002938E3"/>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163"/>
    <w:rsid w:val="002D3AFA"/>
    <w:rsid w:val="002D3BBC"/>
    <w:rsid w:val="002D438A"/>
    <w:rsid w:val="002D5738"/>
    <w:rsid w:val="002D5B3E"/>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4878"/>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E3D"/>
    <w:rsid w:val="003D0FC3"/>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6798"/>
    <w:rsid w:val="003F6CD2"/>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FE2"/>
    <w:rsid w:val="00436382"/>
    <w:rsid w:val="0043676F"/>
    <w:rsid w:val="00436B60"/>
    <w:rsid w:val="00436E2F"/>
    <w:rsid w:val="00436EAB"/>
    <w:rsid w:val="00437BAF"/>
    <w:rsid w:val="00437E2C"/>
    <w:rsid w:val="004412FA"/>
    <w:rsid w:val="00441651"/>
    <w:rsid w:val="004418D9"/>
    <w:rsid w:val="00441E35"/>
    <w:rsid w:val="00442404"/>
    <w:rsid w:val="00442A3D"/>
    <w:rsid w:val="0044372D"/>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AC0"/>
    <w:rsid w:val="00584416"/>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801"/>
    <w:rsid w:val="005F6152"/>
    <w:rsid w:val="005F653B"/>
    <w:rsid w:val="005F68F4"/>
    <w:rsid w:val="005F6B77"/>
    <w:rsid w:val="005F6E31"/>
    <w:rsid w:val="005F6FF5"/>
    <w:rsid w:val="005F7487"/>
    <w:rsid w:val="005F753F"/>
    <w:rsid w:val="005F7A27"/>
    <w:rsid w:val="005F7F7F"/>
    <w:rsid w:val="006002C7"/>
    <w:rsid w:val="00600378"/>
    <w:rsid w:val="00600F95"/>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302B7"/>
    <w:rsid w:val="006304BC"/>
    <w:rsid w:val="00630619"/>
    <w:rsid w:val="00630A59"/>
    <w:rsid w:val="00630DCE"/>
    <w:rsid w:val="00630F33"/>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8CC"/>
    <w:rsid w:val="00662111"/>
    <w:rsid w:val="00662118"/>
    <w:rsid w:val="00662337"/>
    <w:rsid w:val="00663197"/>
    <w:rsid w:val="006638AD"/>
    <w:rsid w:val="00663A15"/>
    <w:rsid w:val="00663F75"/>
    <w:rsid w:val="0066474C"/>
    <w:rsid w:val="006648B0"/>
    <w:rsid w:val="00664B28"/>
    <w:rsid w:val="0066507A"/>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65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6D"/>
    <w:rsid w:val="006F52E5"/>
    <w:rsid w:val="006F53CE"/>
    <w:rsid w:val="006F57D3"/>
    <w:rsid w:val="006F5887"/>
    <w:rsid w:val="006F6066"/>
    <w:rsid w:val="006F6850"/>
    <w:rsid w:val="006F68F4"/>
    <w:rsid w:val="006F6BC2"/>
    <w:rsid w:val="006F707E"/>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32E"/>
    <w:rsid w:val="00725FEE"/>
    <w:rsid w:val="00726036"/>
    <w:rsid w:val="00726279"/>
    <w:rsid w:val="007265BD"/>
    <w:rsid w:val="007265FA"/>
    <w:rsid w:val="0072672F"/>
    <w:rsid w:val="00726A95"/>
    <w:rsid w:val="00726A9B"/>
    <w:rsid w:val="00727530"/>
    <w:rsid w:val="00730660"/>
    <w:rsid w:val="00730C7B"/>
    <w:rsid w:val="0073195A"/>
    <w:rsid w:val="007319BA"/>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409"/>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607"/>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404C"/>
    <w:rsid w:val="0086440E"/>
    <w:rsid w:val="00864440"/>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5940"/>
    <w:rsid w:val="008A6807"/>
    <w:rsid w:val="008A7381"/>
    <w:rsid w:val="008A73B2"/>
    <w:rsid w:val="008A7B90"/>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B36"/>
    <w:rsid w:val="008E1B6F"/>
    <w:rsid w:val="008E2251"/>
    <w:rsid w:val="008E24B3"/>
    <w:rsid w:val="008E24CA"/>
    <w:rsid w:val="008E273E"/>
    <w:rsid w:val="008E2F6E"/>
    <w:rsid w:val="008E3040"/>
    <w:rsid w:val="008E31AA"/>
    <w:rsid w:val="008E38AD"/>
    <w:rsid w:val="008E3EEC"/>
    <w:rsid w:val="008E3F4E"/>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DA7"/>
    <w:rsid w:val="009279AF"/>
    <w:rsid w:val="00927AC8"/>
    <w:rsid w:val="00927F8B"/>
    <w:rsid w:val="00930007"/>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142F"/>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EB3"/>
    <w:rsid w:val="00AC4FBF"/>
    <w:rsid w:val="00AC52A8"/>
    <w:rsid w:val="00AC6496"/>
    <w:rsid w:val="00AC74DA"/>
    <w:rsid w:val="00AC7A2B"/>
    <w:rsid w:val="00AC7C25"/>
    <w:rsid w:val="00AD01DD"/>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7D4"/>
    <w:rsid w:val="00B22C0D"/>
    <w:rsid w:val="00B23338"/>
    <w:rsid w:val="00B23361"/>
    <w:rsid w:val="00B23862"/>
    <w:rsid w:val="00B238F3"/>
    <w:rsid w:val="00B23AF4"/>
    <w:rsid w:val="00B23C15"/>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6B4A"/>
    <w:rsid w:val="00BC6FD6"/>
    <w:rsid w:val="00BC7494"/>
    <w:rsid w:val="00BC74CC"/>
    <w:rsid w:val="00BD008E"/>
    <w:rsid w:val="00BD0506"/>
    <w:rsid w:val="00BD081A"/>
    <w:rsid w:val="00BD0A6C"/>
    <w:rsid w:val="00BD0C9F"/>
    <w:rsid w:val="00BD15E8"/>
    <w:rsid w:val="00BD2783"/>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62D9"/>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87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AB1"/>
    <w:rsid w:val="00CD1C0B"/>
    <w:rsid w:val="00CD239A"/>
    <w:rsid w:val="00CD2505"/>
    <w:rsid w:val="00CD49BB"/>
    <w:rsid w:val="00CD49E8"/>
    <w:rsid w:val="00CD5512"/>
    <w:rsid w:val="00CD6E3D"/>
    <w:rsid w:val="00CD71AB"/>
    <w:rsid w:val="00CD75FC"/>
    <w:rsid w:val="00CE0044"/>
    <w:rsid w:val="00CE0109"/>
    <w:rsid w:val="00CE0420"/>
    <w:rsid w:val="00CE07A4"/>
    <w:rsid w:val="00CE1330"/>
    <w:rsid w:val="00CE13A2"/>
    <w:rsid w:val="00CE1515"/>
    <w:rsid w:val="00CE1619"/>
    <w:rsid w:val="00CE1656"/>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530E"/>
    <w:rsid w:val="00DF5502"/>
    <w:rsid w:val="00DF5547"/>
    <w:rsid w:val="00DF57AC"/>
    <w:rsid w:val="00DF5833"/>
    <w:rsid w:val="00DF5CE2"/>
    <w:rsid w:val="00DF5D78"/>
    <w:rsid w:val="00DF64AC"/>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E31"/>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17CE"/>
    <w:rsid w:val="00E61AC3"/>
    <w:rsid w:val="00E61CC0"/>
    <w:rsid w:val="00E6277B"/>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B00"/>
    <w:rsid w:val="00F62B0A"/>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D7B"/>
    <w:rsid w:val="00FD37F6"/>
    <w:rsid w:val="00FD3C5C"/>
    <w:rsid w:val="00FD4041"/>
    <w:rsid w:val="00FD4479"/>
    <w:rsid w:val="00FD4589"/>
    <w:rsid w:val="00FD473E"/>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link w:val="ListParagraph"/>
    <w:uiPriority w:val="34"/>
    <w:locked/>
    <w:rsid w:val="00B00416"/>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D56147-9606-40FE-8B86-3C7EC5AA5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2060</Words>
  <Characters>11744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Chenxi CX1 Zhu</cp:lastModifiedBy>
  <cp:revision>3</cp:revision>
  <cp:lastPrinted>2015-04-01T01:56:00Z</cp:lastPrinted>
  <dcterms:created xsi:type="dcterms:W3CDTF">2017-05-06T01:59:00Z</dcterms:created>
  <dcterms:modified xsi:type="dcterms:W3CDTF">2017-05-06T01:59:00Z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