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1C758" w14:textId="385124E7" w:rsidR="00046837" w:rsidRPr="00624CB2" w:rsidRDefault="00752C50" w:rsidP="00326846">
      <w:pPr>
        <w:pStyle w:val="3GPPHeader"/>
        <w:spacing w:after="0"/>
        <w:jc w:val="both"/>
        <w:rPr>
          <w:rFonts w:ascii="Arial" w:hAnsi="Arial" w:cs="Arial"/>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6B7A4C">
        <w:rPr>
          <w:rFonts w:ascii="Arial" w:hAnsi="Arial" w:cs="Arial"/>
        </w:rPr>
        <w:t>bis</w:t>
      </w:r>
      <w:r w:rsidR="00FA20F7" w:rsidRPr="00624CB2">
        <w:rPr>
          <w:rFonts w:ascii="Arial" w:hAnsi="Arial" w:cs="Arial"/>
        </w:rPr>
        <w:tab/>
      </w:r>
      <w:r w:rsidR="00616BAF">
        <w:rPr>
          <w:rFonts w:ascii="Arial" w:hAnsi="Arial" w:cs="Arial"/>
        </w:rPr>
        <w:t>R1-16</w:t>
      </w:r>
      <w:r w:rsidR="00046837">
        <w:rPr>
          <w:rFonts w:ascii="Arial" w:hAnsi="Arial" w:cs="Arial"/>
        </w:rPr>
        <w:t>10024</w:t>
      </w:r>
    </w:p>
    <w:p w14:paraId="165195B1" w14:textId="2CA621A0" w:rsidR="00317B85" w:rsidRPr="00624CB2" w:rsidRDefault="006B7A4C" w:rsidP="00326846">
      <w:pPr>
        <w:pStyle w:val="3GPPHeader"/>
        <w:jc w:val="both"/>
        <w:rPr>
          <w:rFonts w:ascii="Arial" w:hAnsi="Arial" w:cs="Arial"/>
        </w:rPr>
      </w:pPr>
      <w:r>
        <w:rPr>
          <w:rFonts w:ascii="Arial" w:hAnsi="Arial" w:cs="Arial"/>
        </w:rPr>
        <w:t>Lisbon, Portugal</w:t>
      </w:r>
      <w:r w:rsidR="00FD131C">
        <w:rPr>
          <w:rFonts w:ascii="Arial" w:hAnsi="Arial" w:cs="Arial"/>
        </w:rPr>
        <w:t xml:space="preserve">, </w:t>
      </w:r>
      <w:r>
        <w:rPr>
          <w:rFonts w:ascii="Arial" w:hAnsi="Arial" w:cs="Arial"/>
        </w:rPr>
        <w:t>10</w:t>
      </w:r>
      <w:r w:rsidRPr="006B7A4C">
        <w:rPr>
          <w:rFonts w:ascii="Arial" w:hAnsi="Arial" w:cs="Arial"/>
          <w:vertAlign w:val="superscript"/>
        </w:rPr>
        <w:t>th</w:t>
      </w:r>
      <w:r>
        <w:rPr>
          <w:rFonts w:ascii="Arial" w:hAnsi="Arial" w:cs="Arial"/>
        </w:rPr>
        <w:t xml:space="preserve"> </w:t>
      </w:r>
      <w:r w:rsidR="00FD131C">
        <w:rPr>
          <w:rFonts w:ascii="Arial" w:hAnsi="Arial" w:cs="Arial"/>
        </w:rPr>
        <w:t xml:space="preserve">– </w:t>
      </w:r>
      <w:r>
        <w:rPr>
          <w:rFonts w:ascii="Arial" w:hAnsi="Arial" w:cs="Arial"/>
        </w:rPr>
        <w:t>14</w:t>
      </w:r>
      <w:r w:rsidRPr="006B7A4C">
        <w:rPr>
          <w:rFonts w:ascii="Arial" w:hAnsi="Arial" w:cs="Arial"/>
          <w:vertAlign w:val="superscript"/>
        </w:rPr>
        <w:t>th</w:t>
      </w:r>
      <w:r>
        <w:rPr>
          <w:rFonts w:ascii="Arial" w:hAnsi="Arial" w:cs="Arial"/>
        </w:rPr>
        <w:t xml:space="preserve"> October </w:t>
      </w:r>
      <w:r w:rsidR="00FD131C">
        <w:rPr>
          <w:rFonts w:ascii="Arial" w:hAnsi="Arial" w:cs="Arial"/>
        </w:rPr>
        <w:t>2016</w:t>
      </w:r>
    </w:p>
    <w:p w14:paraId="6FA141D4" w14:textId="3FCD913A"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435803">
        <w:rPr>
          <w:rFonts w:cs="Arial"/>
          <w:b/>
          <w:bCs/>
          <w:sz w:val="24"/>
          <w:lang w:val="en-US"/>
        </w:rPr>
        <w:t>8.1.2.2</w:t>
      </w:r>
    </w:p>
    <w:p w14:paraId="186753AF" w14:textId="77777777" w:rsidR="00FA20F7" w:rsidRPr="00624CB2" w:rsidRDefault="0092027E" w:rsidP="00326846">
      <w:pPr>
        <w:tabs>
          <w:tab w:val="left" w:pos="1985"/>
        </w:tabs>
        <w:jc w:val="both"/>
        <w:rPr>
          <w:rFonts w:ascii="Arial" w:hAnsi="Arial" w:cs="Arial"/>
          <w:b/>
          <w:bCs/>
        </w:rPr>
      </w:pPr>
      <w:r w:rsidRPr="00624CB2">
        <w:rPr>
          <w:rFonts w:ascii="Arial" w:hAnsi="Arial" w:cs="Arial"/>
          <w:b/>
          <w:bCs/>
        </w:rPr>
        <w:t>Source:</w:t>
      </w:r>
      <w:r w:rsidRPr="00624CB2">
        <w:rPr>
          <w:rFonts w:ascii="Arial" w:hAnsi="Arial" w:cs="Arial"/>
          <w:b/>
          <w:bCs/>
        </w:rPr>
        <w:tab/>
        <w:t>InterDigital</w:t>
      </w:r>
      <w:r w:rsidR="00E17A3B" w:rsidRPr="00624CB2">
        <w:rPr>
          <w:rFonts w:ascii="Arial" w:hAnsi="Arial" w:cs="Arial"/>
          <w:b/>
          <w:bCs/>
        </w:rPr>
        <w:t xml:space="preserve"> Communications</w:t>
      </w:r>
    </w:p>
    <w:p w14:paraId="4F02292E" w14:textId="0EF069C6" w:rsidR="00FA20F7" w:rsidRPr="00624CB2" w:rsidRDefault="00FA20F7" w:rsidP="00326846">
      <w:pPr>
        <w:ind w:left="1985" w:hanging="1985"/>
        <w:jc w:val="both"/>
        <w:rPr>
          <w:rFonts w:ascii="Arial" w:hAnsi="Arial" w:cs="Arial"/>
          <w:b/>
          <w:bCs/>
        </w:rPr>
      </w:pPr>
      <w:r w:rsidRPr="00624CB2">
        <w:rPr>
          <w:rFonts w:ascii="Arial" w:hAnsi="Arial" w:cs="Arial"/>
          <w:b/>
          <w:bCs/>
        </w:rPr>
        <w:t>Title:</w:t>
      </w:r>
      <w:r w:rsidRPr="00624CB2">
        <w:rPr>
          <w:rFonts w:ascii="Arial" w:hAnsi="Arial" w:cs="Arial"/>
          <w:b/>
          <w:bCs/>
        </w:rPr>
        <w:tab/>
      </w:r>
      <w:r w:rsidR="008E449E">
        <w:rPr>
          <w:rFonts w:ascii="Arial" w:hAnsi="Arial" w:cs="Arial"/>
          <w:b/>
          <w:bCs/>
        </w:rPr>
        <w:t xml:space="preserve">On the number of subcarriers per </w:t>
      </w:r>
      <w:r w:rsidR="00046837">
        <w:rPr>
          <w:rFonts w:ascii="Arial" w:hAnsi="Arial" w:cs="Arial"/>
          <w:b/>
          <w:bCs/>
        </w:rPr>
        <w:t>PRB for NR</w:t>
      </w:r>
    </w:p>
    <w:p w14:paraId="20F2A3ED" w14:textId="0E18106F" w:rsidR="00FA20F7" w:rsidRPr="00624CB2" w:rsidRDefault="00FA20F7" w:rsidP="00326846">
      <w:pPr>
        <w:ind w:left="1985" w:hanging="1985"/>
        <w:jc w:val="both"/>
        <w:rPr>
          <w:rFonts w:ascii="Arial" w:hAnsi="Arial" w:cs="Arial"/>
          <w:b/>
          <w:bCs/>
        </w:rPr>
      </w:pPr>
      <w:r w:rsidRPr="00624CB2">
        <w:rPr>
          <w:rFonts w:ascii="Arial" w:hAnsi="Arial" w:cs="Arial"/>
          <w:b/>
          <w:bCs/>
        </w:rPr>
        <w:t>Document for:</w:t>
      </w:r>
      <w:r w:rsidRPr="00624CB2">
        <w:rPr>
          <w:rFonts w:ascii="Arial" w:hAnsi="Arial" w:cs="Arial"/>
          <w:b/>
          <w:bCs/>
        </w:rPr>
        <w:tab/>
        <w:t>Discussion</w:t>
      </w:r>
    </w:p>
    <w:p w14:paraId="17878940" w14:textId="77777777" w:rsidR="00116C54" w:rsidRPr="00624CB2" w:rsidRDefault="00116C54" w:rsidP="00326846">
      <w:pPr>
        <w:ind w:left="1985" w:hanging="1985"/>
        <w:jc w:val="both"/>
        <w:rPr>
          <w:b/>
          <w:bCs/>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67EC46BE" w14:textId="13602B9F" w:rsidR="00EF3680" w:rsidRDefault="001D51E8" w:rsidP="00EF3680">
      <w:pPr>
        <w:spacing w:after="120"/>
        <w:jc w:val="both"/>
        <w:rPr>
          <w:rFonts w:ascii="Arial" w:hAnsi="Arial" w:cs="Arial"/>
          <w:sz w:val="20"/>
        </w:rPr>
      </w:pPr>
      <w:r>
        <w:rPr>
          <w:rFonts w:ascii="Arial" w:hAnsi="Arial" w:cs="Arial"/>
          <w:sz w:val="20"/>
        </w:rPr>
        <w:t xml:space="preserve">In RAN1#86 it was agreed that the PRB definition where the number of subcarriers per PRB is the same for all numerologies is supported. The number of subcarriers per PRB for the NR study is 12, </w:t>
      </w:r>
      <w:r>
        <w:rPr>
          <w:rFonts w:ascii="Arial" w:hAnsi="Arial" w:cs="Arial"/>
          <w:sz w:val="20"/>
        </w:rPr>
        <w:lastRenderedPageBreak/>
        <w:t xml:space="preserve">16. The </w:t>
      </w:r>
      <w:r w:rsidR="00046837">
        <w:rPr>
          <w:rFonts w:ascii="Arial" w:hAnsi="Arial" w:cs="Arial"/>
          <w:sz w:val="20"/>
        </w:rPr>
        <w:t xml:space="preserve">exact number of subcarriers per PRB </w:t>
      </w:r>
      <w:r w:rsidR="002E2121">
        <w:rPr>
          <w:rFonts w:ascii="Arial" w:hAnsi="Arial" w:cs="Arial"/>
          <w:sz w:val="20"/>
        </w:rPr>
        <w:t>is</w:t>
      </w:r>
      <w:r>
        <w:rPr>
          <w:rFonts w:ascii="Arial" w:hAnsi="Arial" w:cs="Arial"/>
          <w:sz w:val="20"/>
        </w:rPr>
        <w:t xml:space="preserve"> to be down-selected </w:t>
      </w:r>
      <w:r w:rsidR="002E2121">
        <w:rPr>
          <w:rFonts w:ascii="Arial" w:hAnsi="Arial" w:cs="Arial"/>
          <w:sz w:val="20"/>
        </w:rPr>
        <w:t>in RAN1#</w:t>
      </w:r>
      <w:r w:rsidR="00046837">
        <w:rPr>
          <w:rFonts w:ascii="Arial" w:hAnsi="Arial" w:cs="Arial"/>
          <w:sz w:val="20"/>
        </w:rPr>
        <w:t>86bis</w:t>
      </w:r>
      <w:r w:rsidR="002E2121">
        <w:rPr>
          <w:rFonts w:ascii="Arial" w:hAnsi="Arial" w:cs="Arial"/>
          <w:sz w:val="20"/>
        </w:rPr>
        <w:t>.</w:t>
      </w:r>
    </w:p>
    <w:p w14:paraId="12B70E43" w14:textId="184600A9" w:rsidR="00F6445D" w:rsidRDefault="00EF3680" w:rsidP="00193C75">
      <w:pPr>
        <w:spacing w:after="120"/>
        <w:jc w:val="both"/>
        <w:rPr>
          <w:rFonts w:ascii="Arial" w:hAnsi="Arial" w:cs="Arial"/>
          <w:sz w:val="20"/>
        </w:rPr>
      </w:pPr>
      <w:r>
        <w:rPr>
          <w:rFonts w:ascii="Arial" w:hAnsi="Arial" w:cs="Arial"/>
          <w:sz w:val="20"/>
        </w:rPr>
        <w:t xml:space="preserve">In this contribution we </w:t>
      </w:r>
      <w:r w:rsidR="00CD0525">
        <w:rPr>
          <w:rFonts w:ascii="Arial" w:hAnsi="Arial" w:cs="Arial"/>
          <w:sz w:val="20"/>
        </w:rPr>
        <w:t xml:space="preserve">provide our views on the number of subcarriers per PRB </w:t>
      </w:r>
      <w:r w:rsidR="001D51E8">
        <w:rPr>
          <w:rFonts w:ascii="Arial" w:hAnsi="Arial" w:cs="Arial"/>
          <w:sz w:val="20"/>
        </w:rPr>
        <w:t>for NR</w:t>
      </w:r>
      <w:r w:rsidR="00CD0525">
        <w:rPr>
          <w:rFonts w:ascii="Arial" w:hAnsi="Arial" w:cs="Arial"/>
          <w:sz w:val="20"/>
        </w:rPr>
        <w:t>.</w:t>
      </w:r>
    </w:p>
    <w:p w14:paraId="707426DE" w14:textId="7254577B" w:rsidR="00746DE3" w:rsidRPr="00746DE3" w:rsidRDefault="00746DE3" w:rsidP="00746DE3">
      <w:pPr>
        <w:pStyle w:val="Heading1"/>
        <w:jc w:val="both"/>
        <w:rPr>
          <w:lang w:val="en-US"/>
        </w:rPr>
      </w:pPr>
      <w:r>
        <w:rPr>
          <w:lang w:val="en-US"/>
        </w:rPr>
        <w:t>Discussion</w:t>
      </w:r>
    </w:p>
    <w:p w14:paraId="57DF6FE7" w14:textId="77777777" w:rsidR="002E2121" w:rsidRDefault="00A45CB8" w:rsidP="00046837">
      <w:pPr>
        <w:spacing w:after="120"/>
        <w:jc w:val="both"/>
        <w:rPr>
          <w:rFonts w:ascii="Arial" w:hAnsi="Arial" w:cs="Arial"/>
          <w:sz w:val="20"/>
        </w:rPr>
      </w:pPr>
      <w:r>
        <w:rPr>
          <w:rFonts w:ascii="Arial" w:hAnsi="Arial" w:cs="Arial"/>
          <w:sz w:val="20"/>
        </w:rPr>
        <w:t>Coexistence and co-deploym</w:t>
      </w:r>
      <w:r w:rsidR="009D5B89">
        <w:rPr>
          <w:rFonts w:ascii="Arial" w:hAnsi="Arial" w:cs="Arial"/>
          <w:sz w:val="20"/>
        </w:rPr>
        <w:t xml:space="preserve">ent with </w:t>
      </w:r>
      <w:r>
        <w:rPr>
          <w:rFonts w:ascii="Arial" w:hAnsi="Arial" w:cs="Arial"/>
          <w:sz w:val="20"/>
        </w:rPr>
        <w:t>LTE is a primary design objective</w:t>
      </w:r>
      <w:r w:rsidR="009D5B89">
        <w:rPr>
          <w:rFonts w:ascii="Arial" w:hAnsi="Arial" w:cs="Arial"/>
          <w:sz w:val="20"/>
        </w:rPr>
        <w:t xml:space="preserve"> for NR.</w:t>
      </w:r>
      <w:r w:rsidR="002E2121">
        <w:rPr>
          <w:rFonts w:ascii="Arial" w:hAnsi="Arial" w:cs="Arial"/>
          <w:sz w:val="20"/>
        </w:rPr>
        <w:t xml:space="preserve"> </w:t>
      </w:r>
      <w:r w:rsidR="009D5B89">
        <w:rPr>
          <w:rFonts w:ascii="Arial" w:hAnsi="Arial" w:cs="Arial"/>
          <w:sz w:val="20"/>
        </w:rPr>
        <w:t>Several agreements have already been made during the NR study item in order to ensure alignment of the NR numerology to that of LTE</w:t>
      </w:r>
      <w:r w:rsidR="002E2121">
        <w:rPr>
          <w:rFonts w:ascii="Arial" w:hAnsi="Arial" w:cs="Arial"/>
          <w:sz w:val="20"/>
        </w:rPr>
        <w:t>.</w:t>
      </w:r>
    </w:p>
    <w:p w14:paraId="729AFBEF" w14:textId="7439D25C" w:rsidR="00127370" w:rsidRDefault="002E2121" w:rsidP="00B61C72">
      <w:pPr>
        <w:spacing w:after="120"/>
        <w:jc w:val="both"/>
        <w:rPr>
          <w:rFonts w:ascii="Arial" w:hAnsi="Arial" w:cs="Arial"/>
          <w:sz w:val="20"/>
        </w:rPr>
      </w:pPr>
      <w:r>
        <w:rPr>
          <w:rFonts w:ascii="Arial" w:hAnsi="Arial" w:cs="Arial"/>
          <w:sz w:val="20"/>
        </w:rPr>
        <w:t>In RAN1#85, a scalable numerology for NR with subcarrier spacing f</w:t>
      </w:r>
      <w:r w:rsidRPr="002E2121">
        <w:rPr>
          <w:rFonts w:ascii="Arial" w:hAnsi="Arial" w:cs="Arial"/>
          <w:sz w:val="20"/>
          <w:vertAlign w:val="subscript"/>
        </w:rPr>
        <w:t>SC</w:t>
      </w:r>
      <w:r>
        <w:rPr>
          <w:rFonts w:ascii="Arial" w:hAnsi="Arial" w:cs="Arial"/>
          <w:sz w:val="20"/>
        </w:rPr>
        <w:t>=15*2</w:t>
      </w:r>
      <w:r>
        <w:rPr>
          <w:rFonts w:ascii="Arial" w:hAnsi="Arial" w:cs="Arial"/>
          <w:sz w:val="20"/>
          <w:vertAlign w:val="superscript"/>
        </w:rPr>
        <w:t>m</w:t>
      </w:r>
      <w:r>
        <w:rPr>
          <w:rFonts w:ascii="Arial" w:hAnsi="Arial" w:cs="Arial"/>
          <w:sz w:val="20"/>
        </w:rPr>
        <w:t xml:space="preserve"> kHz was agreed. NR scalable numerology explicitly supports a 15 kHz mode for CP-OFDM. Furthermore, it was agreed that for m=0, i.e. 15 kHz</w:t>
      </w:r>
      <w:r w:rsidR="003B131D">
        <w:rPr>
          <w:rFonts w:ascii="Arial" w:hAnsi="Arial" w:cs="Arial"/>
          <w:sz w:val="20"/>
        </w:rPr>
        <w:t xml:space="preserve"> mode</w:t>
      </w:r>
      <w:r>
        <w:rPr>
          <w:rFonts w:ascii="Arial" w:hAnsi="Arial" w:cs="Arial"/>
          <w:sz w:val="20"/>
        </w:rPr>
        <w:t xml:space="preserve">, the OFDM symbol boundaries are aligned with the LTE symbol </w:t>
      </w:r>
      <w:r>
        <w:rPr>
          <w:rFonts w:ascii="Arial" w:hAnsi="Arial" w:cs="Arial"/>
          <w:sz w:val="20"/>
        </w:rPr>
        <w:lastRenderedPageBreak/>
        <w:t>boundaries assuming n</w:t>
      </w:r>
      <w:r w:rsidR="00B61C72">
        <w:rPr>
          <w:rFonts w:ascii="Arial" w:hAnsi="Arial" w:cs="Arial"/>
          <w:sz w:val="20"/>
        </w:rPr>
        <w:t xml:space="preserve">ormal </w:t>
      </w:r>
      <w:r>
        <w:rPr>
          <w:rFonts w:ascii="Arial" w:hAnsi="Arial" w:cs="Arial"/>
          <w:sz w:val="20"/>
        </w:rPr>
        <w:t xml:space="preserve">CP. </w:t>
      </w:r>
      <w:r w:rsidR="009D5B89">
        <w:rPr>
          <w:rFonts w:ascii="Arial" w:hAnsi="Arial" w:cs="Arial"/>
          <w:sz w:val="20"/>
        </w:rPr>
        <w:t>In RAN1#86 it was also agreed that the s</w:t>
      </w:r>
      <w:r w:rsidR="009D5B89" w:rsidRPr="009D5B89">
        <w:rPr>
          <w:rFonts w:ascii="Arial" w:hAnsi="Arial" w:cs="Arial"/>
          <w:sz w:val="20"/>
        </w:rPr>
        <w:t>ubframe duration for a reference numero</w:t>
      </w:r>
      <w:r w:rsidR="009D5B89">
        <w:rPr>
          <w:rFonts w:ascii="Arial" w:hAnsi="Arial" w:cs="Arial"/>
          <w:sz w:val="20"/>
        </w:rPr>
        <w:t>logy with subcarrier spacing (2</w:t>
      </w:r>
      <w:r w:rsidR="009D5B89" w:rsidRPr="009D5B89">
        <w:rPr>
          <w:rFonts w:ascii="Arial" w:hAnsi="Arial" w:cs="Arial"/>
          <w:sz w:val="20"/>
          <w:vertAlign w:val="superscript"/>
        </w:rPr>
        <w:t>m</w:t>
      </w:r>
      <w:r w:rsidR="009D5B89" w:rsidRPr="009D5B89">
        <w:rPr>
          <w:rFonts w:ascii="Arial" w:hAnsi="Arial" w:cs="Arial"/>
          <w:sz w:val="20"/>
        </w:rPr>
        <w:t>*15)</w:t>
      </w:r>
      <w:r w:rsidR="009D5B89">
        <w:rPr>
          <w:rFonts w:ascii="Arial" w:hAnsi="Arial" w:cs="Arial"/>
          <w:sz w:val="20"/>
        </w:rPr>
        <w:t xml:space="preserve"> </w:t>
      </w:r>
      <w:r w:rsidR="009D5B89" w:rsidRPr="009D5B89">
        <w:rPr>
          <w:rFonts w:ascii="Arial" w:hAnsi="Arial" w:cs="Arial"/>
          <w:sz w:val="20"/>
        </w:rPr>
        <w:t>kHz is exactly 1/2</w:t>
      </w:r>
      <w:r w:rsidR="009D5B89" w:rsidRPr="009D5B89">
        <w:rPr>
          <w:rFonts w:ascii="Arial" w:hAnsi="Arial" w:cs="Arial"/>
          <w:sz w:val="20"/>
          <w:vertAlign w:val="superscript"/>
        </w:rPr>
        <w:t>m</w:t>
      </w:r>
      <w:r w:rsidR="009D5B89" w:rsidRPr="009D5B89">
        <w:rPr>
          <w:rFonts w:ascii="Arial" w:hAnsi="Arial" w:cs="Arial"/>
          <w:sz w:val="20"/>
        </w:rPr>
        <w:t xml:space="preserve"> ms</w:t>
      </w:r>
      <w:r w:rsidR="009D5B89">
        <w:rPr>
          <w:rFonts w:ascii="Arial" w:hAnsi="Arial" w:cs="Arial"/>
          <w:sz w:val="20"/>
        </w:rPr>
        <w:t>.</w:t>
      </w:r>
      <w:r w:rsidR="00B61C72">
        <w:rPr>
          <w:rFonts w:ascii="Arial" w:hAnsi="Arial" w:cs="Arial"/>
          <w:sz w:val="20"/>
        </w:rPr>
        <w:t xml:space="preserve"> The </w:t>
      </w:r>
      <w:r w:rsidR="00127370">
        <w:rPr>
          <w:rFonts w:ascii="Arial" w:hAnsi="Arial" w:cs="Arial"/>
          <w:sz w:val="20"/>
        </w:rPr>
        <w:t xml:space="preserve">subframe duration is defined by the duration of </w:t>
      </w:r>
      <w:r w:rsidR="00127370">
        <w:rPr>
          <w:rFonts w:ascii="Arial" w:hAnsi="Arial" w:cs="Arial"/>
          <w:i/>
          <w:sz w:val="20"/>
        </w:rPr>
        <w:t xml:space="preserve">x </w:t>
      </w:r>
      <w:r w:rsidR="00127370">
        <w:rPr>
          <w:rFonts w:ascii="Arial" w:hAnsi="Arial" w:cs="Arial"/>
          <w:sz w:val="20"/>
        </w:rPr>
        <w:t xml:space="preserve">OFDM symbols given a reference numerology. With the same CP overhead, a single value of </w:t>
      </w:r>
      <w:r w:rsidR="00127370">
        <w:rPr>
          <w:rFonts w:ascii="Arial" w:hAnsi="Arial" w:cs="Arial"/>
          <w:i/>
          <w:sz w:val="20"/>
        </w:rPr>
        <w:t xml:space="preserve">x </w:t>
      </w:r>
      <w:r w:rsidR="00127370">
        <w:rPr>
          <w:rFonts w:ascii="Arial" w:hAnsi="Arial" w:cs="Arial"/>
          <w:sz w:val="20"/>
        </w:rPr>
        <w:t>is specified irrespective of the subcarrier spacing value chosen for the reference numerology. The possibility of one data transmission spanning multiple subframe durations or the possibility of multiple data transmission opportunities in time or multiple control transmission opportunities for both DL and UL within a subframe duration are not precluded.</w:t>
      </w:r>
      <w:r w:rsidR="008770B8">
        <w:rPr>
          <w:rFonts w:ascii="Arial" w:hAnsi="Arial" w:cs="Arial"/>
          <w:sz w:val="20"/>
        </w:rPr>
        <w:t xml:space="preserve"> A working assumption was taken in RAN1#86 that s</w:t>
      </w:r>
      <w:r w:rsidR="008770B8" w:rsidRPr="00AF2F6D">
        <w:rPr>
          <w:rFonts w:ascii="Arial" w:hAnsi="Arial" w:cs="Arial"/>
          <w:sz w:val="20"/>
        </w:rPr>
        <w:t xml:space="preserve">ymbol level alignment across </w:t>
      </w:r>
      <w:r w:rsidR="008770B8" w:rsidRPr="007319B4">
        <w:rPr>
          <w:rFonts w:ascii="Arial" w:hAnsi="Arial" w:cs="Arial"/>
          <w:i/>
          <w:sz w:val="20"/>
        </w:rPr>
        <w:t>different</w:t>
      </w:r>
      <w:r w:rsidR="008770B8" w:rsidRPr="00AF2F6D">
        <w:rPr>
          <w:rFonts w:ascii="Arial" w:hAnsi="Arial" w:cs="Arial"/>
          <w:sz w:val="20"/>
        </w:rPr>
        <w:t xml:space="preserve"> subcarrier spacin</w:t>
      </w:r>
      <w:r w:rsidR="008770B8">
        <w:rPr>
          <w:rFonts w:ascii="Arial" w:hAnsi="Arial" w:cs="Arial"/>
          <w:sz w:val="20"/>
        </w:rPr>
        <w:t xml:space="preserve">gs with the same CP overhead is </w:t>
      </w:r>
      <w:r w:rsidR="008770B8" w:rsidRPr="00AF2F6D">
        <w:rPr>
          <w:rFonts w:ascii="Arial" w:hAnsi="Arial" w:cs="Arial"/>
          <w:sz w:val="20"/>
        </w:rPr>
        <w:t>assumed within a subframe duration in a NR carrier</w:t>
      </w:r>
      <w:r w:rsidR="008770B8">
        <w:rPr>
          <w:rFonts w:ascii="Arial" w:hAnsi="Arial" w:cs="Arial"/>
          <w:sz w:val="20"/>
        </w:rPr>
        <w:t>.</w:t>
      </w:r>
      <w:r w:rsidR="00901BAF">
        <w:rPr>
          <w:rFonts w:ascii="Arial" w:hAnsi="Arial" w:cs="Arial"/>
          <w:sz w:val="20"/>
        </w:rPr>
        <w:t xml:space="preserve"> </w:t>
      </w:r>
    </w:p>
    <w:p w14:paraId="0F897152" w14:textId="0242EADD" w:rsidR="00E97574" w:rsidRDefault="003B131D" w:rsidP="003B131D">
      <w:pPr>
        <w:spacing w:after="120"/>
        <w:jc w:val="both"/>
        <w:rPr>
          <w:rFonts w:ascii="Arial" w:hAnsi="Arial" w:cs="Arial"/>
          <w:sz w:val="20"/>
        </w:rPr>
      </w:pPr>
      <w:r>
        <w:rPr>
          <w:rFonts w:ascii="Arial" w:hAnsi="Arial" w:cs="Arial"/>
          <w:sz w:val="20"/>
        </w:rPr>
        <w:lastRenderedPageBreak/>
        <w:t xml:space="preserve">There are several reasons </w:t>
      </w:r>
      <w:r w:rsidR="000229A7">
        <w:rPr>
          <w:rFonts w:ascii="Arial" w:hAnsi="Arial" w:cs="Arial"/>
          <w:sz w:val="20"/>
        </w:rPr>
        <w:t xml:space="preserve">why the LTE </w:t>
      </w:r>
      <w:r>
        <w:rPr>
          <w:rFonts w:ascii="Arial" w:hAnsi="Arial" w:cs="Arial"/>
          <w:sz w:val="20"/>
        </w:rPr>
        <w:t>choice of the numbe</w:t>
      </w:r>
      <w:r w:rsidR="00E97574">
        <w:rPr>
          <w:rFonts w:ascii="Arial" w:hAnsi="Arial" w:cs="Arial"/>
          <w:sz w:val="20"/>
        </w:rPr>
        <w:t>r of subcarriers per PRB</w:t>
      </w:r>
      <w:r w:rsidR="000229A7">
        <w:rPr>
          <w:rFonts w:ascii="Arial" w:hAnsi="Arial" w:cs="Arial"/>
          <w:sz w:val="20"/>
        </w:rPr>
        <w:t xml:space="preserve"> might be re-considered in the context of NR</w:t>
      </w:r>
      <w:r w:rsidR="00E97574">
        <w:rPr>
          <w:rFonts w:ascii="Arial" w:hAnsi="Arial" w:cs="Arial"/>
          <w:sz w:val="20"/>
        </w:rPr>
        <w:t>.</w:t>
      </w:r>
    </w:p>
    <w:p w14:paraId="3754AC06" w14:textId="77777777" w:rsidR="000229A7" w:rsidRDefault="00B2748F" w:rsidP="003B131D">
      <w:pPr>
        <w:spacing w:after="120"/>
        <w:jc w:val="both"/>
        <w:rPr>
          <w:rFonts w:ascii="Arial" w:hAnsi="Arial" w:cs="Arial"/>
          <w:sz w:val="20"/>
        </w:rPr>
      </w:pPr>
      <w:r>
        <w:rPr>
          <w:rFonts w:ascii="Arial" w:hAnsi="Arial" w:cs="Arial"/>
          <w:sz w:val="20"/>
        </w:rPr>
        <w:t>Different when compared to LTE, the PRB based r</w:t>
      </w:r>
      <w:r w:rsidR="003B131D">
        <w:rPr>
          <w:rFonts w:ascii="Arial" w:hAnsi="Arial" w:cs="Arial"/>
          <w:sz w:val="20"/>
        </w:rPr>
        <w:t xml:space="preserve">esource allocation </w:t>
      </w:r>
      <w:r>
        <w:rPr>
          <w:rFonts w:ascii="Arial" w:hAnsi="Arial" w:cs="Arial"/>
          <w:sz w:val="20"/>
        </w:rPr>
        <w:t xml:space="preserve">for NR must </w:t>
      </w:r>
      <w:r w:rsidR="000229A7">
        <w:rPr>
          <w:rFonts w:ascii="Arial" w:hAnsi="Arial" w:cs="Arial"/>
          <w:sz w:val="20"/>
        </w:rPr>
        <w:t xml:space="preserve">also </w:t>
      </w:r>
      <w:r>
        <w:rPr>
          <w:rFonts w:ascii="Arial" w:hAnsi="Arial" w:cs="Arial"/>
          <w:sz w:val="20"/>
        </w:rPr>
        <w:t xml:space="preserve">consider </w:t>
      </w:r>
      <w:r w:rsidR="003B131D">
        <w:rPr>
          <w:rFonts w:ascii="Arial" w:hAnsi="Arial" w:cs="Arial"/>
          <w:sz w:val="20"/>
        </w:rPr>
        <w:t>the possibility to use guard tones when multiplexing different OFDM numerologies by means of FDM</w:t>
      </w:r>
      <w:r w:rsidR="00901BAF">
        <w:rPr>
          <w:rFonts w:ascii="Arial" w:hAnsi="Arial" w:cs="Arial"/>
          <w:sz w:val="20"/>
        </w:rPr>
        <w:t>.</w:t>
      </w:r>
      <w:r w:rsidR="00D03245">
        <w:rPr>
          <w:rFonts w:ascii="Arial" w:hAnsi="Arial" w:cs="Arial"/>
          <w:sz w:val="20"/>
        </w:rPr>
        <w:t xml:space="preserve"> </w:t>
      </w:r>
      <w:r>
        <w:rPr>
          <w:rFonts w:ascii="Arial" w:hAnsi="Arial" w:cs="Arial"/>
          <w:sz w:val="20"/>
        </w:rPr>
        <w:t>Similar to LTE, t</w:t>
      </w:r>
      <w:r w:rsidR="00D03245">
        <w:rPr>
          <w:rFonts w:ascii="Arial" w:hAnsi="Arial" w:cs="Arial"/>
          <w:sz w:val="20"/>
        </w:rPr>
        <w:t xml:space="preserve">here are eNB and UE processing aspects to account for, i.e. </w:t>
      </w:r>
      <w:r>
        <w:rPr>
          <w:rFonts w:ascii="Arial" w:hAnsi="Arial" w:cs="Arial"/>
          <w:sz w:val="20"/>
        </w:rPr>
        <w:t xml:space="preserve">intra- and inter-cell </w:t>
      </w:r>
      <w:r w:rsidR="00D03245">
        <w:rPr>
          <w:rFonts w:ascii="Arial" w:hAnsi="Arial" w:cs="Arial"/>
          <w:sz w:val="20"/>
        </w:rPr>
        <w:t xml:space="preserve">interference is usually assumed constant over the selected PRB. </w:t>
      </w:r>
      <w:r w:rsidR="000229A7">
        <w:rPr>
          <w:rFonts w:ascii="Arial" w:hAnsi="Arial" w:cs="Arial"/>
          <w:sz w:val="20"/>
        </w:rPr>
        <w:t xml:space="preserve">Similar to LTE, </w:t>
      </w:r>
      <w:r>
        <w:rPr>
          <w:rFonts w:ascii="Arial" w:hAnsi="Arial" w:cs="Arial"/>
          <w:sz w:val="20"/>
        </w:rPr>
        <w:t xml:space="preserve">L1 signal design considerations </w:t>
      </w:r>
      <w:r w:rsidR="000229A7">
        <w:rPr>
          <w:rFonts w:ascii="Arial" w:hAnsi="Arial" w:cs="Arial"/>
          <w:sz w:val="20"/>
        </w:rPr>
        <w:t xml:space="preserve">for NR </w:t>
      </w:r>
      <w:r>
        <w:rPr>
          <w:rFonts w:ascii="Arial" w:hAnsi="Arial" w:cs="Arial"/>
          <w:sz w:val="20"/>
        </w:rPr>
        <w:t>must account for proper dimensioning of the PRB size in terms of the support</w:t>
      </w:r>
      <w:r w:rsidR="000229A7">
        <w:rPr>
          <w:rFonts w:ascii="Arial" w:hAnsi="Arial" w:cs="Arial"/>
          <w:sz w:val="20"/>
        </w:rPr>
        <w:t>e</w:t>
      </w:r>
      <w:r>
        <w:rPr>
          <w:rFonts w:ascii="Arial" w:hAnsi="Arial" w:cs="Arial"/>
          <w:sz w:val="20"/>
        </w:rPr>
        <w:t xml:space="preserve">d number of demodulation reference signals per </w:t>
      </w:r>
      <w:r w:rsidR="000229A7">
        <w:rPr>
          <w:rFonts w:ascii="Arial" w:hAnsi="Arial" w:cs="Arial"/>
          <w:sz w:val="20"/>
        </w:rPr>
        <w:t xml:space="preserve">basic </w:t>
      </w:r>
      <w:r>
        <w:rPr>
          <w:rFonts w:ascii="Arial" w:hAnsi="Arial" w:cs="Arial"/>
          <w:sz w:val="20"/>
        </w:rPr>
        <w:t xml:space="preserve">allocation unit, i.e. </w:t>
      </w:r>
      <w:r w:rsidR="000229A7">
        <w:rPr>
          <w:rFonts w:ascii="Arial" w:hAnsi="Arial" w:cs="Arial"/>
          <w:sz w:val="20"/>
        </w:rPr>
        <w:t xml:space="preserve">the </w:t>
      </w:r>
      <w:r>
        <w:rPr>
          <w:rFonts w:ascii="Arial" w:hAnsi="Arial" w:cs="Arial"/>
          <w:sz w:val="20"/>
        </w:rPr>
        <w:t xml:space="preserve">number of antenna ports. </w:t>
      </w:r>
      <w:r w:rsidR="000229A7">
        <w:rPr>
          <w:rFonts w:ascii="Arial" w:hAnsi="Arial" w:cs="Arial"/>
          <w:sz w:val="20"/>
        </w:rPr>
        <w:t>Unlike LTE, t</w:t>
      </w:r>
      <w:r>
        <w:rPr>
          <w:rFonts w:ascii="Arial" w:hAnsi="Arial" w:cs="Arial"/>
          <w:sz w:val="20"/>
        </w:rPr>
        <w:t xml:space="preserve">he presence of front-loaded L1 control signaling preceding </w:t>
      </w:r>
      <w:r w:rsidR="000229A7">
        <w:rPr>
          <w:rFonts w:ascii="Arial" w:hAnsi="Arial" w:cs="Arial"/>
          <w:sz w:val="20"/>
        </w:rPr>
        <w:t xml:space="preserve">an </w:t>
      </w:r>
      <w:r>
        <w:rPr>
          <w:rFonts w:ascii="Arial" w:hAnsi="Arial" w:cs="Arial"/>
          <w:sz w:val="20"/>
        </w:rPr>
        <w:t xml:space="preserve">NR data allocation </w:t>
      </w:r>
      <w:r>
        <w:rPr>
          <w:rFonts w:ascii="Arial" w:hAnsi="Arial" w:cs="Arial"/>
          <w:sz w:val="20"/>
        </w:rPr>
        <w:lastRenderedPageBreak/>
        <w:t xml:space="preserve">in a PRB </w:t>
      </w:r>
      <w:r w:rsidR="000229A7">
        <w:rPr>
          <w:rFonts w:ascii="Arial" w:hAnsi="Arial" w:cs="Arial"/>
          <w:sz w:val="20"/>
        </w:rPr>
        <w:t xml:space="preserve">on the first OFDM symbol </w:t>
      </w:r>
      <w:r>
        <w:rPr>
          <w:rFonts w:ascii="Arial" w:hAnsi="Arial" w:cs="Arial"/>
          <w:sz w:val="20"/>
        </w:rPr>
        <w:t>must be considered</w:t>
      </w:r>
      <w:r w:rsidR="000229A7">
        <w:rPr>
          <w:rFonts w:ascii="Arial" w:hAnsi="Arial" w:cs="Arial"/>
          <w:sz w:val="20"/>
        </w:rPr>
        <w:t>.</w:t>
      </w:r>
    </w:p>
    <w:p w14:paraId="72D4B5BC" w14:textId="168E3B41" w:rsidR="00794601" w:rsidRDefault="00B2748F" w:rsidP="000229A7">
      <w:pPr>
        <w:spacing w:after="120"/>
        <w:jc w:val="both"/>
        <w:rPr>
          <w:rFonts w:ascii="Arial" w:hAnsi="Arial" w:cs="Arial"/>
          <w:sz w:val="20"/>
        </w:rPr>
      </w:pPr>
      <w:r>
        <w:rPr>
          <w:rFonts w:ascii="Arial" w:hAnsi="Arial" w:cs="Arial"/>
          <w:sz w:val="20"/>
        </w:rPr>
        <w:t>For NR devices not su</w:t>
      </w:r>
      <w:r w:rsidR="000229A7">
        <w:rPr>
          <w:rFonts w:ascii="Arial" w:hAnsi="Arial" w:cs="Arial"/>
          <w:sz w:val="20"/>
        </w:rPr>
        <w:t xml:space="preserve">pporting the full DL </w:t>
      </w:r>
      <w:r w:rsidR="00794601">
        <w:rPr>
          <w:rFonts w:ascii="Arial" w:hAnsi="Arial" w:cs="Arial"/>
          <w:sz w:val="20"/>
        </w:rPr>
        <w:t xml:space="preserve">nominal </w:t>
      </w:r>
      <w:r w:rsidR="000229A7">
        <w:rPr>
          <w:rFonts w:ascii="Arial" w:hAnsi="Arial" w:cs="Arial"/>
          <w:sz w:val="20"/>
        </w:rPr>
        <w:t xml:space="preserve">system </w:t>
      </w:r>
      <w:r w:rsidR="00794601">
        <w:rPr>
          <w:rFonts w:ascii="Arial" w:hAnsi="Arial" w:cs="Arial"/>
          <w:sz w:val="20"/>
        </w:rPr>
        <w:t>bandwidth,</w:t>
      </w:r>
      <w:r w:rsidR="000229A7">
        <w:rPr>
          <w:rFonts w:ascii="Arial" w:hAnsi="Arial" w:cs="Arial"/>
          <w:sz w:val="20"/>
        </w:rPr>
        <w:t xml:space="preserve"> the choice of </w:t>
      </w:r>
      <w:r>
        <w:rPr>
          <w:rFonts w:ascii="Arial" w:hAnsi="Arial" w:cs="Arial"/>
          <w:sz w:val="20"/>
        </w:rPr>
        <w:t xml:space="preserve">12 or 16 </w:t>
      </w:r>
      <w:r w:rsidR="000229A7">
        <w:rPr>
          <w:rFonts w:ascii="Arial" w:hAnsi="Arial" w:cs="Arial"/>
          <w:sz w:val="20"/>
        </w:rPr>
        <w:t>s</w:t>
      </w:r>
      <w:r w:rsidR="00794601">
        <w:rPr>
          <w:rFonts w:ascii="Arial" w:hAnsi="Arial" w:cs="Arial"/>
          <w:sz w:val="20"/>
        </w:rPr>
        <w:t>ubcarriers per PRB also affects RF design depending on the particular NR numerology mode(s) supported by the device. For LTE 15</w:t>
      </w:r>
      <w:r w:rsidR="00A7240F">
        <w:rPr>
          <w:rFonts w:ascii="Arial" w:hAnsi="Arial" w:cs="Arial"/>
          <w:sz w:val="20"/>
        </w:rPr>
        <w:t xml:space="preserve"> </w:t>
      </w:r>
      <w:r w:rsidR="00794601">
        <w:rPr>
          <w:rFonts w:ascii="Arial" w:hAnsi="Arial" w:cs="Arial"/>
          <w:sz w:val="20"/>
        </w:rPr>
        <w:t xml:space="preserve">kHz with </w:t>
      </w:r>
      <w:r w:rsidR="000229A7" w:rsidRPr="000229A7">
        <w:rPr>
          <w:rFonts w:ascii="Arial" w:hAnsi="Arial" w:cs="Arial"/>
          <w:sz w:val="20"/>
        </w:rPr>
        <w:t>PRB size of 180 kHz</w:t>
      </w:r>
      <w:r w:rsidR="00794601">
        <w:rPr>
          <w:rFonts w:ascii="Arial" w:hAnsi="Arial" w:cs="Arial"/>
          <w:sz w:val="20"/>
        </w:rPr>
        <w:t xml:space="preserve">, the LTE </w:t>
      </w:r>
      <w:r w:rsidR="000229A7" w:rsidRPr="000229A7">
        <w:rPr>
          <w:rFonts w:ascii="Arial" w:hAnsi="Arial" w:cs="Arial"/>
          <w:sz w:val="20"/>
        </w:rPr>
        <w:t xml:space="preserve">channel raster of </w:t>
      </w:r>
      <w:r w:rsidR="00794601">
        <w:rPr>
          <w:rFonts w:ascii="Arial" w:hAnsi="Arial" w:cs="Arial"/>
          <w:sz w:val="20"/>
        </w:rPr>
        <w:t xml:space="preserve">integer multiples of </w:t>
      </w:r>
      <w:r w:rsidR="000229A7" w:rsidRPr="000229A7">
        <w:rPr>
          <w:rFonts w:ascii="Arial" w:hAnsi="Arial" w:cs="Arial"/>
          <w:sz w:val="20"/>
        </w:rPr>
        <w:t>100 kHz</w:t>
      </w:r>
      <w:r w:rsidR="00794601">
        <w:rPr>
          <w:rFonts w:ascii="Arial" w:hAnsi="Arial" w:cs="Arial"/>
          <w:sz w:val="20"/>
        </w:rPr>
        <w:t xml:space="preserve"> doesn’t allow that all PRB boundaries</w:t>
      </w:r>
      <w:r w:rsidR="000229A7" w:rsidRPr="000229A7">
        <w:rPr>
          <w:rFonts w:ascii="Arial" w:hAnsi="Arial" w:cs="Arial"/>
          <w:sz w:val="20"/>
        </w:rPr>
        <w:t xml:space="preserve"> and raster </w:t>
      </w:r>
      <w:r w:rsidR="00794601">
        <w:rPr>
          <w:rFonts w:ascii="Arial" w:hAnsi="Arial" w:cs="Arial"/>
          <w:sz w:val="20"/>
        </w:rPr>
        <w:t xml:space="preserve">positions </w:t>
      </w:r>
      <w:r w:rsidR="000229A7" w:rsidRPr="000229A7">
        <w:rPr>
          <w:rFonts w:ascii="Arial" w:hAnsi="Arial" w:cs="Arial"/>
          <w:sz w:val="20"/>
        </w:rPr>
        <w:t xml:space="preserve">are </w:t>
      </w:r>
      <w:r w:rsidR="00794601">
        <w:rPr>
          <w:rFonts w:ascii="Arial" w:hAnsi="Arial" w:cs="Arial"/>
          <w:sz w:val="20"/>
        </w:rPr>
        <w:t xml:space="preserve">always </w:t>
      </w:r>
      <w:r w:rsidR="000229A7" w:rsidRPr="000229A7">
        <w:rPr>
          <w:rFonts w:ascii="Arial" w:hAnsi="Arial" w:cs="Arial"/>
          <w:sz w:val="20"/>
        </w:rPr>
        <w:t>aligned.</w:t>
      </w:r>
      <w:r w:rsidR="00794601">
        <w:rPr>
          <w:rFonts w:ascii="Arial" w:hAnsi="Arial" w:cs="Arial"/>
          <w:sz w:val="20"/>
        </w:rPr>
        <w:t xml:space="preserve"> Raster alignment is to some extend also an issue for higher NR OFDM numerologies. </w:t>
      </w:r>
    </w:p>
    <w:p w14:paraId="77924FEA" w14:textId="573529F6" w:rsidR="000229A7" w:rsidRDefault="00794601" w:rsidP="00F850A2">
      <w:pPr>
        <w:spacing w:after="120"/>
        <w:jc w:val="both"/>
        <w:rPr>
          <w:rFonts w:ascii="Arial" w:hAnsi="Arial" w:cs="Arial"/>
          <w:sz w:val="20"/>
        </w:rPr>
      </w:pPr>
      <w:r>
        <w:rPr>
          <w:rFonts w:ascii="Arial" w:hAnsi="Arial" w:cs="Arial"/>
          <w:sz w:val="20"/>
        </w:rPr>
        <w:t xml:space="preserve">In our view, there is no choice but to re-use the </w:t>
      </w:r>
      <w:r w:rsidR="00F850A2">
        <w:rPr>
          <w:rFonts w:ascii="Arial" w:hAnsi="Arial" w:cs="Arial"/>
          <w:sz w:val="20"/>
        </w:rPr>
        <w:t xml:space="preserve">LTE </w:t>
      </w:r>
      <w:r>
        <w:rPr>
          <w:rFonts w:ascii="Arial" w:hAnsi="Arial" w:cs="Arial"/>
          <w:sz w:val="20"/>
        </w:rPr>
        <w:t xml:space="preserve">channel raster </w:t>
      </w:r>
      <w:r w:rsidR="00F850A2">
        <w:rPr>
          <w:rFonts w:ascii="Arial" w:hAnsi="Arial" w:cs="Arial"/>
          <w:sz w:val="20"/>
        </w:rPr>
        <w:t xml:space="preserve">also for NR. In case that only a single center-frequency based DL access region, i.e. the </w:t>
      </w:r>
      <w:r w:rsidR="006904FD">
        <w:rPr>
          <w:rFonts w:ascii="Arial" w:hAnsi="Arial" w:cs="Arial"/>
          <w:sz w:val="20"/>
        </w:rPr>
        <w:t xml:space="preserve">PRBs containing the </w:t>
      </w:r>
      <w:r w:rsidR="00F850A2">
        <w:rPr>
          <w:rFonts w:ascii="Arial" w:hAnsi="Arial" w:cs="Arial"/>
          <w:sz w:val="20"/>
        </w:rPr>
        <w:t xml:space="preserve">common DL acquisition signals / channels were supported in NR, it would </w:t>
      </w:r>
      <w:r w:rsidR="006904FD">
        <w:rPr>
          <w:rFonts w:ascii="Arial" w:hAnsi="Arial" w:cs="Arial"/>
          <w:sz w:val="20"/>
        </w:rPr>
        <w:lastRenderedPageBreak/>
        <w:t xml:space="preserve">still </w:t>
      </w:r>
      <w:r w:rsidR="00F850A2">
        <w:rPr>
          <w:rFonts w:ascii="Arial" w:hAnsi="Arial" w:cs="Arial"/>
          <w:sz w:val="20"/>
        </w:rPr>
        <w:t xml:space="preserve">be possible to adopt a solution similar to </w:t>
      </w:r>
      <w:r>
        <w:rPr>
          <w:rFonts w:ascii="Arial" w:hAnsi="Arial" w:cs="Arial"/>
          <w:sz w:val="20"/>
        </w:rPr>
        <w:t>NB-IoT</w:t>
      </w:r>
      <w:r w:rsidR="00F850A2">
        <w:rPr>
          <w:rFonts w:ascii="Arial" w:hAnsi="Arial" w:cs="Arial"/>
          <w:sz w:val="20"/>
        </w:rPr>
        <w:t xml:space="preserve">. During </w:t>
      </w:r>
      <w:r>
        <w:rPr>
          <w:rFonts w:ascii="Arial" w:hAnsi="Arial" w:cs="Arial"/>
          <w:sz w:val="20"/>
        </w:rPr>
        <w:t xml:space="preserve">initial access the frequency offset positions of </w:t>
      </w:r>
      <w:r w:rsidR="00F850A2">
        <w:rPr>
          <w:rFonts w:ascii="Arial" w:hAnsi="Arial" w:cs="Arial"/>
          <w:sz w:val="20"/>
        </w:rPr>
        <w:t xml:space="preserve">a selected number of possible anchor </w:t>
      </w:r>
      <w:r>
        <w:rPr>
          <w:rFonts w:ascii="Arial" w:hAnsi="Arial" w:cs="Arial"/>
          <w:sz w:val="20"/>
        </w:rPr>
        <w:t xml:space="preserve">PRBs are signaled to </w:t>
      </w:r>
      <w:r w:rsidR="00F850A2">
        <w:rPr>
          <w:rFonts w:ascii="Arial" w:hAnsi="Arial" w:cs="Arial"/>
          <w:sz w:val="20"/>
        </w:rPr>
        <w:t xml:space="preserve">R13 NB-IoT </w:t>
      </w:r>
      <w:r>
        <w:rPr>
          <w:rFonts w:ascii="Arial" w:hAnsi="Arial" w:cs="Arial"/>
          <w:sz w:val="20"/>
        </w:rPr>
        <w:t>devices.</w:t>
      </w:r>
      <w:r w:rsidR="00F850A2">
        <w:rPr>
          <w:rFonts w:ascii="Arial" w:hAnsi="Arial" w:cs="Arial"/>
          <w:sz w:val="20"/>
        </w:rPr>
        <w:t xml:space="preserve"> We note that in presence of multiple configurable DL access regions</w:t>
      </w:r>
      <w:r w:rsidR="006904FD">
        <w:rPr>
          <w:rFonts w:ascii="Arial" w:hAnsi="Arial" w:cs="Arial"/>
          <w:sz w:val="20"/>
        </w:rPr>
        <w:t xml:space="preserve"> for NR in frequency-domain</w:t>
      </w:r>
      <w:r w:rsidR="00F850A2">
        <w:rPr>
          <w:rFonts w:ascii="Arial" w:hAnsi="Arial" w:cs="Arial"/>
          <w:sz w:val="20"/>
        </w:rPr>
        <w:t>, it will be possible to account for raster alignment.</w:t>
      </w:r>
    </w:p>
    <w:p w14:paraId="62BEC427" w14:textId="2A5121E3" w:rsidR="002422CC" w:rsidRDefault="006904FD" w:rsidP="00F850A2">
      <w:pPr>
        <w:spacing w:after="120"/>
        <w:jc w:val="both"/>
        <w:rPr>
          <w:rFonts w:ascii="Arial" w:hAnsi="Arial" w:cs="Arial"/>
          <w:sz w:val="20"/>
        </w:rPr>
      </w:pPr>
      <w:r>
        <w:rPr>
          <w:rFonts w:ascii="Arial" w:hAnsi="Arial" w:cs="Arial"/>
          <w:sz w:val="20"/>
        </w:rPr>
        <w:t xml:space="preserve">In consequence, we think that 12 subcarriers per PRB in NR like in LTE is a good choice. For the case of 15 kHz CP-OFDM numerology, tight interworking between LTE and NR </w:t>
      </w:r>
      <w:r w:rsidR="002422CC">
        <w:rPr>
          <w:rFonts w:ascii="Arial" w:hAnsi="Arial" w:cs="Arial"/>
          <w:sz w:val="20"/>
        </w:rPr>
        <w:t xml:space="preserve">in the logic of previous NR agreements to align OFDM symbols and to support a nested subframe duration structure for different numerologies </w:t>
      </w:r>
      <w:r>
        <w:rPr>
          <w:rFonts w:ascii="Arial" w:hAnsi="Arial" w:cs="Arial"/>
          <w:sz w:val="20"/>
        </w:rPr>
        <w:t xml:space="preserve">remains a possibility. </w:t>
      </w:r>
      <w:r w:rsidR="002422CC">
        <w:rPr>
          <w:rFonts w:ascii="Arial" w:hAnsi="Arial" w:cs="Arial"/>
          <w:sz w:val="20"/>
        </w:rPr>
        <w:t>Designated 15 kHz</w:t>
      </w:r>
      <w:r>
        <w:rPr>
          <w:rFonts w:ascii="Arial" w:hAnsi="Arial" w:cs="Arial"/>
          <w:sz w:val="20"/>
        </w:rPr>
        <w:t xml:space="preserve"> NR RBGs containing an arbitrary number of PRBs can be aligned with those of 15 kHz neighbor eNBs. In case of 16 subcarriers per </w:t>
      </w:r>
      <w:r>
        <w:rPr>
          <w:rFonts w:ascii="Arial" w:hAnsi="Arial" w:cs="Arial"/>
          <w:sz w:val="20"/>
        </w:rPr>
        <w:lastRenderedPageBreak/>
        <w:t xml:space="preserve">PRB, alignment can </w:t>
      </w:r>
      <w:r w:rsidR="002422CC">
        <w:rPr>
          <w:rFonts w:ascii="Arial" w:hAnsi="Arial" w:cs="Arial"/>
          <w:sz w:val="20"/>
        </w:rPr>
        <w:t>only be achieved for contiguous 720 kHz BW segments, i.e. only for groups of 4 PRBs using 12 subcarriers.</w:t>
      </w:r>
      <w:r w:rsidR="00A7240F">
        <w:rPr>
          <w:rFonts w:ascii="Arial" w:hAnsi="Arial" w:cs="Arial"/>
          <w:sz w:val="20"/>
        </w:rPr>
        <w:t xml:space="preserve"> It will be easier and more allocation-efficient to operate R13 NB-IoT in-band and guard-band deployments on NR channels.</w:t>
      </w:r>
    </w:p>
    <w:p w14:paraId="44C67783" w14:textId="6C8A6FF3" w:rsidR="00046837" w:rsidRDefault="002422CC" w:rsidP="00A42C89">
      <w:pPr>
        <w:spacing w:after="120"/>
        <w:jc w:val="both"/>
        <w:rPr>
          <w:rFonts w:ascii="Arial" w:hAnsi="Arial" w:cs="Arial"/>
          <w:sz w:val="20"/>
        </w:rPr>
      </w:pPr>
      <w:r>
        <w:rPr>
          <w:rFonts w:ascii="Arial" w:hAnsi="Arial" w:cs="Arial"/>
          <w:sz w:val="20"/>
        </w:rPr>
        <w:t xml:space="preserve">Given the RAN1#86 agreement for NR to support CP-OFDM in DL and UL </w:t>
      </w:r>
      <w:r w:rsidR="00A42C89">
        <w:rPr>
          <w:rFonts w:ascii="Arial" w:hAnsi="Arial" w:cs="Arial"/>
          <w:sz w:val="20"/>
        </w:rPr>
        <w:t>for eMBB an</w:t>
      </w:r>
      <w:r>
        <w:rPr>
          <w:rFonts w:ascii="Arial" w:hAnsi="Arial" w:cs="Arial"/>
          <w:sz w:val="20"/>
        </w:rPr>
        <w:t xml:space="preserve">d URLCC with a larger transmission bandwidth occupancy ratio than LTE at least up to 40 GHz, some thought needs to be given to DFT-S OFDM as one example for a possible additional low PAPR/CM technique. Unlike LTE, a low PAPR/CM technique in NR may </w:t>
      </w:r>
      <w:r w:rsidR="00A42C89">
        <w:rPr>
          <w:rFonts w:ascii="Arial" w:hAnsi="Arial" w:cs="Arial"/>
          <w:sz w:val="20"/>
        </w:rPr>
        <w:t xml:space="preserve">in addition to the UL also </w:t>
      </w:r>
      <w:r>
        <w:rPr>
          <w:rFonts w:ascii="Arial" w:hAnsi="Arial" w:cs="Arial"/>
          <w:sz w:val="20"/>
        </w:rPr>
        <w:t xml:space="preserve">be needed </w:t>
      </w:r>
      <w:r w:rsidR="00A42C89">
        <w:rPr>
          <w:rFonts w:ascii="Arial" w:hAnsi="Arial" w:cs="Arial"/>
          <w:sz w:val="20"/>
        </w:rPr>
        <w:t xml:space="preserve">for the </w:t>
      </w:r>
      <w:r>
        <w:rPr>
          <w:rFonts w:ascii="Arial" w:hAnsi="Arial" w:cs="Arial"/>
          <w:sz w:val="20"/>
        </w:rPr>
        <w:t xml:space="preserve">DL due to small power eNBs. A DFT decomposition of integer multiples of </w:t>
      </w:r>
      <w:r w:rsidR="00A42C89">
        <w:rPr>
          <w:rFonts w:ascii="Arial" w:hAnsi="Arial" w:cs="Arial"/>
          <w:sz w:val="20"/>
        </w:rPr>
        <w:t xml:space="preserve">the </w:t>
      </w:r>
      <w:r>
        <w:rPr>
          <w:rFonts w:ascii="Arial" w:hAnsi="Arial" w:cs="Arial"/>
          <w:sz w:val="20"/>
        </w:rPr>
        <w:t xml:space="preserve">powers of 2,3 and 5 </w:t>
      </w:r>
      <w:r w:rsidR="00A42C89">
        <w:rPr>
          <w:rFonts w:ascii="Arial" w:hAnsi="Arial" w:cs="Arial"/>
          <w:sz w:val="20"/>
        </w:rPr>
        <w:t xml:space="preserve">would </w:t>
      </w:r>
      <w:r>
        <w:rPr>
          <w:rFonts w:ascii="Arial" w:hAnsi="Arial" w:cs="Arial"/>
          <w:sz w:val="20"/>
        </w:rPr>
        <w:t xml:space="preserve">nominally not </w:t>
      </w:r>
      <w:r w:rsidR="00A42C89">
        <w:rPr>
          <w:rFonts w:ascii="Arial" w:hAnsi="Arial" w:cs="Arial"/>
          <w:sz w:val="20"/>
        </w:rPr>
        <w:t xml:space="preserve">be </w:t>
      </w:r>
      <w:r>
        <w:rPr>
          <w:rFonts w:ascii="Arial" w:hAnsi="Arial" w:cs="Arial"/>
          <w:sz w:val="20"/>
        </w:rPr>
        <w:t xml:space="preserve">needed when considering </w:t>
      </w:r>
      <w:r w:rsidR="00A42C89">
        <w:rPr>
          <w:rFonts w:ascii="Arial" w:hAnsi="Arial" w:cs="Arial"/>
          <w:sz w:val="20"/>
        </w:rPr>
        <w:t xml:space="preserve">only </w:t>
      </w:r>
      <w:r>
        <w:rPr>
          <w:rFonts w:ascii="Arial" w:hAnsi="Arial" w:cs="Arial"/>
          <w:sz w:val="20"/>
        </w:rPr>
        <w:t xml:space="preserve">a </w:t>
      </w:r>
      <w:r>
        <w:rPr>
          <w:rFonts w:ascii="Arial" w:hAnsi="Arial" w:cs="Arial"/>
          <w:sz w:val="20"/>
        </w:rPr>
        <w:lastRenderedPageBreak/>
        <w:t xml:space="preserve">single PRB </w:t>
      </w:r>
      <w:r w:rsidR="00A42C89">
        <w:rPr>
          <w:rFonts w:ascii="Arial" w:hAnsi="Arial" w:cs="Arial"/>
          <w:sz w:val="20"/>
        </w:rPr>
        <w:t xml:space="preserve">using </w:t>
      </w:r>
      <w:r>
        <w:rPr>
          <w:rFonts w:ascii="Arial" w:hAnsi="Arial" w:cs="Arial"/>
          <w:sz w:val="20"/>
        </w:rPr>
        <w:t xml:space="preserve">16 subcarriers. However, </w:t>
      </w:r>
      <w:r w:rsidR="00A42C89">
        <w:rPr>
          <w:rFonts w:ascii="Arial" w:hAnsi="Arial" w:cs="Arial"/>
          <w:sz w:val="20"/>
        </w:rPr>
        <w:t xml:space="preserve">introduction of DFT-S OFDM on top of CP-OFDM would still result in limitations on the number of possible PRBs which can be allocated to a UE, i.e. a power of 2 based DFT decomposition alone will anyway not be sufficient.    </w:t>
      </w:r>
    </w:p>
    <w:p w14:paraId="32AFA789" w14:textId="5F855B51" w:rsidR="001A1F6A" w:rsidRDefault="001A1F6A" w:rsidP="00435803">
      <w:pPr>
        <w:jc w:val="both"/>
        <w:rPr>
          <w:rFonts w:ascii="Arial" w:hAnsi="Arial" w:cs="Arial"/>
          <w:sz w:val="20"/>
        </w:rPr>
      </w:pPr>
    </w:p>
    <w:p w14:paraId="3052C328" w14:textId="0BFCA3EB" w:rsidR="001A1F6A" w:rsidRPr="00101C0E" w:rsidRDefault="00F74C41" w:rsidP="001A1F6A">
      <w:pPr>
        <w:overflowPunct w:val="0"/>
        <w:autoSpaceDE w:val="0"/>
        <w:autoSpaceDN w:val="0"/>
        <w:adjustRightInd w:val="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1</w:t>
      </w:r>
      <w:r w:rsidR="001A1F6A" w:rsidRPr="00101C0E">
        <w:rPr>
          <w:rFonts w:ascii="Arial" w:eastAsia="SimSun" w:hAnsi="Arial" w:cs="Arial"/>
          <w:b/>
          <w:sz w:val="20"/>
          <w:szCs w:val="20"/>
          <w:lang w:eastAsia="zh-CN"/>
        </w:rPr>
        <w:t>:</w:t>
      </w:r>
    </w:p>
    <w:p w14:paraId="40C73B2C" w14:textId="794EC203" w:rsidR="0047748E" w:rsidRPr="001D51E8" w:rsidRDefault="001D51E8" w:rsidP="001D51E8">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The number of subcarriers per PRB is 12 in NR.</w:t>
      </w: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7779DA85" w14:textId="7C34BAAE" w:rsidR="00616BAF" w:rsidRDefault="001D51E8" w:rsidP="00616BAF">
      <w:pPr>
        <w:spacing w:after="240"/>
        <w:jc w:val="both"/>
        <w:rPr>
          <w:rFonts w:ascii="Arial" w:hAnsi="Arial" w:cs="Arial"/>
          <w:sz w:val="20"/>
        </w:rPr>
      </w:pPr>
      <w:r>
        <w:rPr>
          <w:rFonts w:ascii="Arial" w:hAnsi="Arial" w:cs="Arial"/>
          <w:sz w:val="20"/>
        </w:rPr>
        <w:t xml:space="preserve">In this contribution, we provided our view on the number of subcarriers per PRB in NR. </w:t>
      </w:r>
      <w:r w:rsidR="003355AD">
        <w:rPr>
          <w:rFonts w:ascii="Arial" w:hAnsi="Arial" w:cs="Arial"/>
          <w:sz w:val="20"/>
        </w:rPr>
        <w:t>In summary we propose,</w:t>
      </w:r>
    </w:p>
    <w:p w14:paraId="2DB2BAE0" w14:textId="77777777" w:rsidR="001D51E8" w:rsidRPr="00101C0E" w:rsidRDefault="001D51E8" w:rsidP="001D51E8">
      <w:pPr>
        <w:overflowPunct w:val="0"/>
        <w:autoSpaceDE w:val="0"/>
        <w:autoSpaceDN w:val="0"/>
        <w:adjustRightInd w:val="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1</w:t>
      </w:r>
      <w:r w:rsidRPr="00101C0E">
        <w:rPr>
          <w:rFonts w:ascii="Arial" w:eastAsia="SimSun" w:hAnsi="Arial" w:cs="Arial"/>
          <w:b/>
          <w:sz w:val="20"/>
          <w:szCs w:val="20"/>
          <w:lang w:eastAsia="zh-CN"/>
        </w:rPr>
        <w:t>:</w:t>
      </w:r>
    </w:p>
    <w:p w14:paraId="3913B575" w14:textId="166D5A7A" w:rsidR="00193C75" w:rsidRPr="001D51E8" w:rsidRDefault="001D51E8" w:rsidP="003355AD">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The number of subcarriers per PRB is 12 in NR</w:t>
      </w:r>
      <w:r w:rsidR="003355AD" w:rsidRPr="00101C0E">
        <w:rPr>
          <w:rFonts w:ascii="Arial" w:eastAsia="SimSun" w:hAnsi="Arial" w:cs="Arial"/>
          <w:i/>
          <w:sz w:val="20"/>
          <w:szCs w:val="20"/>
          <w:lang w:eastAsia="zh-CN"/>
        </w:rPr>
        <w:t>.</w:t>
      </w:r>
    </w:p>
    <w:p w14:paraId="0EF7466D" w14:textId="77777777" w:rsidR="00251B4A" w:rsidRPr="00624CB2" w:rsidRDefault="00251B4A" w:rsidP="00326846">
      <w:pPr>
        <w:pStyle w:val="Heading1"/>
        <w:jc w:val="both"/>
        <w:rPr>
          <w:sz w:val="32"/>
          <w:lang w:val="en-US"/>
        </w:rPr>
      </w:pPr>
      <w:r w:rsidRPr="00624CB2">
        <w:rPr>
          <w:sz w:val="32"/>
          <w:lang w:val="en-US"/>
        </w:rPr>
        <w:lastRenderedPageBreak/>
        <w:t>References</w:t>
      </w:r>
    </w:p>
    <w:p w14:paraId="2C274666" w14:textId="7A9B6D63" w:rsidR="00616BAF" w:rsidRPr="00985F72" w:rsidRDefault="00616BAF" w:rsidP="00863316">
      <w:pPr>
        <w:pStyle w:val="Reference"/>
        <w:numPr>
          <w:ilvl w:val="0"/>
          <w:numId w:val="46"/>
        </w:numPr>
        <w:spacing w:line="256" w:lineRule="auto"/>
        <w:rPr>
          <w:rFonts w:ascii="Arial" w:hAnsi="Arial" w:cs="Arial"/>
          <w:sz w:val="20"/>
        </w:rPr>
      </w:pPr>
      <w:r w:rsidRPr="00985F72">
        <w:rPr>
          <w:rFonts w:ascii="Arial" w:hAnsi="Arial" w:cs="Arial"/>
          <w:sz w:val="20"/>
        </w:rPr>
        <w:t>R1-16</w:t>
      </w:r>
      <w:r w:rsidR="0094303A">
        <w:rPr>
          <w:rFonts w:ascii="Arial" w:hAnsi="Arial" w:cs="Arial"/>
          <w:sz w:val="20"/>
        </w:rPr>
        <w:t>10022</w:t>
      </w:r>
      <w:r w:rsidRPr="00985F72">
        <w:rPr>
          <w:rFonts w:ascii="Arial" w:hAnsi="Arial" w:cs="Arial"/>
          <w:sz w:val="20"/>
        </w:rPr>
        <w:tab/>
      </w:r>
      <w:r w:rsidR="0094303A">
        <w:rPr>
          <w:rFonts w:ascii="Arial" w:hAnsi="Arial" w:cs="Arial"/>
          <w:sz w:val="20"/>
        </w:rPr>
        <w:tab/>
        <w:t>UE s</w:t>
      </w:r>
      <w:r w:rsidRPr="00985F72">
        <w:rPr>
          <w:rFonts w:ascii="Arial" w:hAnsi="Arial" w:cs="Arial"/>
          <w:sz w:val="20"/>
        </w:rPr>
        <w:t xml:space="preserve">upport for multiple numerologies </w:t>
      </w:r>
      <w:r w:rsidR="0094303A">
        <w:rPr>
          <w:rFonts w:ascii="Arial" w:hAnsi="Arial" w:cs="Arial"/>
          <w:sz w:val="20"/>
        </w:rPr>
        <w:t>for</w:t>
      </w:r>
      <w:r w:rsidRPr="00985F72">
        <w:rPr>
          <w:rFonts w:ascii="Arial" w:hAnsi="Arial" w:cs="Arial"/>
          <w:sz w:val="20"/>
        </w:rPr>
        <w:t xml:space="preserve"> NR; </w:t>
      </w:r>
      <w:proofErr w:type="spellStart"/>
      <w:r w:rsidRPr="00985F72">
        <w:rPr>
          <w:rFonts w:ascii="Arial" w:hAnsi="Arial" w:cs="Arial"/>
          <w:sz w:val="20"/>
        </w:rPr>
        <w:t>InterDigital</w:t>
      </w:r>
      <w:bookmarkStart w:id="0" w:name="_GoBack"/>
      <w:bookmarkEnd w:id="0"/>
      <w:proofErr w:type="spellEnd"/>
    </w:p>
    <w:sectPr w:rsidR="00616BAF" w:rsidRPr="00985F72" w:rsidSect="00D55085">
      <w:headerReference w:type="even" r:id="rId11"/>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537A9" w14:textId="77777777" w:rsidR="00117CC4" w:rsidRDefault="00117CC4">
      <w:r>
        <w:separator/>
      </w:r>
    </w:p>
  </w:endnote>
  <w:endnote w:type="continuationSeparator" w:id="0">
    <w:p w14:paraId="56D597C8" w14:textId="77777777" w:rsidR="00117CC4" w:rsidRDefault="001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303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303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01564" w14:textId="77777777" w:rsidR="00117CC4" w:rsidRDefault="00117CC4">
      <w:r>
        <w:separator/>
      </w:r>
    </w:p>
  </w:footnote>
  <w:footnote w:type="continuationSeparator" w:id="0">
    <w:p w14:paraId="6CFF1CD0" w14:textId="77777777" w:rsidR="00117CC4" w:rsidRDefault="00117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356E4"/>
    <w:multiLevelType w:val="hybridMultilevel"/>
    <w:tmpl w:val="5D1456E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C456BB"/>
    <w:multiLevelType w:val="hybridMultilevel"/>
    <w:tmpl w:val="BEB48738"/>
    <w:lvl w:ilvl="0" w:tplc="603AEAD6">
      <w:numFmt w:val="bullet"/>
      <w:lvlText w:val=""/>
      <w:lvlJc w:val="left"/>
      <w:pPr>
        <w:ind w:left="1080" w:hanging="360"/>
      </w:pPr>
      <w:rPr>
        <w:rFonts w:ascii="Wingdings" w:eastAsia="Calibr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790446"/>
    <w:multiLevelType w:val="hybridMultilevel"/>
    <w:tmpl w:val="396C34C4"/>
    <w:lvl w:ilvl="0" w:tplc="F75E770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6"/>
  </w:num>
  <w:num w:numId="4">
    <w:abstractNumId w:val="18"/>
  </w:num>
  <w:num w:numId="5">
    <w:abstractNumId w:val="12"/>
  </w:num>
  <w:num w:numId="6">
    <w:abstractNumId w:val="21"/>
  </w:num>
  <w:num w:numId="7">
    <w:abstractNumId w:val="31"/>
  </w:num>
  <w:num w:numId="8">
    <w:abstractNumId w:val="13"/>
  </w:num>
  <w:num w:numId="9">
    <w:abstractNumId w:val="40"/>
  </w:num>
  <w:num w:numId="10">
    <w:abstractNumId w:val="34"/>
  </w:num>
  <w:num w:numId="11">
    <w:abstractNumId w:val="42"/>
  </w:num>
  <w:num w:numId="12">
    <w:abstractNumId w:val="6"/>
  </w:num>
  <w:num w:numId="13">
    <w:abstractNumId w:val="9"/>
  </w:num>
  <w:num w:numId="14">
    <w:abstractNumId w:val="20"/>
  </w:num>
  <w:num w:numId="15">
    <w:abstractNumId w:val="35"/>
  </w:num>
  <w:num w:numId="16">
    <w:abstractNumId w:val="7"/>
  </w:num>
  <w:num w:numId="17">
    <w:abstractNumId w:val="3"/>
  </w:num>
  <w:num w:numId="18">
    <w:abstractNumId w:val="11"/>
  </w:num>
  <w:num w:numId="19">
    <w:abstractNumId w:val="32"/>
  </w:num>
  <w:num w:numId="20">
    <w:abstractNumId w:val="24"/>
  </w:num>
  <w:num w:numId="21">
    <w:abstractNumId w:val="27"/>
  </w:num>
  <w:num w:numId="22">
    <w:abstractNumId w:val="37"/>
  </w:num>
  <w:num w:numId="23">
    <w:abstractNumId w:val="5"/>
  </w:num>
  <w:num w:numId="24">
    <w:abstractNumId w:val="36"/>
  </w:num>
  <w:num w:numId="25">
    <w:abstractNumId w:val="43"/>
  </w:num>
  <w:num w:numId="26">
    <w:abstractNumId w:val="19"/>
  </w:num>
  <w:num w:numId="27">
    <w:abstractNumId w:val="38"/>
  </w:num>
  <w:num w:numId="28">
    <w:abstractNumId w:val="26"/>
  </w:num>
  <w:num w:numId="29">
    <w:abstractNumId w:val="1"/>
  </w:num>
  <w:num w:numId="30">
    <w:abstractNumId w:val="1"/>
  </w:num>
  <w:num w:numId="31">
    <w:abstractNumId w:val="33"/>
  </w:num>
  <w:num w:numId="32">
    <w:abstractNumId w:val="22"/>
  </w:num>
  <w:num w:numId="33">
    <w:abstractNumId w:val="10"/>
  </w:num>
  <w:num w:numId="34">
    <w:abstractNumId w:val="44"/>
  </w:num>
  <w:num w:numId="35">
    <w:abstractNumId w:val="39"/>
  </w:num>
  <w:num w:numId="36">
    <w:abstractNumId w:val="0"/>
  </w:num>
  <w:num w:numId="37">
    <w:abstractNumId w:val="25"/>
  </w:num>
  <w:num w:numId="38">
    <w:abstractNumId w:val="28"/>
  </w:num>
  <w:num w:numId="39">
    <w:abstractNumId w:val="15"/>
  </w:num>
  <w:num w:numId="40">
    <w:abstractNumId w:val="23"/>
  </w:num>
  <w:num w:numId="41">
    <w:abstractNumId w:val="1"/>
  </w:num>
  <w:num w:numId="42">
    <w:abstractNumId w:val="14"/>
  </w:num>
  <w:num w:numId="43">
    <w:abstractNumId w:val="29"/>
  </w:num>
  <w:num w:numId="44">
    <w:abstractNumId w:val="2"/>
  </w:num>
  <w:num w:numId="45">
    <w:abstractNumId w:val="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8"/>
  </w:num>
  <w:num w:numId="49">
    <w:abstractNumId w:val="17"/>
  </w:num>
  <w:num w:numId="50">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9A7"/>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6837"/>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C4"/>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370"/>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3F6D"/>
    <w:rsid w:val="001846F2"/>
    <w:rsid w:val="00185251"/>
    <w:rsid w:val="001856D0"/>
    <w:rsid w:val="00187149"/>
    <w:rsid w:val="00187FF9"/>
    <w:rsid w:val="00190AC1"/>
    <w:rsid w:val="001921DE"/>
    <w:rsid w:val="00192D14"/>
    <w:rsid w:val="0019341A"/>
    <w:rsid w:val="00193C75"/>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B7ACB"/>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1E8"/>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2CC"/>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4C99"/>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121"/>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38E"/>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6D98"/>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698"/>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31D"/>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05F7"/>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5803"/>
    <w:rsid w:val="00437447"/>
    <w:rsid w:val="00440C67"/>
    <w:rsid w:val="00441A92"/>
    <w:rsid w:val="00442A5F"/>
    <w:rsid w:val="00443C63"/>
    <w:rsid w:val="00443F75"/>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4FD"/>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A4C"/>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B4"/>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290"/>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601"/>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148"/>
    <w:rsid w:val="00827CAB"/>
    <w:rsid w:val="00827D6F"/>
    <w:rsid w:val="00830677"/>
    <w:rsid w:val="00830E87"/>
    <w:rsid w:val="00832008"/>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0B8"/>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49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1BAF"/>
    <w:rsid w:val="00902491"/>
    <w:rsid w:val="00902BDA"/>
    <w:rsid w:val="00902E62"/>
    <w:rsid w:val="0090336B"/>
    <w:rsid w:val="00903880"/>
    <w:rsid w:val="00903AB3"/>
    <w:rsid w:val="00904602"/>
    <w:rsid w:val="0090481D"/>
    <w:rsid w:val="00905214"/>
    <w:rsid w:val="00905285"/>
    <w:rsid w:val="009053AA"/>
    <w:rsid w:val="00905561"/>
    <w:rsid w:val="00906431"/>
    <w:rsid w:val="00906939"/>
    <w:rsid w:val="00906A8B"/>
    <w:rsid w:val="00906C12"/>
    <w:rsid w:val="00907F4E"/>
    <w:rsid w:val="00910390"/>
    <w:rsid w:val="00910B7D"/>
    <w:rsid w:val="00911DFB"/>
    <w:rsid w:val="009125E0"/>
    <w:rsid w:val="009127D9"/>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03A"/>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5F72"/>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89"/>
    <w:rsid w:val="009D5BB6"/>
    <w:rsid w:val="009D5C78"/>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2C89"/>
    <w:rsid w:val="00A43013"/>
    <w:rsid w:val="00A4318D"/>
    <w:rsid w:val="00A45189"/>
    <w:rsid w:val="00A45364"/>
    <w:rsid w:val="00A453DB"/>
    <w:rsid w:val="00A45AD5"/>
    <w:rsid w:val="00A45B74"/>
    <w:rsid w:val="00A45BB0"/>
    <w:rsid w:val="00A45CB8"/>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0F"/>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A744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2F6D"/>
    <w:rsid w:val="00AF42D7"/>
    <w:rsid w:val="00AF474B"/>
    <w:rsid w:val="00AF4AFF"/>
    <w:rsid w:val="00AF643F"/>
    <w:rsid w:val="00AF6DA0"/>
    <w:rsid w:val="00B006FE"/>
    <w:rsid w:val="00B007CB"/>
    <w:rsid w:val="00B00A65"/>
    <w:rsid w:val="00B02AA9"/>
    <w:rsid w:val="00B02FA3"/>
    <w:rsid w:val="00B03281"/>
    <w:rsid w:val="00B0382C"/>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48F"/>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1C72"/>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600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1C2"/>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525"/>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245"/>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97574"/>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680"/>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45D"/>
    <w:rsid w:val="00F64C2B"/>
    <w:rsid w:val="00F64DC0"/>
    <w:rsid w:val="00F651BE"/>
    <w:rsid w:val="00F65F27"/>
    <w:rsid w:val="00F67E37"/>
    <w:rsid w:val="00F67F53"/>
    <w:rsid w:val="00F70104"/>
    <w:rsid w:val="00F703BE"/>
    <w:rsid w:val="00F71F69"/>
    <w:rsid w:val="00F72B72"/>
    <w:rsid w:val="00F745E4"/>
    <w:rsid w:val="00F74BB9"/>
    <w:rsid w:val="00F74C41"/>
    <w:rsid w:val="00F75582"/>
    <w:rsid w:val="00F755A8"/>
    <w:rsid w:val="00F75A12"/>
    <w:rsid w:val="00F76EFA"/>
    <w:rsid w:val="00F800BF"/>
    <w:rsid w:val="00F804BE"/>
    <w:rsid w:val="00F817CE"/>
    <w:rsid w:val="00F81DA0"/>
    <w:rsid w:val="00F82FBC"/>
    <w:rsid w:val="00F8345A"/>
    <w:rsid w:val="00F8456C"/>
    <w:rsid w:val="00F850A2"/>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03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430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303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2.xml><?xml version="1.0" encoding="utf-8"?>
<ds:datastoreItem xmlns:ds="http://schemas.openxmlformats.org/officeDocument/2006/customXml" ds:itemID="{18CAF4CF-9D99-44B5-A1A2-C2D66775F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F548B0C-90E8-4DC2-AA53-581DD04EC1DE}">
  <ds:schemaRefs>
    <ds:schemaRef ds:uri="http://schemas.microsoft.com/office/2006/metadata/properties"/>
    <ds:schemaRef ds:uri="http://purl.org/dc/elements/1.1/"/>
    <ds:schemaRef ds:uri="http://www.w3.org/XML/1998/namespace"/>
    <ds:schemaRef ds:uri="http://schemas.microsoft.com/office/2006/documentManagement/types"/>
    <ds:schemaRef ds:uri="http://purl.org/dc/terms/"/>
    <ds:schemaRef ds:uri="a98b0458-14e1-4e1f-a9ed-8418c6586003"/>
    <ds:schemaRef ds:uri="http://schemas.openxmlformats.org/package/2006/metadata/core-properties"/>
    <ds:schemaRef ds:uri="1a6b509d-2589-4a83-a0a0-28d3825bdbf3"/>
    <ds:schemaRef ds:uri="http://purl.org/dc/dcmitype/"/>
  </ds:schemaRefs>
</ds:datastoreItem>
</file>

<file path=customXml/itemProps4.xml><?xml version="1.0" encoding="utf-8"?>
<ds:datastoreItem xmlns:ds="http://schemas.openxmlformats.org/officeDocument/2006/customXml" ds:itemID="{86A6692F-C7F9-43A5-973A-DBBCEBFE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965</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2016-08-12T20:21:00Z</dcterms:created>
  <dcterms:modified xsi:type="dcterms:W3CDTF">2016-09-30T23:50:00Z</dcterms:modified>
  <cp:category/>
</cp:coreProperties>
</file>