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F9DC5" w14:textId="033BB73D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11552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2A4968" w:rsidRPr="002A4968">
        <w:rPr>
          <w:rFonts w:ascii="Arial" w:hAnsi="Arial" w:cs="Arial"/>
          <w:b/>
          <w:sz w:val="24"/>
          <w:szCs w:val="24"/>
        </w:rPr>
        <w:t>R1-166383</w:t>
      </w:r>
    </w:p>
    <w:p w14:paraId="3DB44C9C" w14:textId="12B4EB3F" w:rsidR="00182FBF" w:rsidRPr="00FD021C" w:rsidRDefault="00182FBF" w:rsidP="00BE76E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732BA">
        <w:rPr>
          <w:rFonts w:ascii="Arial" w:hAnsi="Arial" w:cs="Arial"/>
          <w:b/>
          <w:sz w:val="24"/>
          <w:szCs w:val="24"/>
        </w:rPr>
        <w:t>2</w:t>
      </w:r>
      <w:r w:rsidR="00911552">
        <w:rPr>
          <w:rFonts w:ascii="Arial" w:hAnsi="Arial" w:cs="Arial"/>
          <w:b/>
          <w:sz w:val="24"/>
          <w:szCs w:val="24"/>
        </w:rPr>
        <w:t>2</w:t>
      </w:r>
      <w:r w:rsidR="00911552">
        <w:rPr>
          <w:rFonts w:ascii="Arial" w:hAnsi="Arial" w:cs="Arial"/>
          <w:b/>
          <w:sz w:val="24"/>
          <w:szCs w:val="24"/>
          <w:vertAlign w:val="superscript"/>
        </w:rPr>
        <w:t>n</w:t>
      </w:r>
      <w:r w:rsidR="00BE76E2">
        <w:rPr>
          <w:rFonts w:ascii="Arial" w:hAnsi="Arial" w:cs="Arial"/>
          <w:b/>
          <w:sz w:val="24"/>
          <w:szCs w:val="24"/>
          <w:vertAlign w:val="superscript"/>
        </w:rPr>
        <w:t>d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2</w:t>
      </w:r>
      <w:r w:rsidR="00911552">
        <w:rPr>
          <w:rFonts w:ascii="Arial" w:hAnsi="Arial" w:cs="Arial"/>
          <w:b/>
          <w:sz w:val="24"/>
          <w:szCs w:val="24"/>
        </w:rPr>
        <w:t>6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11552">
        <w:rPr>
          <w:rFonts w:ascii="Arial" w:hAnsi="Arial" w:cs="Arial"/>
          <w:b/>
          <w:sz w:val="24"/>
          <w:szCs w:val="24"/>
        </w:rPr>
        <w:t>August</w:t>
      </w:r>
      <w:r w:rsidRPr="003732BA">
        <w:rPr>
          <w:rFonts w:ascii="Arial" w:hAnsi="Arial" w:cs="Arial"/>
          <w:b/>
          <w:sz w:val="24"/>
          <w:szCs w:val="24"/>
        </w:rPr>
        <w:t xml:space="preserve"> 201</w:t>
      </w:r>
      <w:r w:rsidR="00BE76E2">
        <w:rPr>
          <w:rFonts w:ascii="Arial" w:hAnsi="Arial" w:cs="Arial"/>
          <w:b/>
          <w:sz w:val="24"/>
          <w:szCs w:val="24"/>
        </w:rPr>
        <w:t>6</w:t>
      </w:r>
    </w:p>
    <w:p w14:paraId="48EBBF6F" w14:textId="69C9C49D" w:rsidR="00D42D5D" w:rsidRPr="000A64D8" w:rsidRDefault="00333261" w:rsidP="00D42D5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Gothenburg</w:t>
      </w:r>
      <w:r w:rsidR="00D42D5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Sweden</w:t>
      </w:r>
    </w:p>
    <w:p w14:paraId="171BD919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2644A68" w14:textId="6CC8EA2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911552">
        <w:rPr>
          <w:rFonts w:ascii="Arial" w:hAnsi="Arial"/>
          <w:sz w:val="24"/>
        </w:rPr>
        <w:t>8</w:t>
      </w:r>
      <w:r w:rsidR="00BE76E2">
        <w:rPr>
          <w:rFonts w:ascii="Arial" w:hAnsi="Arial"/>
          <w:sz w:val="24"/>
        </w:rPr>
        <w:t>.1.</w:t>
      </w:r>
      <w:r w:rsidR="002A4968">
        <w:rPr>
          <w:rFonts w:ascii="Arial" w:hAnsi="Arial"/>
          <w:sz w:val="24"/>
        </w:rPr>
        <w:t>5</w:t>
      </w:r>
    </w:p>
    <w:p w14:paraId="7C8745B4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C8A06FE" w14:textId="69D18CC1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11552">
        <w:rPr>
          <w:rFonts w:ascii="Arial" w:hAnsi="Arial"/>
          <w:sz w:val="22"/>
        </w:rPr>
        <w:t>QCL Considerations</w:t>
      </w:r>
    </w:p>
    <w:p w14:paraId="063B412D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2A401B6A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18FA4BB2" w14:textId="7B4FF989" w:rsidR="00B240FE" w:rsidRDefault="008A4DAC" w:rsidP="00B240FE">
      <w:pPr>
        <w:jc w:val="both"/>
        <w:rPr>
          <w:szCs w:val="22"/>
        </w:rPr>
      </w:pPr>
      <w:r w:rsidRPr="0034718C">
        <w:rPr>
          <w:szCs w:val="22"/>
        </w:rPr>
        <w:t>In RAN</w:t>
      </w:r>
      <w:r w:rsidR="00395470">
        <w:rPr>
          <w:szCs w:val="22"/>
        </w:rPr>
        <w:t>1</w:t>
      </w:r>
      <w:r w:rsidRPr="0034718C">
        <w:rPr>
          <w:szCs w:val="22"/>
        </w:rPr>
        <w:t>#</w:t>
      </w:r>
      <w:r w:rsidR="00395470">
        <w:rPr>
          <w:szCs w:val="22"/>
        </w:rPr>
        <w:t>85</w:t>
      </w:r>
      <w:r w:rsidRPr="0034718C">
        <w:rPr>
          <w:szCs w:val="22"/>
        </w:rPr>
        <w:t xml:space="preserve">, </w:t>
      </w:r>
      <w:r w:rsidR="00395470">
        <w:rPr>
          <w:szCs w:val="22"/>
        </w:rPr>
        <w:t xml:space="preserve">a WF on the antenna port and QCL assumption study in NR has been discussed.  It is agreed to </w:t>
      </w:r>
    </w:p>
    <w:p w14:paraId="20D0F7B3" w14:textId="77777777" w:rsidR="003F3032" w:rsidRPr="003F3032" w:rsidRDefault="003F3032" w:rsidP="003F3032">
      <w:pPr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eastAsia="MS Mincho"/>
          <w:i/>
          <w:lang w:eastAsia="ja-JP"/>
        </w:rPr>
      </w:pPr>
      <w:r w:rsidRPr="003F3032">
        <w:rPr>
          <w:rFonts w:eastAsia="MS Mincho"/>
          <w:i/>
          <w:lang w:eastAsia="ja-JP"/>
        </w:rPr>
        <w:t>Study necessity</w:t>
      </w:r>
      <w:r w:rsidRPr="003F3032">
        <w:rPr>
          <w:rFonts w:eastAsia="MS Mincho" w:hint="eastAsia"/>
          <w:i/>
          <w:lang w:eastAsia="ja-JP"/>
        </w:rPr>
        <w:t xml:space="preserve"> of </w:t>
      </w:r>
      <w:r w:rsidRPr="003F3032">
        <w:rPr>
          <w:rFonts w:eastAsia="MS Mincho"/>
          <w:i/>
          <w:lang w:eastAsia="ja-JP"/>
        </w:rPr>
        <w:t>QCL and measurement assumptions for antenna ports in NR</w:t>
      </w:r>
    </w:p>
    <w:p w14:paraId="2637387A" w14:textId="114A94E9" w:rsidR="003F3032" w:rsidRDefault="003F3032" w:rsidP="00B240FE">
      <w:pPr>
        <w:jc w:val="both"/>
        <w:rPr>
          <w:szCs w:val="22"/>
        </w:rPr>
      </w:pPr>
      <w:r>
        <w:rPr>
          <w:szCs w:val="22"/>
        </w:rPr>
        <w:t>In this contribution, we discuss views on necessity of QCL and the measurement assumptions for antenna ports in NR.</w:t>
      </w:r>
    </w:p>
    <w:p w14:paraId="2B3C1CFC" w14:textId="0E760B74" w:rsidR="00B240FE" w:rsidRDefault="00B240FE" w:rsidP="00B240FE">
      <w:pPr>
        <w:pStyle w:val="Heading1"/>
      </w:pPr>
      <w:r>
        <w:t>Discussion</w:t>
      </w:r>
    </w:p>
    <w:p w14:paraId="16A6CBB5" w14:textId="77777777" w:rsidR="00222F81" w:rsidRDefault="00DD0090" w:rsidP="0081047B">
      <w:r>
        <w:rPr>
          <w:lang w:val="en-GB"/>
        </w:rPr>
        <w:t xml:space="preserve">In LTE, </w:t>
      </w:r>
      <w:r w:rsidR="00F95AD3">
        <w:rPr>
          <w:lang w:val="en-GB"/>
        </w:rPr>
        <w:t xml:space="preserve">the concept of quasi-co-location (QCL) with respect to antenna ports was introduced in Rel-11 to support multi-point transmission.  </w:t>
      </w:r>
      <w:r w:rsidR="0081047B">
        <w:rPr>
          <w:lang w:val="en-GB"/>
        </w:rPr>
        <w:t xml:space="preserve">It is defined in LTE that </w:t>
      </w:r>
      <w:r w:rsidR="0081047B">
        <w:t xml:space="preserve">two antenna ports are said to be quasi co-located if the </w:t>
      </w:r>
      <w:r w:rsidR="0081047B" w:rsidRPr="00705644">
        <w:t>large-scale properties of the channel over which a symbol on one antenna port is conveyed can be inferred from the channel over which a symbol on the other antenna port is conveyed</w:t>
      </w:r>
      <w:r w:rsidR="0081047B">
        <w:t xml:space="preserve">. The large-scale properties include one or more of delay spread, Doppler spread, Doppler shift, average gain, and average delay.  </w:t>
      </w:r>
      <w:r w:rsidR="00DC7465">
        <w:t xml:space="preserve">If a UE determines those large-scale properties based on one antenna port and uses the estimates to tune the channel estimator of a non quasi co-located antenna ports, then large performance loss may be experienced.  </w:t>
      </w:r>
      <w:r w:rsidR="00222F81">
        <w:t>Several possible solutions have been discussed, which include</w:t>
      </w:r>
    </w:p>
    <w:p w14:paraId="73E305DD" w14:textId="50AFC87E" w:rsidR="00222F81" w:rsidRDefault="00222F81" w:rsidP="00222F81">
      <w:pPr>
        <w:ind w:left="360"/>
      </w:pPr>
      <w:r>
        <w:t>Alt-</w:t>
      </w:r>
      <w:r w:rsidR="00D9408C">
        <w:t>1</w:t>
      </w:r>
      <w:r>
        <w:t>.</w:t>
      </w:r>
      <w:r>
        <w:tab/>
      </w:r>
      <w:r w:rsidRPr="00222F81">
        <w:t>Force DM-RS based long term parameter estimation</w:t>
      </w:r>
    </w:p>
    <w:p w14:paraId="156FDE0D" w14:textId="07C8254B" w:rsidR="00222F81" w:rsidRDefault="00222F81" w:rsidP="00222F81">
      <w:pPr>
        <w:ind w:left="360"/>
      </w:pPr>
      <w:r>
        <w:t>Alt-</w:t>
      </w:r>
      <w:r w:rsidR="00D9408C">
        <w:t>2</w:t>
      </w:r>
      <w:r>
        <w:t>.</w:t>
      </w:r>
      <w:r>
        <w:tab/>
      </w:r>
      <w:r w:rsidRPr="00222F81">
        <w:t>Use a separate reference signal for each non-collocated signal</w:t>
      </w:r>
    </w:p>
    <w:p w14:paraId="2A11C3EA" w14:textId="7986AF2A" w:rsidR="00222F81" w:rsidRPr="00222F81" w:rsidRDefault="00222F81" w:rsidP="00222F81">
      <w:pPr>
        <w:ind w:left="360"/>
      </w:pPr>
      <w:r>
        <w:t>Alt-</w:t>
      </w:r>
      <w:r w:rsidR="00D9408C">
        <w:t>3</w:t>
      </w:r>
      <w:r>
        <w:t>.</w:t>
      </w:r>
      <w:r>
        <w:tab/>
      </w:r>
      <w:r w:rsidRPr="00222F81">
        <w:t xml:space="preserve">Indicate to UE to use </w:t>
      </w:r>
      <w:r>
        <w:t>“</w:t>
      </w:r>
      <w:r w:rsidRPr="00222F81">
        <w:t>relaxed</w:t>
      </w:r>
      <w:r>
        <w:t>”</w:t>
      </w:r>
      <w:r w:rsidRPr="00222F81">
        <w:t xml:space="preserve"> assumptions (e.g. even if the signal looks AWGN, assume a minimum delay spread of 3us)</w:t>
      </w:r>
    </w:p>
    <w:p w14:paraId="7B681ABB" w14:textId="2090EEF6" w:rsidR="00222F81" w:rsidRDefault="00222F81" w:rsidP="00222F81">
      <w:r>
        <w:t>For Alt-</w:t>
      </w:r>
      <w:r w:rsidR="00D9408C">
        <w:t>1</w:t>
      </w:r>
      <w:r>
        <w:t xml:space="preserve">, there is an issue with persistency since the DMRS is not an always-on signal.  If </w:t>
      </w:r>
      <w:r w:rsidRPr="00222F81">
        <w:t>there is no transmission from a TP for a long time</w:t>
      </w:r>
      <w:r>
        <w:t>, the UE may have no signal to estimate those parameters.  For Alt-</w:t>
      </w:r>
      <w:r w:rsidR="00D9408C">
        <w:t>2</w:t>
      </w:r>
      <w:r>
        <w:t>, a UE needs to be indicated which antenna ports can be assumed to be co-located.  A UE may also need to maintain multiple time/frequency tracking loops.  Alt-</w:t>
      </w:r>
      <w:r w:rsidR="00D9408C">
        <w:t>3</w:t>
      </w:r>
      <w:r>
        <w:t xml:space="preserve"> doesn’t need any co-location indication, but there might be some performance degradation due to the relaxation.</w:t>
      </w:r>
    </w:p>
    <w:p w14:paraId="173630F3" w14:textId="0A05C619" w:rsidR="0081047B" w:rsidRDefault="0042375F" w:rsidP="0081047B">
      <w:r>
        <w:t>Although none of these solutions is perfect, Alt-</w:t>
      </w:r>
      <w:r w:rsidR="00D9408C">
        <w:t>2</w:t>
      </w:r>
      <w:r>
        <w:t xml:space="preserve"> is eventually adopted in LTE that a</w:t>
      </w:r>
      <w:r w:rsidR="0081047B">
        <w:t xml:space="preserve"> UE can be </w:t>
      </w:r>
      <w:r w:rsidR="00DC7465">
        <w:t>configured</w:t>
      </w:r>
      <w:r w:rsidR="0081047B">
        <w:t xml:space="preserve"> with </w:t>
      </w:r>
      <w:r w:rsidR="00DC7465">
        <w:t xml:space="preserve">antenna port </w:t>
      </w:r>
      <w:r w:rsidR="0081047B">
        <w:t>QCL assumptions</w:t>
      </w:r>
      <w:r w:rsidR="00DC7465">
        <w:t xml:space="preserve"> via higher-layer signaling.  </w:t>
      </w:r>
      <w:r w:rsidR="0081047B">
        <w:t xml:space="preserve">The assumption </w:t>
      </w:r>
      <w:r w:rsidR="00DC7465">
        <w:t xml:space="preserve">indicates that if </w:t>
      </w:r>
      <w:r w:rsidR="0081047B">
        <w:t>the radio channels corresponding to two different antenna ports</w:t>
      </w:r>
      <w:r w:rsidR="00DC7465">
        <w:t xml:space="preserve"> can be assumed to have similar large-scale properties, which can be used by the UE receiver, for example, in tuning parameters for channel estimation.  </w:t>
      </w:r>
    </w:p>
    <w:p w14:paraId="62E37BCA" w14:textId="7F84AE89" w:rsidR="0081047B" w:rsidRDefault="0042375F" w:rsidP="0081047B">
      <w:r>
        <w:t xml:space="preserve">In NR, a UE may be configured with multiple beamformed RS transmitted by multiple TRPs.  Several </w:t>
      </w:r>
      <w:r w:rsidR="0020511C">
        <w:t xml:space="preserve">coordinated </w:t>
      </w:r>
      <w:r>
        <w:t xml:space="preserve">multi-point </w:t>
      </w:r>
      <w:r w:rsidR="0020511C">
        <w:t>(</w:t>
      </w:r>
      <w:proofErr w:type="spellStart"/>
      <w:r w:rsidR="0020511C">
        <w:t>CoMP</w:t>
      </w:r>
      <w:proofErr w:type="spellEnd"/>
      <w:r w:rsidR="0020511C">
        <w:t xml:space="preserve">) </w:t>
      </w:r>
      <w:r>
        <w:t xml:space="preserve">transmission schemes may be supported, including dynamic point selection/blanking and joint transmission.  </w:t>
      </w:r>
      <w:r w:rsidR="00E7085F">
        <w:t xml:space="preserve">For open-loop MIMO, </w:t>
      </w:r>
      <w:proofErr w:type="spellStart"/>
      <w:r w:rsidR="00E7085F">
        <w:t>subband</w:t>
      </w:r>
      <w:proofErr w:type="spellEnd"/>
      <w:r w:rsidR="00E7085F">
        <w:t>-wise dynamic switching among beams from different TRPs may also be considered.  Hence, the necessity of antenna port QCL shall be carefully studied.</w:t>
      </w:r>
    </w:p>
    <w:p w14:paraId="7A999280" w14:textId="35B59B38" w:rsidR="00E7085F" w:rsidRDefault="00E7085F" w:rsidP="0081047B">
      <w:r>
        <w:t xml:space="preserve">Before </w:t>
      </w:r>
      <w:r w:rsidR="00107C49">
        <w:t>jumping</w:t>
      </w:r>
      <w:r>
        <w:t xml:space="preserve"> into details of QCL solutions, it worth studying the benefit of various multi-TRP transmission schemes and required reference signals.  Based on the study, we can identify whether </w:t>
      </w:r>
      <w:r w:rsidR="00107C49">
        <w:t>a</w:t>
      </w:r>
      <w:r>
        <w:t xml:space="preserve"> new definition of quasi co-located antenna ports is needed or not.  Then, we may consider the necessity of introducing a new QCL design.</w:t>
      </w:r>
    </w:p>
    <w:p w14:paraId="5AA0CB4E" w14:textId="7463CB4A" w:rsidR="00E7085F" w:rsidRPr="0020511C" w:rsidRDefault="00E7085F" w:rsidP="0081047B">
      <w:pPr>
        <w:rPr>
          <w:b/>
          <w:i/>
        </w:rPr>
      </w:pPr>
      <w:r w:rsidRPr="0020511C">
        <w:rPr>
          <w:b/>
          <w:i/>
        </w:rPr>
        <w:lastRenderedPageBreak/>
        <w:t>Proposal 1: Benefit of various multi-TRP transmission schemes and required reference signals shall be studied</w:t>
      </w:r>
      <w:r w:rsidR="0020511C" w:rsidRPr="0020511C">
        <w:rPr>
          <w:b/>
          <w:i/>
        </w:rPr>
        <w:t xml:space="preserve"> to identify the necessity of introducing a new QCL antenna port definition.</w:t>
      </w:r>
    </w:p>
    <w:p w14:paraId="7082E3C3" w14:textId="12F63391" w:rsidR="00BA56C7" w:rsidRPr="00BA56C7" w:rsidRDefault="00107C49" w:rsidP="00BA56C7">
      <w:r>
        <w:t xml:space="preserve">If the antenna port quasi co-location definition in LTE can be </w:t>
      </w:r>
      <w:r w:rsidR="005649FE">
        <w:t>reused</w:t>
      </w:r>
      <w:r>
        <w:t>, a</w:t>
      </w:r>
      <w:r w:rsidR="0020511C">
        <w:t>s a starting point, we may assume current QCL design in LTE, i.e., Alt-</w:t>
      </w:r>
      <w:r w:rsidR="00D9408C">
        <w:t>2</w:t>
      </w:r>
      <w:r w:rsidR="0020511C">
        <w:t xml:space="preserve"> as the baseline.  But there are several potential issues with Alt-</w:t>
      </w:r>
      <w:r w:rsidR="00D9408C">
        <w:t>2</w:t>
      </w:r>
      <w:r w:rsidR="0020511C">
        <w:t xml:space="preserve"> in NR</w:t>
      </w:r>
      <w:r>
        <w:t xml:space="preserve"> need to be addressed</w:t>
      </w:r>
      <w:r w:rsidR="0020511C">
        <w:t xml:space="preserve">.  First, the number of TRPs/beams for </w:t>
      </w:r>
      <w:proofErr w:type="spellStart"/>
      <w:r w:rsidR="0020511C">
        <w:t>CoMP</w:t>
      </w:r>
      <w:proofErr w:type="spellEnd"/>
      <w:r w:rsidR="0020511C">
        <w:t xml:space="preserve"> transmission could be larger than that in LTE.  </w:t>
      </w:r>
      <w:r>
        <w:t xml:space="preserve">Hence a UE may need to keep more tracking loops for all the TRPs for COMP transmission.  Second, </w:t>
      </w:r>
      <w:r w:rsidR="00BA56C7">
        <w:t>in LTE CRS is used indicate QCL for CSI-RS and the QCL of DMRS is provided by CSI-RS.  CRS is the key to the success of Alt-</w:t>
      </w:r>
      <w:r w:rsidR="00D9408C">
        <w:t>2</w:t>
      </w:r>
      <w:r w:rsidR="00BA56C7">
        <w:t xml:space="preserve">.  However, </w:t>
      </w:r>
      <w:r>
        <w:t>it is unlikely that any RS like CRS in LTE will be available in NR.  So, if Alt-</w:t>
      </w:r>
      <w:r w:rsidR="00D9408C">
        <w:t>2</w:t>
      </w:r>
      <w:r w:rsidR="00BA56C7">
        <w:t xml:space="preserve"> is reused</w:t>
      </w:r>
      <w:r>
        <w:t xml:space="preserve"> to indicate QCL assumptions, </w:t>
      </w:r>
      <w:r w:rsidR="00BA56C7">
        <w:t xml:space="preserve">the reference for QCL would be some sparse signals, e.g., some on-demand RS.  The feasibility of using such sparse signals for QCL assumption shall be studied.  </w:t>
      </w:r>
      <w:r w:rsidR="00BA56C7" w:rsidRPr="00BA56C7">
        <w:t xml:space="preserve">Alternatively, </w:t>
      </w:r>
      <w:r w:rsidR="00BA56C7">
        <w:t>we may consider some solutions other than Alt-</w:t>
      </w:r>
      <w:r w:rsidR="00D9408C">
        <w:t>2</w:t>
      </w:r>
      <w:r w:rsidR="00BA56C7">
        <w:t>, e.g., Alt-</w:t>
      </w:r>
      <w:r w:rsidR="00D9408C">
        <w:t>3</w:t>
      </w:r>
      <w:r w:rsidR="00BA56C7">
        <w:t>.</w:t>
      </w:r>
    </w:p>
    <w:p w14:paraId="2856E8A3" w14:textId="47A6E1C9" w:rsidR="00BA56C7" w:rsidRDefault="00BA56C7" w:rsidP="0081047B">
      <w:pPr>
        <w:rPr>
          <w:b/>
          <w:i/>
        </w:rPr>
      </w:pPr>
      <w:r w:rsidRPr="00BA56C7">
        <w:rPr>
          <w:b/>
          <w:i/>
        </w:rPr>
        <w:t>Proposal 2: Feasibility of using sparse signals for QCL assumption shall be studied if Alt-</w:t>
      </w:r>
      <w:r w:rsidR="00D9408C">
        <w:rPr>
          <w:b/>
          <w:i/>
        </w:rPr>
        <w:t>2</w:t>
      </w:r>
      <w:r w:rsidRPr="00BA56C7">
        <w:rPr>
          <w:b/>
          <w:i/>
        </w:rPr>
        <w:t xml:space="preserve"> is </w:t>
      </w:r>
      <w:r w:rsidR="005649FE" w:rsidRPr="00BA56C7">
        <w:rPr>
          <w:b/>
          <w:i/>
        </w:rPr>
        <w:t>reused</w:t>
      </w:r>
      <w:r w:rsidRPr="00BA56C7">
        <w:rPr>
          <w:b/>
          <w:i/>
        </w:rPr>
        <w:t>.</w:t>
      </w:r>
    </w:p>
    <w:p w14:paraId="6868B1C3" w14:textId="023D6553" w:rsidR="00BA56C7" w:rsidRDefault="00BA56C7" w:rsidP="0081047B">
      <w:pPr>
        <w:rPr>
          <w:b/>
          <w:i/>
        </w:rPr>
      </w:pPr>
      <w:r>
        <w:rPr>
          <w:b/>
          <w:i/>
        </w:rPr>
        <w:t>Proposal 3: Other solutions for QCL antenna port measurement assumptions, e.g., Alt-</w:t>
      </w:r>
      <w:r w:rsidR="00D9408C">
        <w:rPr>
          <w:b/>
          <w:i/>
        </w:rPr>
        <w:t>3</w:t>
      </w:r>
      <w:r>
        <w:rPr>
          <w:b/>
          <w:i/>
        </w:rPr>
        <w:t>, shall be studied.</w:t>
      </w:r>
    </w:p>
    <w:p w14:paraId="3F8A8871" w14:textId="2057A97E" w:rsidR="00BA56C7" w:rsidRDefault="00BA56C7" w:rsidP="0081047B">
      <w:r>
        <w:t>In NR MIMO, up to 256 antennas may be supported.  Using beamformed antenna ports can significantly reduce the RS overhead and UE measurement overhead.  An antenna port may thus be formed by a large number of antenna elements and results in a much narrower beam than the DMRS ports in LTE.</w:t>
      </w:r>
      <w:r w:rsidR="00C22644">
        <w:t xml:space="preserve">  It is well know that beamforming will change some large-scale properties of the </w:t>
      </w:r>
      <w:r w:rsidR="00D9408C">
        <w:t>channel</w:t>
      </w:r>
      <w:r w:rsidR="00C22644">
        <w:t>, e.g., the delay spread and even the Doppler spread, etc.  This raises a questions that whether the antenna ports associated with different beamformed RS from the same TRP can still be assumed co-located?  The answer to this question is apparently no, at least for the aforementioned parameters.  Then it leads to another question that which parameters should be treated as non-collocated.</w:t>
      </w:r>
    </w:p>
    <w:p w14:paraId="5292E4CC" w14:textId="1ED3FA1B" w:rsidR="00C22644" w:rsidRPr="00C22644" w:rsidRDefault="00C22644" w:rsidP="0081047B">
      <w:pPr>
        <w:rPr>
          <w:b/>
          <w:i/>
        </w:rPr>
      </w:pPr>
      <w:r w:rsidRPr="00C22644">
        <w:rPr>
          <w:b/>
          <w:i/>
        </w:rPr>
        <w:t>Proposal 4: For antenna ports associated with different beamformed RS, identify which large-scale parameters should be treated as non-collocated.</w:t>
      </w:r>
    </w:p>
    <w:p w14:paraId="640D7458" w14:textId="77777777" w:rsidR="00FC6D8C" w:rsidRPr="00183CB7" w:rsidRDefault="001021DD" w:rsidP="00183CB7">
      <w:pPr>
        <w:pStyle w:val="Heading1"/>
      </w:pPr>
      <w:bookmarkStart w:id="2" w:name="_Ref378529477"/>
      <w:r w:rsidRPr="00183CB7">
        <w:t>Conclusions</w:t>
      </w:r>
    </w:p>
    <w:bookmarkEnd w:id="2"/>
    <w:p w14:paraId="73353599" w14:textId="142D1F21" w:rsidR="00C5589B" w:rsidRDefault="00E523F3" w:rsidP="00DE58DA">
      <w:pPr>
        <w:spacing w:before="240"/>
      </w:pPr>
      <w:r w:rsidRPr="00DE58DA">
        <w:t xml:space="preserve">In summary, </w:t>
      </w:r>
      <w:r w:rsidR="00175EF2" w:rsidRPr="00DE58DA">
        <w:t xml:space="preserve">we </w:t>
      </w:r>
      <w:r w:rsidR="00AB6458" w:rsidRPr="00DE58DA">
        <w:t>discuss</w:t>
      </w:r>
      <w:r w:rsidR="00601097" w:rsidRPr="00DE58DA">
        <w:t xml:space="preserve"> </w:t>
      </w:r>
      <w:r w:rsidR="00C22644">
        <w:t>views on the QCL and measurement assumptions for antenna ports.  We propose</w:t>
      </w:r>
    </w:p>
    <w:p w14:paraId="25D2F0B7" w14:textId="77777777" w:rsidR="00C22644" w:rsidRPr="0020511C" w:rsidRDefault="00C22644" w:rsidP="00C22644">
      <w:pPr>
        <w:rPr>
          <w:b/>
          <w:i/>
        </w:rPr>
      </w:pPr>
      <w:r w:rsidRPr="0020511C">
        <w:rPr>
          <w:b/>
          <w:i/>
        </w:rPr>
        <w:t>Proposal 1: Benefit of various multi-TRP transmission schemes and required reference signals shall be studied to identify the necessity of introducing a new QCL antenna port definition.</w:t>
      </w:r>
    </w:p>
    <w:p w14:paraId="6C01F21A" w14:textId="326F6B8F" w:rsidR="00C22644" w:rsidRDefault="00C22644" w:rsidP="00C22644">
      <w:pPr>
        <w:rPr>
          <w:b/>
          <w:i/>
        </w:rPr>
      </w:pPr>
      <w:r w:rsidRPr="00BA56C7">
        <w:rPr>
          <w:b/>
          <w:i/>
        </w:rPr>
        <w:t>Proposal 2: Feasibility of using sparse signals for QCL assumption shall be studied if Alt-</w:t>
      </w:r>
      <w:r w:rsidR="00D9408C">
        <w:rPr>
          <w:b/>
          <w:i/>
        </w:rPr>
        <w:t>2</w:t>
      </w:r>
      <w:r w:rsidRPr="00BA56C7">
        <w:rPr>
          <w:b/>
          <w:i/>
        </w:rPr>
        <w:t xml:space="preserve"> is </w:t>
      </w:r>
      <w:r w:rsidR="005649FE" w:rsidRPr="00BA56C7">
        <w:rPr>
          <w:b/>
          <w:i/>
        </w:rPr>
        <w:t>reused</w:t>
      </w:r>
      <w:bookmarkStart w:id="3" w:name="_GoBack"/>
      <w:bookmarkEnd w:id="3"/>
      <w:r w:rsidRPr="00BA56C7">
        <w:rPr>
          <w:b/>
          <w:i/>
        </w:rPr>
        <w:t>.</w:t>
      </w:r>
    </w:p>
    <w:p w14:paraId="3DB16277" w14:textId="7E50A868" w:rsidR="00C22644" w:rsidRDefault="00C22644" w:rsidP="00C22644">
      <w:pPr>
        <w:rPr>
          <w:b/>
          <w:i/>
        </w:rPr>
      </w:pPr>
      <w:r>
        <w:rPr>
          <w:b/>
          <w:i/>
        </w:rPr>
        <w:t>Proposal 3: Other solutions for QCL antenna port measurement assumptions, e.g., Alt-</w:t>
      </w:r>
      <w:r w:rsidR="00D9408C">
        <w:rPr>
          <w:b/>
          <w:i/>
        </w:rPr>
        <w:t>3</w:t>
      </w:r>
      <w:r>
        <w:rPr>
          <w:b/>
          <w:i/>
        </w:rPr>
        <w:t>, shall be studied.</w:t>
      </w:r>
    </w:p>
    <w:p w14:paraId="221002EA" w14:textId="0CA7C2CF" w:rsidR="00C22644" w:rsidRPr="00C22644" w:rsidRDefault="00C22644" w:rsidP="00C22644">
      <w:pPr>
        <w:rPr>
          <w:b/>
          <w:i/>
        </w:rPr>
      </w:pPr>
      <w:r w:rsidRPr="00C22644">
        <w:rPr>
          <w:b/>
          <w:i/>
        </w:rPr>
        <w:t>Proposal 4: For antenna ports associated with different beamformed RS, identify which large-scale parameters should be treated as non-collocated.</w:t>
      </w:r>
    </w:p>
    <w:p w14:paraId="42610018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9890946" w14:textId="347463D6" w:rsidR="00BE76E2" w:rsidRPr="001949F0" w:rsidRDefault="00395470" w:rsidP="00BE76E2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398626394"/>
      <w:bookmarkStart w:id="5" w:name="_Ref378529497"/>
      <w:bookmarkStart w:id="6" w:name="_Ref370818393"/>
      <w:bookmarkStart w:id="7" w:name="_Ref352001785"/>
      <w:bookmarkStart w:id="8" w:name="_Ref351989238"/>
      <w:r w:rsidRPr="001949F0">
        <w:rPr>
          <w:szCs w:val="22"/>
        </w:rPr>
        <w:t>R1-165947, WF on the antenna port and QCL assumption study in NR.</w:t>
      </w:r>
    </w:p>
    <w:p w14:paraId="2BA3A578" w14:textId="60799C77" w:rsidR="00615178" w:rsidRDefault="00615178" w:rsidP="00395470">
      <w:pPr>
        <w:spacing w:before="100" w:beforeAutospacing="1" w:after="100" w:afterAutospacing="1"/>
        <w:ind w:left="562"/>
        <w:rPr>
          <w:sz w:val="22"/>
          <w:szCs w:val="22"/>
        </w:rPr>
      </w:pPr>
    </w:p>
    <w:p w14:paraId="19BD9193" w14:textId="2788AF90" w:rsidR="0011034F" w:rsidRPr="0018087F" w:rsidRDefault="0011034F" w:rsidP="007977E1">
      <w:pPr>
        <w:spacing w:before="100" w:beforeAutospacing="1" w:after="100" w:afterAutospacing="1"/>
        <w:ind w:left="567"/>
        <w:rPr>
          <w:sz w:val="22"/>
          <w:szCs w:val="22"/>
        </w:rPr>
      </w:pPr>
      <w:bookmarkStart w:id="9" w:name="_Ref450583331"/>
      <w:bookmarkEnd w:id="4"/>
      <w:bookmarkEnd w:id="5"/>
      <w:bookmarkEnd w:id="6"/>
      <w:bookmarkEnd w:id="7"/>
      <w:bookmarkEnd w:id="8"/>
      <w:bookmarkEnd w:id="9"/>
    </w:p>
    <w:sectPr w:rsidR="0011034F" w:rsidRPr="0018087F" w:rsidSect="00671B4F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79A80" w14:textId="77777777" w:rsidR="001776BF" w:rsidRDefault="001776BF">
      <w:r>
        <w:separator/>
      </w:r>
    </w:p>
  </w:endnote>
  <w:endnote w:type="continuationSeparator" w:id="0">
    <w:p w14:paraId="23BE3D6E" w14:textId="77777777" w:rsidR="001776BF" w:rsidRDefault="001776BF">
      <w:r>
        <w:continuationSeparator/>
      </w:r>
    </w:p>
  </w:endnote>
  <w:endnote w:type="continuationNotice" w:id="1">
    <w:p w14:paraId="517D0252" w14:textId="77777777" w:rsidR="001776BF" w:rsidRDefault="00177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050BB" w14:textId="77777777" w:rsidR="00EE4825" w:rsidRDefault="00EE482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EE4825" w:rsidRDefault="00EE482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10E00" w14:textId="40A0BB89" w:rsidR="00EE4825" w:rsidRDefault="00EE482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49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49F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51322" w14:textId="77777777" w:rsidR="001776BF" w:rsidRDefault="001776BF">
      <w:r>
        <w:separator/>
      </w:r>
    </w:p>
  </w:footnote>
  <w:footnote w:type="continuationSeparator" w:id="0">
    <w:p w14:paraId="574D77BF" w14:textId="77777777" w:rsidR="001776BF" w:rsidRDefault="001776BF">
      <w:r>
        <w:continuationSeparator/>
      </w:r>
    </w:p>
  </w:footnote>
  <w:footnote w:type="continuationNotice" w:id="1">
    <w:p w14:paraId="291A0C1A" w14:textId="77777777" w:rsidR="001776BF" w:rsidRDefault="001776B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67E5C" w14:textId="77777777" w:rsidR="00EE4825" w:rsidRDefault="00EE4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C141E7"/>
    <w:multiLevelType w:val="hybridMultilevel"/>
    <w:tmpl w:val="86D06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E46AA1"/>
    <w:multiLevelType w:val="hybridMultilevel"/>
    <w:tmpl w:val="C05E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C4CBA"/>
    <w:multiLevelType w:val="multilevel"/>
    <w:tmpl w:val="71FC6F7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1835150"/>
    <w:multiLevelType w:val="hybridMultilevel"/>
    <w:tmpl w:val="75D87F2A"/>
    <w:lvl w:ilvl="0" w:tplc="C5D63F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6045A"/>
    <w:multiLevelType w:val="hybridMultilevel"/>
    <w:tmpl w:val="30F0D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3438B9"/>
    <w:multiLevelType w:val="hybridMultilevel"/>
    <w:tmpl w:val="A5AAE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163EFE"/>
    <w:multiLevelType w:val="hybridMultilevel"/>
    <w:tmpl w:val="9856A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2C2C80"/>
    <w:multiLevelType w:val="multilevel"/>
    <w:tmpl w:val="71FC6F7A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255282F"/>
    <w:multiLevelType w:val="hybridMultilevel"/>
    <w:tmpl w:val="918E7898"/>
    <w:lvl w:ilvl="0" w:tplc="844E2F2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A5FCE"/>
    <w:multiLevelType w:val="hybridMultilevel"/>
    <w:tmpl w:val="5DF03524"/>
    <w:lvl w:ilvl="0" w:tplc="F57A086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0"/>
  </w:num>
  <w:num w:numId="3">
    <w:abstractNumId w:val="42"/>
  </w:num>
  <w:num w:numId="4">
    <w:abstractNumId w:val="22"/>
  </w:num>
  <w:num w:numId="5">
    <w:abstractNumId w:val="31"/>
  </w:num>
  <w:num w:numId="6">
    <w:abstractNumId w:val="36"/>
  </w:num>
  <w:num w:numId="7">
    <w:abstractNumId w:val="9"/>
  </w:num>
  <w:num w:numId="8">
    <w:abstractNumId w:val="12"/>
  </w:num>
  <w:num w:numId="9">
    <w:abstractNumId w:val="35"/>
  </w:num>
  <w:num w:numId="10">
    <w:abstractNumId w:val="28"/>
  </w:num>
  <w:num w:numId="11">
    <w:abstractNumId w:val="8"/>
  </w:num>
  <w:num w:numId="12">
    <w:abstractNumId w:val="16"/>
  </w:num>
  <w:num w:numId="13">
    <w:abstractNumId w:val="29"/>
  </w:num>
  <w:num w:numId="14">
    <w:abstractNumId w:val="27"/>
  </w:num>
  <w:num w:numId="15">
    <w:abstractNumId w:val="26"/>
  </w:num>
  <w:num w:numId="16">
    <w:abstractNumId w:val="11"/>
  </w:num>
  <w:num w:numId="17">
    <w:abstractNumId w:val="23"/>
  </w:num>
  <w:num w:numId="18">
    <w:abstractNumId w:val="41"/>
  </w:num>
  <w:num w:numId="19">
    <w:abstractNumId w:val="39"/>
  </w:num>
  <w:num w:numId="20">
    <w:abstractNumId w:val="2"/>
  </w:num>
  <w:num w:numId="21">
    <w:abstractNumId w:val="10"/>
  </w:num>
  <w:num w:numId="22">
    <w:abstractNumId w:val="43"/>
  </w:num>
  <w:num w:numId="23">
    <w:abstractNumId w:val="1"/>
  </w:num>
  <w:num w:numId="24">
    <w:abstractNumId w:val="24"/>
  </w:num>
  <w:num w:numId="25">
    <w:abstractNumId w:val="32"/>
  </w:num>
  <w:num w:numId="26">
    <w:abstractNumId w:val="37"/>
  </w:num>
  <w:num w:numId="27">
    <w:abstractNumId w:val="20"/>
  </w:num>
  <w:num w:numId="28">
    <w:abstractNumId w:val="5"/>
  </w:num>
  <w:num w:numId="29">
    <w:abstractNumId w:val="19"/>
  </w:num>
  <w:num w:numId="30">
    <w:abstractNumId w:val="38"/>
  </w:num>
  <w:num w:numId="31">
    <w:abstractNumId w:val="33"/>
  </w:num>
  <w:num w:numId="32">
    <w:abstractNumId w:val="3"/>
  </w:num>
  <w:num w:numId="33">
    <w:abstractNumId w:val="4"/>
  </w:num>
  <w:num w:numId="34">
    <w:abstractNumId w:val="7"/>
  </w:num>
  <w:num w:numId="35">
    <w:abstractNumId w:val="13"/>
  </w:num>
  <w:num w:numId="36">
    <w:abstractNumId w:val="25"/>
  </w:num>
  <w:num w:numId="37">
    <w:abstractNumId w:val="6"/>
  </w:num>
  <w:num w:numId="38">
    <w:abstractNumId w:val="6"/>
  </w:num>
  <w:num w:numId="39">
    <w:abstractNumId w:val="6"/>
  </w:num>
  <w:num w:numId="40">
    <w:abstractNumId w:val="15"/>
  </w:num>
  <w:num w:numId="41">
    <w:abstractNumId w:val="34"/>
  </w:num>
  <w:num w:numId="42">
    <w:abstractNumId w:val="30"/>
  </w:num>
  <w:num w:numId="43">
    <w:abstractNumId w:val="17"/>
  </w:num>
  <w:num w:numId="44">
    <w:abstractNumId w:val="40"/>
  </w:num>
  <w:num w:numId="45">
    <w:abstractNumId w:val="21"/>
  </w:num>
  <w:num w:numId="46">
    <w:abstractNumId w:val="6"/>
  </w:num>
  <w:num w:numId="47">
    <w:abstractNumId w:val="44"/>
  </w:num>
  <w:num w:numId="4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7073"/>
    <w:rsid w:val="000772C4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D3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6FDF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C49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6BF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9F0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1C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81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96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3261"/>
    <w:rsid w:val="00334CE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70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032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5F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9FE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4D6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64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8013A"/>
    <w:rsid w:val="00680A97"/>
    <w:rsid w:val="00680D61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47B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1552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6C7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44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08C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465"/>
    <w:rsid w:val="00DC7890"/>
    <w:rsid w:val="00DC79A3"/>
    <w:rsid w:val="00DC7E92"/>
    <w:rsid w:val="00DD0090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85F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5F00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5AD3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2BDC"/>
    <w:rsid w:val="00FD3124"/>
    <w:rsid w:val="00FD3905"/>
    <w:rsid w:val="00FD3CD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65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60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7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36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4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45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32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0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113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65455-C03B-4C89-B2B6-D8EE9692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Zhang, Yu</cp:lastModifiedBy>
  <cp:revision>2</cp:revision>
  <cp:lastPrinted>2014-11-07T05:38:00Z</cp:lastPrinted>
  <dcterms:created xsi:type="dcterms:W3CDTF">2016-08-13T00:33:00Z</dcterms:created>
  <dcterms:modified xsi:type="dcterms:W3CDTF">2016-08-13T00:33:00Z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-2057033820</vt:i4>
  </property>
  <property fmtid="{D5CDD505-2E9C-101B-9397-08002B2CF9AE}" pid="3" name="_NewReviewCycle">
    <vt:lpwstr/>
  </property>
  <property fmtid="{D5CDD505-2E9C-101B-9397-08002B2CF9AE}" pid="4" name="_EmailSubject">
    <vt:lpwstr>R1-15xxxx_Discussion_on_CSI-RS_and_feedback_enhancements.docx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Wei, Chao</vt:lpwstr>
  </property>
  <property fmtid="{D5CDD505-2E9C-101B-9397-08002B2CF9AE}" pid="7" name="_ReviewingToolsShownOnce">
    <vt:lpwstr/>
  </property>
</Properties>
</file>