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7E2C295C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5B72CE">
        <w:rPr>
          <w:rFonts w:ascii="Arial" w:hAnsi="Arial" w:cs="Arial"/>
          <w:b/>
          <w:sz w:val="24"/>
          <w:szCs w:val="24"/>
        </w:rPr>
        <w:t>166350</w:t>
      </w:r>
      <w:bookmarkEnd w:id="0"/>
    </w:p>
    <w:p w14:paraId="26881B32" w14:textId="7C7AD719" w:rsidR="00D1303E" w:rsidRPr="00FD021C" w:rsidRDefault="00BD0CC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874A6D">
        <w:rPr>
          <w:rFonts w:ascii="Arial" w:hAnsi="Arial" w:cs="Arial"/>
          <w:b/>
          <w:sz w:val="24"/>
          <w:szCs w:val="24"/>
        </w:rPr>
        <w:t>Aug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42106E04" w:rsidR="00D1303E" w:rsidRPr="00FD021C" w:rsidRDefault="00874A6D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</w:t>
      </w:r>
      <w:r w:rsidR="00AA7B5A">
        <w:rPr>
          <w:rFonts w:ascii="Arial" w:hAnsi="Arial" w:cs="Arial"/>
          <w:b/>
          <w:sz w:val="24"/>
          <w:szCs w:val="24"/>
        </w:rPr>
        <w:t>thenburg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Sweden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0793D38D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85F9C">
        <w:rPr>
          <w:rFonts w:ascii="Arial" w:hAnsi="Arial"/>
          <w:sz w:val="24"/>
        </w:rPr>
        <w:t>8</w:t>
      </w:r>
      <w:r w:rsidR="008A3FC5">
        <w:rPr>
          <w:rFonts w:ascii="Arial" w:hAnsi="Arial"/>
          <w:sz w:val="24"/>
        </w:rPr>
        <w:t>.1.</w:t>
      </w:r>
      <w:r w:rsidR="00F85F9C">
        <w:rPr>
          <w:rFonts w:ascii="Arial" w:hAnsi="Arial"/>
          <w:sz w:val="24"/>
        </w:rPr>
        <w:t>2</w:t>
      </w:r>
      <w:r w:rsidR="008A3FC5">
        <w:rPr>
          <w:rFonts w:ascii="Arial" w:hAnsi="Arial"/>
          <w:sz w:val="24"/>
        </w:rPr>
        <w:t>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49DD8693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854AC" w:rsidRPr="00D854AC">
        <w:rPr>
          <w:rFonts w:ascii="Arial" w:hAnsi="Arial"/>
          <w:sz w:val="24"/>
        </w:rPr>
        <w:t>Specification impact of OFDM filtering-windowing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9596329" w14:textId="3DF8A223" w:rsidR="00D966CF" w:rsidRDefault="004A0D01" w:rsidP="004A0D01">
      <w:pPr>
        <w:jc w:val="both"/>
        <w:rPr>
          <w:szCs w:val="22"/>
        </w:rPr>
      </w:pPr>
      <w:r w:rsidRPr="00300CDD">
        <w:rPr>
          <w:szCs w:val="22"/>
        </w:rPr>
        <w:t>In RAN</w:t>
      </w:r>
      <w:r w:rsidR="00BF29CE">
        <w:rPr>
          <w:szCs w:val="22"/>
        </w:rPr>
        <w:t xml:space="preserve">1 </w:t>
      </w:r>
      <w:r w:rsidRPr="00300CDD">
        <w:rPr>
          <w:szCs w:val="22"/>
        </w:rPr>
        <w:t>#</w:t>
      </w:r>
      <w:r w:rsidR="00BF29CE">
        <w:rPr>
          <w:szCs w:val="22"/>
        </w:rPr>
        <w:t>84b</w:t>
      </w:r>
      <w:r w:rsidRPr="00300CDD">
        <w:rPr>
          <w:szCs w:val="22"/>
        </w:rPr>
        <w:t xml:space="preserve">, </w:t>
      </w:r>
      <w:r w:rsidR="00697409">
        <w:rPr>
          <w:szCs w:val="22"/>
        </w:rPr>
        <w:t xml:space="preserve">several OFDM-based waveform candidates have been proposed for further evaluation in NR </w:t>
      </w:r>
      <w:r w:rsidR="00697409">
        <w:rPr>
          <w:szCs w:val="22"/>
        </w:rPr>
        <w:fldChar w:fldCharType="begin"/>
      </w:r>
      <w:r w:rsidR="00697409">
        <w:rPr>
          <w:szCs w:val="22"/>
        </w:rPr>
        <w:instrText xml:space="preserve"> REF _Ref450735844 \n \h </w:instrText>
      </w:r>
      <w:r w:rsidR="00697409">
        <w:rPr>
          <w:szCs w:val="22"/>
        </w:rPr>
      </w:r>
      <w:r w:rsidR="00697409">
        <w:rPr>
          <w:szCs w:val="22"/>
        </w:rPr>
        <w:fldChar w:fldCharType="separate"/>
      </w:r>
      <w:r w:rsidR="00CE3D7B">
        <w:rPr>
          <w:szCs w:val="22"/>
        </w:rPr>
        <w:t>[1]</w:t>
      </w:r>
      <w:r w:rsidR="00697409">
        <w:rPr>
          <w:szCs w:val="22"/>
        </w:rPr>
        <w:fldChar w:fldCharType="end"/>
      </w:r>
      <w:r w:rsidR="00697409">
        <w:rPr>
          <w:szCs w:val="22"/>
        </w:rPr>
        <w:t xml:space="preserve">. </w:t>
      </w:r>
      <w:r w:rsidR="001A0306">
        <w:rPr>
          <w:szCs w:val="22"/>
        </w:rPr>
        <w:t xml:space="preserve">Many of the </w:t>
      </w:r>
      <w:r w:rsidR="00D966CF">
        <w:rPr>
          <w:szCs w:val="22"/>
        </w:rPr>
        <w:t xml:space="preserve">waveform </w:t>
      </w:r>
      <w:r w:rsidR="001A0306">
        <w:rPr>
          <w:szCs w:val="22"/>
        </w:rPr>
        <w:t>proposals and evaluations</w:t>
      </w:r>
      <w:r w:rsidR="00D44D5B">
        <w:rPr>
          <w:szCs w:val="22"/>
        </w:rPr>
        <w:t xml:space="preserve"> </w:t>
      </w:r>
      <w:r w:rsidR="00D44D5B">
        <w:rPr>
          <w:szCs w:val="22"/>
        </w:rPr>
        <w:fldChar w:fldCharType="begin"/>
      </w:r>
      <w:r w:rsidR="00D44D5B">
        <w:rPr>
          <w:szCs w:val="22"/>
        </w:rPr>
        <w:instrText xml:space="preserve"> REF _Ref458634643 \r \h </w:instrText>
      </w:r>
      <w:r w:rsidR="00D44D5B">
        <w:rPr>
          <w:szCs w:val="22"/>
        </w:rPr>
      </w:r>
      <w:r w:rsidR="00D44D5B">
        <w:rPr>
          <w:szCs w:val="22"/>
        </w:rPr>
        <w:fldChar w:fldCharType="separate"/>
      </w:r>
      <w:r w:rsidR="00D44D5B">
        <w:rPr>
          <w:szCs w:val="22"/>
        </w:rPr>
        <w:t>[5]</w:t>
      </w:r>
      <w:r w:rsidR="00D44D5B">
        <w:rPr>
          <w:szCs w:val="22"/>
        </w:rPr>
        <w:fldChar w:fldCharType="end"/>
      </w:r>
      <w:r w:rsidR="00D44D5B">
        <w:rPr>
          <w:szCs w:val="22"/>
        </w:rPr>
        <w:t>-</w:t>
      </w:r>
      <w:r w:rsidR="00D44D5B">
        <w:rPr>
          <w:szCs w:val="22"/>
        </w:rPr>
        <w:fldChar w:fldCharType="begin"/>
      </w:r>
      <w:r w:rsidR="00D44D5B">
        <w:rPr>
          <w:szCs w:val="22"/>
        </w:rPr>
        <w:instrText xml:space="preserve"> REF _Ref458780428 \r \h </w:instrText>
      </w:r>
      <w:r w:rsidR="00D44D5B">
        <w:rPr>
          <w:szCs w:val="22"/>
        </w:rPr>
      </w:r>
      <w:r w:rsidR="00D44D5B">
        <w:rPr>
          <w:szCs w:val="22"/>
        </w:rPr>
        <w:fldChar w:fldCharType="separate"/>
      </w:r>
      <w:r w:rsidR="00D44D5B">
        <w:rPr>
          <w:szCs w:val="22"/>
        </w:rPr>
        <w:t>[12]</w:t>
      </w:r>
      <w:r w:rsidR="00D44D5B">
        <w:rPr>
          <w:szCs w:val="22"/>
        </w:rPr>
        <w:fldChar w:fldCharType="end"/>
      </w:r>
      <w:r w:rsidR="001A0306">
        <w:rPr>
          <w:szCs w:val="22"/>
        </w:rPr>
        <w:t xml:space="preserve"> so far for </w:t>
      </w:r>
      <w:r w:rsidR="00D966CF">
        <w:rPr>
          <w:szCs w:val="22"/>
        </w:rPr>
        <w:t xml:space="preserve">the </w:t>
      </w:r>
      <w:r w:rsidR="001A0306">
        <w:rPr>
          <w:szCs w:val="22"/>
        </w:rPr>
        <w:t xml:space="preserve">sub-6Ghz deployments aim at </w:t>
      </w:r>
      <w:r w:rsidR="00D966CF">
        <w:rPr>
          <w:szCs w:val="22"/>
        </w:rPr>
        <w:t>improving</w:t>
      </w:r>
      <w:r w:rsidR="001A0306">
        <w:rPr>
          <w:szCs w:val="22"/>
        </w:rPr>
        <w:t xml:space="preserve"> OOB emission suppression for potential future deployments where non-orthogonal </w:t>
      </w:r>
      <w:r w:rsidR="00D966CF">
        <w:rPr>
          <w:szCs w:val="22"/>
        </w:rPr>
        <w:t xml:space="preserve">waveforms need to be FDM’ed in-band adjacent to each other </w:t>
      </w:r>
      <w:r w:rsidR="009F1FE2">
        <w:rPr>
          <w:szCs w:val="22"/>
        </w:rPr>
        <w:t>(</w:t>
      </w:r>
      <w:r w:rsidR="00D966CF">
        <w:rPr>
          <w:szCs w:val="22"/>
        </w:rPr>
        <w:t>or with small number of guard tones in between</w:t>
      </w:r>
      <w:r w:rsidR="009F1FE2">
        <w:rPr>
          <w:szCs w:val="22"/>
        </w:rPr>
        <w:t>)</w:t>
      </w:r>
      <w:r w:rsidR="00D966CF">
        <w:rPr>
          <w:szCs w:val="22"/>
        </w:rPr>
        <w:t xml:space="preserve">. </w:t>
      </w:r>
    </w:p>
    <w:p w14:paraId="132334D4" w14:textId="53EEED86" w:rsidR="00D966CF" w:rsidRDefault="00D966CF" w:rsidP="004A0D01">
      <w:pPr>
        <w:jc w:val="both"/>
        <w:rPr>
          <w:szCs w:val="22"/>
        </w:rPr>
      </w:pPr>
      <w:r>
        <w:rPr>
          <w:szCs w:val="22"/>
        </w:rPr>
        <w:t>Although the exact use cases and requirements are not explicitly clear at this stage, the non-orthogonality could potential</w:t>
      </w:r>
      <w:r w:rsidR="002358F4">
        <w:rPr>
          <w:szCs w:val="22"/>
        </w:rPr>
        <w:t>ly</w:t>
      </w:r>
      <w:r>
        <w:rPr>
          <w:szCs w:val="22"/>
        </w:rPr>
        <w:t xml:space="preserve"> come from </w:t>
      </w:r>
    </w:p>
    <w:p w14:paraId="3D4BC404" w14:textId="4A50A905" w:rsidR="00D966CF" w:rsidRDefault="007253E2" w:rsidP="00D966CF">
      <w:pPr>
        <w:pStyle w:val="ListParagraph"/>
        <w:numPr>
          <w:ilvl w:val="0"/>
          <w:numId w:val="26"/>
        </w:numPr>
        <w:jc w:val="both"/>
      </w:pPr>
      <w:r>
        <w:t>M</w:t>
      </w:r>
      <w:r w:rsidR="00D966CF" w:rsidRPr="00D966CF">
        <w:t xml:space="preserve">ultiplexing of OFDM waveforms with </w:t>
      </w:r>
      <w:r w:rsidR="00D966CF">
        <w:t>scaled numerology</w:t>
      </w:r>
    </w:p>
    <w:p w14:paraId="68056521" w14:textId="635C57C1" w:rsidR="007253E2" w:rsidRDefault="007253E2" w:rsidP="00D966CF">
      <w:pPr>
        <w:pStyle w:val="ListParagraph"/>
        <w:numPr>
          <w:ilvl w:val="0"/>
          <w:numId w:val="26"/>
        </w:numPr>
        <w:jc w:val="both"/>
      </w:pPr>
      <w:r>
        <w:t>Asynchronous multiple access among different users.</w:t>
      </w:r>
    </w:p>
    <w:p w14:paraId="1D7D8CEC" w14:textId="77777777" w:rsidR="007253E2" w:rsidRPr="00D966CF" w:rsidRDefault="007253E2" w:rsidP="007253E2">
      <w:pPr>
        <w:pStyle w:val="ListParagraph"/>
        <w:jc w:val="both"/>
      </w:pPr>
    </w:p>
    <w:p w14:paraId="26881B3A" w14:textId="1EBE5748" w:rsidR="004A0D01" w:rsidRDefault="002358F4" w:rsidP="004A0D01">
      <w:pPr>
        <w:jc w:val="both"/>
        <w:rPr>
          <w:szCs w:val="22"/>
        </w:rPr>
      </w:pPr>
      <w:r>
        <w:rPr>
          <w:szCs w:val="22"/>
        </w:rPr>
        <w:t>In addition,</w:t>
      </w:r>
      <w:r w:rsidR="00965266">
        <w:rPr>
          <w:szCs w:val="22"/>
        </w:rPr>
        <w:t xml:space="preserve"> a few</w:t>
      </w:r>
      <w:r w:rsidR="00697409">
        <w:rPr>
          <w:szCs w:val="22"/>
        </w:rPr>
        <w:t xml:space="preserve"> test cases </w:t>
      </w:r>
      <w:r>
        <w:rPr>
          <w:szCs w:val="22"/>
        </w:rPr>
        <w:t xml:space="preserve">have been listed </w:t>
      </w:r>
      <w:r w:rsidR="00697409">
        <w:rPr>
          <w:szCs w:val="22"/>
        </w:rPr>
        <w:t>as common platform for further comparison across these candidates</w:t>
      </w:r>
      <w:r w:rsidR="00633A29">
        <w:rPr>
          <w:szCs w:val="22"/>
        </w:rPr>
        <w:t xml:space="preserve"> </w:t>
      </w:r>
      <w:r w:rsidR="00697409">
        <w:rPr>
          <w:szCs w:val="22"/>
        </w:rPr>
        <w:fldChar w:fldCharType="begin"/>
      </w:r>
      <w:r w:rsidR="00697409">
        <w:rPr>
          <w:szCs w:val="22"/>
        </w:rPr>
        <w:instrText xml:space="preserve"> REF _Ref450736090 \n \h </w:instrText>
      </w:r>
      <w:r w:rsidR="00697409">
        <w:rPr>
          <w:szCs w:val="22"/>
        </w:rPr>
      </w:r>
      <w:r w:rsidR="00697409">
        <w:rPr>
          <w:szCs w:val="22"/>
        </w:rPr>
        <w:fldChar w:fldCharType="separate"/>
      </w:r>
      <w:r w:rsidR="00CE3D7B">
        <w:rPr>
          <w:szCs w:val="22"/>
        </w:rPr>
        <w:t>[2]</w:t>
      </w:r>
      <w:r w:rsidR="00697409">
        <w:rPr>
          <w:szCs w:val="22"/>
        </w:rPr>
        <w:fldChar w:fldCharType="end"/>
      </w:r>
      <w:r w:rsidR="00A3765F">
        <w:rPr>
          <w:szCs w:val="22"/>
        </w:rPr>
        <w:t xml:space="preserve"> </w:t>
      </w:r>
      <w:r w:rsidR="00633A29">
        <w:rPr>
          <w:szCs w:val="22"/>
        </w:rPr>
        <w:fldChar w:fldCharType="begin"/>
      </w:r>
      <w:r w:rsidR="00633A29">
        <w:rPr>
          <w:szCs w:val="22"/>
        </w:rPr>
        <w:instrText xml:space="preserve"> REF _Ref450342762 \n \h </w:instrText>
      </w:r>
      <w:r w:rsidR="00633A29">
        <w:rPr>
          <w:szCs w:val="22"/>
        </w:rPr>
      </w:r>
      <w:r w:rsidR="00633A29">
        <w:rPr>
          <w:szCs w:val="22"/>
        </w:rPr>
        <w:fldChar w:fldCharType="separate"/>
      </w:r>
      <w:r w:rsidR="00CE3D7B">
        <w:rPr>
          <w:szCs w:val="22"/>
        </w:rPr>
        <w:t>[3]</w:t>
      </w:r>
      <w:r w:rsidR="00633A29">
        <w:rPr>
          <w:szCs w:val="22"/>
        </w:rPr>
        <w:fldChar w:fldCharType="end"/>
      </w:r>
      <w:r w:rsidR="00FB1DCE">
        <w:rPr>
          <w:szCs w:val="22"/>
        </w:rPr>
        <w:t>.</w:t>
      </w:r>
      <w:r w:rsidR="00E007C4">
        <w:rPr>
          <w:szCs w:val="22"/>
        </w:rPr>
        <w:t xml:space="preserve"> </w:t>
      </w:r>
      <w:r w:rsidR="009B76A1">
        <w:rPr>
          <w:szCs w:val="22"/>
        </w:rPr>
        <w:t xml:space="preserve">Those test cases </w:t>
      </w:r>
      <w:r w:rsidR="00A3765F">
        <w:rPr>
          <w:szCs w:val="22"/>
        </w:rPr>
        <w:t xml:space="preserve">were setup mainly to evaluate </w:t>
      </w:r>
      <w:r w:rsidR="009B76A1">
        <w:rPr>
          <w:szCs w:val="22"/>
        </w:rPr>
        <w:t xml:space="preserve">the impact </w:t>
      </w:r>
      <w:r w:rsidR="00A3765F">
        <w:rPr>
          <w:szCs w:val="22"/>
        </w:rPr>
        <w:t>to</w:t>
      </w:r>
      <w:r w:rsidR="00965266">
        <w:rPr>
          <w:szCs w:val="22"/>
        </w:rPr>
        <w:t xml:space="preserve"> demodulation loss when there are close-by non-orthogonal interferers adjacent to the target user</w:t>
      </w:r>
      <w:r w:rsidR="001E6E66">
        <w:rPr>
          <w:szCs w:val="22"/>
        </w:rPr>
        <w:t>, a</w:t>
      </w:r>
      <w:r w:rsidR="00A73C8D">
        <w:rPr>
          <w:szCs w:val="22"/>
        </w:rPr>
        <w:t xml:space="preserve">lthough some configurations may not represent the most typical deployment scenarios </w:t>
      </w:r>
      <w:r w:rsidR="00A73C8D">
        <w:rPr>
          <w:szCs w:val="22"/>
        </w:rPr>
        <w:fldChar w:fldCharType="begin"/>
      </w:r>
      <w:r w:rsidR="00A73C8D">
        <w:rPr>
          <w:szCs w:val="22"/>
        </w:rPr>
        <w:instrText xml:space="preserve"> REF _Ref458444129 \r \h </w:instrText>
      </w:r>
      <w:r w:rsidR="00A73C8D">
        <w:rPr>
          <w:szCs w:val="22"/>
        </w:rPr>
      </w:r>
      <w:r w:rsidR="00A73C8D">
        <w:rPr>
          <w:szCs w:val="22"/>
        </w:rPr>
        <w:fldChar w:fldCharType="separate"/>
      </w:r>
      <w:r w:rsidR="00CE3D7B">
        <w:rPr>
          <w:szCs w:val="22"/>
        </w:rPr>
        <w:t>[4]</w:t>
      </w:r>
      <w:r w:rsidR="00A73C8D">
        <w:rPr>
          <w:szCs w:val="22"/>
        </w:rPr>
        <w:fldChar w:fldCharType="end"/>
      </w:r>
      <w:r w:rsidR="00A73C8D">
        <w:rPr>
          <w:szCs w:val="22"/>
        </w:rPr>
        <w:t>.</w:t>
      </w:r>
      <w:r w:rsidR="00AA7B5A">
        <w:rPr>
          <w:szCs w:val="22"/>
        </w:rPr>
        <w:t xml:space="preserve"> In addition to link level performance, some other critical metrics should also be considered in the overall eva</w:t>
      </w:r>
      <w:r w:rsidR="00D44D5B">
        <w:rPr>
          <w:szCs w:val="22"/>
        </w:rPr>
        <w:t>luation of waveforms, including</w:t>
      </w:r>
      <w:r w:rsidR="00AA7B5A">
        <w:rPr>
          <w:szCs w:val="22"/>
        </w:rPr>
        <w:t>:</w:t>
      </w:r>
    </w:p>
    <w:p w14:paraId="2E07A23F" w14:textId="77777777" w:rsidR="00AB472F" w:rsidRDefault="00965266" w:rsidP="00AB472F">
      <w:pPr>
        <w:pStyle w:val="ListParagraph"/>
        <w:numPr>
          <w:ilvl w:val="0"/>
          <w:numId w:val="25"/>
        </w:numPr>
        <w:jc w:val="both"/>
      </w:pPr>
      <w:r w:rsidRPr="00AB472F">
        <w:t xml:space="preserve">the associated transmitter and receiver complexity, </w:t>
      </w:r>
    </w:p>
    <w:p w14:paraId="6415596A" w14:textId="77777777" w:rsidR="00AB472F" w:rsidRDefault="00965266" w:rsidP="00AB472F">
      <w:pPr>
        <w:pStyle w:val="ListParagraph"/>
        <w:numPr>
          <w:ilvl w:val="0"/>
          <w:numId w:val="25"/>
        </w:numPr>
        <w:jc w:val="both"/>
      </w:pPr>
      <w:r w:rsidRPr="00AB472F">
        <w:t xml:space="preserve">extra group delay, </w:t>
      </w:r>
    </w:p>
    <w:p w14:paraId="7B3A2357" w14:textId="77777777" w:rsidR="00AB472F" w:rsidRDefault="00965266" w:rsidP="00AB472F">
      <w:pPr>
        <w:pStyle w:val="ListParagraph"/>
        <w:numPr>
          <w:ilvl w:val="0"/>
          <w:numId w:val="25"/>
        </w:numPr>
        <w:jc w:val="both"/>
      </w:pPr>
      <w:r w:rsidRPr="00AB472F">
        <w:t xml:space="preserve">extra switching overhead in TDD deployment, </w:t>
      </w:r>
    </w:p>
    <w:p w14:paraId="2B6A0FD2" w14:textId="0DD03035" w:rsidR="00965266" w:rsidRPr="00AB472F" w:rsidRDefault="00A0394D" w:rsidP="00AB472F">
      <w:pPr>
        <w:jc w:val="both"/>
      </w:pPr>
      <w:r>
        <w:t xml:space="preserve">These other metrics are briefly discussed in </w:t>
      </w:r>
      <w:r>
        <w:fldChar w:fldCharType="begin"/>
      </w:r>
      <w:r>
        <w:instrText xml:space="preserve"> REF _Ref458445002 \r \h </w:instrText>
      </w:r>
      <w:r>
        <w:fldChar w:fldCharType="separate"/>
      </w:r>
      <w:r w:rsidR="00CE3D7B">
        <w:t>[5]</w:t>
      </w:r>
      <w:r>
        <w:fldChar w:fldCharType="end"/>
      </w:r>
      <w:r>
        <w:t xml:space="preserve">, </w:t>
      </w:r>
      <w:r w:rsidR="002358F4">
        <w:t>which</w:t>
      </w:r>
      <w:r>
        <w:t xml:space="preserve"> only compares WOLA and F-OFDM from among many candidates for simplicity.</w:t>
      </w:r>
    </w:p>
    <w:p w14:paraId="77816BCB" w14:textId="7AFB83B6" w:rsidR="003570F9" w:rsidRDefault="00A0394D" w:rsidP="003570F9">
      <w:pPr>
        <w:jc w:val="both"/>
        <w:rPr>
          <w:szCs w:val="22"/>
        </w:rPr>
      </w:pPr>
      <w:r>
        <w:rPr>
          <w:szCs w:val="22"/>
        </w:rPr>
        <w:t>Notice that there are pros and cons for each of the waveform candidates, and it</w:t>
      </w:r>
      <w:r w:rsidR="002358F4">
        <w:rPr>
          <w:szCs w:val="22"/>
        </w:rPr>
        <w:t xml:space="preserve"> might be difficult to enforce</w:t>
      </w:r>
      <w:r>
        <w:rPr>
          <w:szCs w:val="22"/>
        </w:rPr>
        <w:t xml:space="preserve"> a single solution</w:t>
      </w:r>
      <w:r w:rsidR="002358F4">
        <w:rPr>
          <w:szCs w:val="22"/>
        </w:rPr>
        <w:t xml:space="preserve"> to provide all desired properties</w:t>
      </w:r>
      <w:r>
        <w:rPr>
          <w:szCs w:val="22"/>
        </w:rPr>
        <w:t xml:space="preserve">. </w:t>
      </w:r>
      <w:r w:rsidR="003570F9">
        <w:rPr>
          <w:szCs w:val="22"/>
        </w:rPr>
        <w:t xml:space="preserve">In this contribution, we </w:t>
      </w:r>
      <w:r>
        <w:rPr>
          <w:szCs w:val="22"/>
        </w:rPr>
        <w:t xml:space="preserve">try to propose some general requirements on </w:t>
      </w:r>
      <w:r w:rsidR="002358F4">
        <w:rPr>
          <w:szCs w:val="22"/>
        </w:rPr>
        <w:t xml:space="preserve">final </w:t>
      </w:r>
      <w:r>
        <w:rPr>
          <w:szCs w:val="22"/>
        </w:rPr>
        <w:t xml:space="preserve">waveform </w:t>
      </w:r>
      <w:r w:rsidR="002358F4">
        <w:rPr>
          <w:szCs w:val="22"/>
        </w:rPr>
        <w:t>evaluations</w:t>
      </w:r>
      <w:r>
        <w:rPr>
          <w:szCs w:val="22"/>
        </w:rPr>
        <w:t xml:space="preserve"> </w:t>
      </w:r>
      <w:r w:rsidR="005C7BF2">
        <w:rPr>
          <w:szCs w:val="22"/>
        </w:rPr>
        <w:t xml:space="preserve">and </w:t>
      </w:r>
      <w:r w:rsidR="002358F4">
        <w:rPr>
          <w:szCs w:val="22"/>
        </w:rPr>
        <w:t>the fina</w:t>
      </w:r>
      <w:r w:rsidR="005C7BF2">
        <w:rPr>
          <w:szCs w:val="22"/>
        </w:rPr>
        <w:t>l NR standards impact</w:t>
      </w:r>
      <w:r w:rsidR="007A6EC4">
        <w:rPr>
          <w:szCs w:val="22"/>
        </w:rPr>
        <w:t>.</w:t>
      </w:r>
    </w:p>
    <w:p w14:paraId="7C5B909A" w14:textId="77777777" w:rsidR="009B76A1" w:rsidRPr="009B76A1" w:rsidRDefault="009B76A1" w:rsidP="009B76A1">
      <w:pPr>
        <w:rPr>
          <w:lang w:val="en-GB"/>
        </w:rPr>
      </w:pPr>
    </w:p>
    <w:p w14:paraId="61086AF9" w14:textId="18BA5808" w:rsidR="00160BEB" w:rsidRDefault="00713885" w:rsidP="00160BEB">
      <w:pPr>
        <w:pStyle w:val="Heading1"/>
      </w:pPr>
      <w:r>
        <w:t xml:space="preserve">Further considerations of </w:t>
      </w:r>
      <w:r w:rsidR="00A419EA">
        <w:t xml:space="preserve">standard impact from waveform </w:t>
      </w:r>
    </w:p>
    <w:p w14:paraId="5C19510F" w14:textId="0CF0424B" w:rsidR="00E048DD" w:rsidRDefault="007253E2" w:rsidP="00E048DD">
      <w:pPr>
        <w:pStyle w:val="Heading2"/>
      </w:pPr>
      <w:r>
        <w:t xml:space="preserve">RB alignment </w:t>
      </w:r>
      <w:r w:rsidR="002358F4">
        <w:t xml:space="preserve">and guard tones </w:t>
      </w:r>
      <w:r>
        <w:t>in multiplexing</w:t>
      </w:r>
      <w:r w:rsidR="002358F4">
        <w:t xml:space="preserve"> different services in-band</w:t>
      </w:r>
    </w:p>
    <w:p w14:paraId="601B47B5" w14:textId="3FCFF77C" w:rsidR="00CD520C" w:rsidRDefault="00A419EA" w:rsidP="00713885">
      <w:pPr>
        <w:rPr>
          <w:lang w:val="en-GB"/>
        </w:rPr>
      </w:pPr>
      <w:r>
        <w:rPr>
          <w:lang w:val="en-GB"/>
        </w:rPr>
        <w:t xml:space="preserve">Waveform discussions has been closely related to numerology discussions. </w:t>
      </w:r>
      <w:r w:rsidR="00F76E0B">
        <w:rPr>
          <w:lang w:val="en-GB"/>
        </w:rPr>
        <w:t xml:space="preserve">One of the most discussed NR scenarios envisioned for tighter OOB emission requirement has been the </w:t>
      </w:r>
      <w:r w:rsidR="00F76E0B" w:rsidRPr="00A419EA">
        <w:rPr>
          <w:i/>
          <w:lang w:val="en-GB"/>
        </w:rPr>
        <w:t>scaled numerology multiplexing</w:t>
      </w:r>
      <w:r w:rsidR="00F76E0B">
        <w:rPr>
          <w:lang w:val="en-GB"/>
        </w:rPr>
        <w:t xml:space="preserve"> between different </w:t>
      </w:r>
      <w:r w:rsidR="00AA2B6A">
        <w:rPr>
          <w:lang w:val="en-GB"/>
        </w:rPr>
        <w:t>services, e.g. eMBB and URLLC. Specifically, i</w:t>
      </w:r>
      <w:r w:rsidR="00F76E0B">
        <w:rPr>
          <w:lang w:val="en-GB"/>
        </w:rPr>
        <w:t>t has been adopted as a working assumption</w:t>
      </w:r>
      <w:r w:rsidR="00AA2B6A">
        <w:rPr>
          <w:lang w:val="en-GB"/>
        </w:rPr>
        <w:t xml:space="preserve"> </w:t>
      </w:r>
      <w:r w:rsidR="00AA2B6A">
        <w:rPr>
          <w:lang w:val="en-GB"/>
        </w:rPr>
        <w:fldChar w:fldCharType="begin"/>
      </w:r>
      <w:r w:rsidR="00AA2B6A">
        <w:rPr>
          <w:lang w:val="en-GB"/>
        </w:rPr>
        <w:instrText xml:space="preserve"> REF _Ref458508322 \r \h </w:instrText>
      </w:r>
      <w:r w:rsidR="00AA2B6A">
        <w:rPr>
          <w:lang w:val="en-GB"/>
        </w:rPr>
      </w:r>
      <w:r w:rsidR="00AA2B6A">
        <w:rPr>
          <w:lang w:val="en-GB"/>
        </w:rPr>
        <w:fldChar w:fldCharType="separate"/>
      </w:r>
      <w:r w:rsidR="00CE3D7B">
        <w:rPr>
          <w:lang w:val="en-GB"/>
        </w:rPr>
        <w:t>[8]</w:t>
      </w:r>
      <w:r w:rsidR="00AA2B6A">
        <w:rPr>
          <w:lang w:val="en-GB"/>
        </w:rPr>
        <w:fldChar w:fldCharType="end"/>
      </w:r>
      <w:r w:rsidR="00AA2B6A">
        <w:rPr>
          <w:lang w:val="en-GB"/>
        </w:rPr>
        <w:t>:</w:t>
      </w:r>
    </w:p>
    <w:p w14:paraId="350A37BA" w14:textId="77777777" w:rsidR="00AA2B6A" w:rsidRPr="00D16BE0" w:rsidRDefault="00AA2B6A" w:rsidP="00D16BE0">
      <w:pPr>
        <w:pStyle w:val="BodyText"/>
        <w:numPr>
          <w:ilvl w:val="0"/>
          <w:numId w:val="30"/>
        </w:numPr>
        <w:overflowPunct/>
        <w:autoSpaceDE/>
        <w:autoSpaceDN/>
        <w:adjustRightInd/>
        <w:textAlignment w:val="auto"/>
        <w:rPr>
          <w:rFonts w:ascii="Calibri" w:eastAsia="Calibri" w:hAnsi="Calibri"/>
          <w:sz w:val="22"/>
          <w:szCs w:val="22"/>
          <w:lang w:val="en-GB"/>
        </w:rPr>
      </w:pPr>
      <w:r w:rsidRPr="00D16BE0">
        <w:rPr>
          <w:rFonts w:ascii="Calibri" w:eastAsia="Calibri" w:hAnsi="Calibri"/>
          <w:sz w:val="22"/>
          <w:szCs w:val="22"/>
          <w:lang w:val="en-GB"/>
        </w:rPr>
        <w:t xml:space="preserve">RAN1 concludes on scale factors N =2n </w:t>
      </w:r>
      <w:r w:rsidRPr="00D16BE0">
        <w:rPr>
          <w:rFonts w:ascii="Calibri" w:eastAsia="Calibri" w:hAnsi="Calibri" w:hint="eastAsia"/>
          <w:sz w:val="22"/>
          <w:szCs w:val="22"/>
          <w:lang w:val="en-GB"/>
        </w:rPr>
        <w:t xml:space="preserve">for subcarrier spacing </w:t>
      </w:r>
      <w:r w:rsidRPr="00D16BE0">
        <w:rPr>
          <w:rFonts w:ascii="Calibri" w:eastAsia="Calibri" w:hAnsi="Calibri"/>
          <w:sz w:val="22"/>
          <w:szCs w:val="22"/>
          <w:lang w:val="en-GB"/>
        </w:rPr>
        <w:t xml:space="preserve">as the baseline </w:t>
      </w:r>
      <w:r w:rsidRPr="00D16BE0">
        <w:rPr>
          <w:rFonts w:ascii="Calibri" w:eastAsia="Calibri" w:hAnsi="Calibri" w:hint="eastAsia"/>
          <w:sz w:val="22"/>
          <w:szCs w:val="22"/>
          <w:lang w:val="en-GB"/>
        </w:rPr>
        <w:t xml:space="preserve">design assumption </w:t>
      </w:r>
      <w:r w:rsidRPr="00D16BE0">
        <w:rPr>
          <w:rFonts w:ascii="Calibri" w:eastAsia="Calibri" w:hAnsi="Calibri"/>
          <w:sz w:val="22"/>
          <w:szCs w:val="22"/>
          <w:lang w:val="en-GB"/>
        </w:rPr>
        <w:t>for the NR numerology</w:t>
      </w:r>
    </w:p>
    <w:p w14:paraId="05DE1CF9" w14:textId="704BFCD3" w:rsidR="00AA2B6A" w:rsidRDefault="00AA2B6A" w:rsidP="00713885">
      <w:pPr>
        <w:rPr>
          <w:lang w:val="en-GB"/>
        </w:rPr>
      </w:pPr>
      <w:r>
        <w:rPr>
          <w:lang w:val="en-GB"/>
        </w:rPr>
        <w:lastRenderedPageBreak/>
        <w:t>For simplicity of network scheduling and interference management, it is desirable to</w:t>
      </w:r>
      <w:r w:rsidR="000C6BE7">
        <w:rPr>
          <w:lang w:val="en-GB"/>
        </w:rPr>
        <w:t xml:space="preserve"> imposing </w:t>
      </w:r>
      <w:r w:rsidR="00F37494">
        <w:rPr>
          <w:lang w:val="en-GB"/>
        </w:rPr>
        <w:t>further</w:t>
      </w:r>
      <w:r w:rsidR="000C6BE7">
        <w:rPr>
          <w:lang w:val="en-GB"/>
        </w:rPr>
        <w:t xml:space="preserve"> requirement on the tone and RB assignment</w:t>
      </w:r>
      <w:r w:rsidR="00A419EA">
        <w:rPr>
          <w:lang w:val="en-GB"/>
        </w:rPr>
        <w:t xml:space="preserve"> when multiple</w:t>
      </w:r>
      <w:r w:rsidR="00F37494">
        <w:rPr>
          <w:lang w:val="en-GB"/>
        </w:rPr>
        <w:t xml:space="preserve"> different numerologies are to be FDM’ed in-band.</w:t>
      </w:r>
    </w:p>
    <w:p w14:paraId="083FCAFE" w14:textId="4626AC17" w:rsidR="00D16BE0" w:rsidRDefault="00D16BE0" w:rsidP="00F37494">
      <w:pPr>
        <w:pStyle w:val="Heading3"/>
      </w:pPr>
      <w:r>
        <w:t>Tones of scaled numerologies align on the grid of the base numerology</w:t>
      </w:r>
    </w:p>
    <w:p w14:paraId="173990CA" w14:textId="605C3E1B" w:rsidR="00F37494" w:rsidRDefault="00F37494" w:rsidP="00F3749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_Ref458525538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E3D7B">
        <w:t xml:space="preserve">Figure </w:t>
      </w:r>
      <w:r w:rsidR="00CE3D7B">
        <w:rPr>
          <w:noProof/>
        </w:rPr>
        <w:t>2</w:t>
      </w:r>
      <w:r w:rsidR="00CE3D7B">
        <w:noBreakHyphen/>
      </w:r>
      <w:r w:rsidR="00CE3D7B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an example of how tones are aligned on the grid of the base numerology. Red tones represent the base numerology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SCS=f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, and blue tones represent the 2x numerology at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SCS=2f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>. Notice that blue tones always fall on the grid of the red tones.</w:t>
      </w:r>
    </w:p>
    <w:p w14:paraId="5878F86A" w14:textId="77777777" w:rsidR="00927F35" w:rsidRDefault="00927F35" w:rsidP="00927F35">
      <w:pPr>
        <w:rPr>
          <w:lang w:val="en-GB"/>
        </w:rPr>
      </w:pPr>
    </w:p>
    <w:p w14:paraId="33DED2B3" w14:textId="77777777" w:rsidR="00927F35" w:rsidRDefault="00927F35" w:rsidP="00927F35">
      <w:pPr>
        <w:rPr>
          <w:lang w:val="en-GB"/>
        </w:rPr>
      </w:pPr>
      <w:r w:rsidRPr="000C6BE7">
        <w:rPr>
          <w:noProof/>
        </w:rPr>
        <w:drawing>
          <wp:inline distT="0" distB="0" distL="0" distR="0" wp14:anchorId="43E8E229" wp14:editId="583904E0">
            <wp:extent cx="6332220" cy="13991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9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5EEDA" w14:textId="7A571C86" w:rsidR="00927F35" w:rsidRDefault="00927F35" w:rsidP="00927F35">
      <w:pPr>
        <w:pStyle w:val="Caption"/>
        <w:jc w:val="center"/>
      </w:pPr>
      <w:bookmarkStart w:id="3" w:name="_Ref458525538"/>
      <w:r>
        <w:t xml:space="preserve">Figure </w:t>
      </w:r>
      <w:fldSimple w:instr=" STYLEREF 1 \s ">
        <w:r w:rsidR="00CE3D7B">
          <w:rPr>
            <w:noProof/>
          </w:rPr>
          <w:t>2</w:t>
        </w:r>
      </w:fldSimple>
      <w:r w:rsidR="00BE5024">
        <w:noBreakHyphen/>
      </w:r>
      <w:fldSimple w:instr=" SEQ Figure \* ARABIC \s 1 ">
        <w:r w:rsidR="00CE3D7B">
          <w:rPr>
            <w:noProof/>
          </w:rPr>
          <w:t>1</w:t>
        </w:r>
      </w:fldSimple>
      <w:bookmarkEnd w:id="3"/>
      <w:r>
        <w:t xml:space="preserve"> example multiplexing of SCS and 2x SCS scaled numerologies in-band</w:t>
      </w:r>
    </w:p>
    <w:p w14:paraId="1A520AE7" w14:textId="77777777" w:rsidR="00927F35" w:rsidRPr="00F37494" w:rsidRDefault="00927F35" w:rsidP="00F37494">
      <w:pPr>
        <w:rPr>
          <w:lang w:val="en-GB"/>
        </w:rPr>
      </w:pPr>
    </w:p>
    <w:p w14:paraId="54A4D59B" w14:textId="5133F392" w:rsidR="00D16BE0" w:rsidRDefault="00D16BE0" w:rsidP="00F37494">
      <w:pPr>
        <w:pStyle w:val="Heading3"/>
      </w:pPr>
      <w:r>
        <w:t>Same number of tones per resource block (RB), regardless of the numerology</w:t>
      </w:r>
    </w:p>
    <w:p w14:paraId="2E2F0B63" w14:textId="40CE992E" w:rsidR="00F37494" w:rsidRDefault="009F1FE2" w:rsidP="00F37494">
      <w:pPr>
        <w:rPr>
          <w:lang w:val="en-GB"/>
        </w:rPr>
      </w:pPr>
      <w:r>
        <w:rPr>
          <w:lang w:val="en-GB"/>
        </w:rPr>
        <w:t xml:space="preserve">Keeping the </w:t>
      </w:r>
      <w:r w:rsidR="00F37494">
        <w:rPr>
          <w:lang w:val="en-GB"/>
        </w:rPr>
        <w:t xml:space="preserve">number of tones per RB </w:t>
      </w:r>
      <w:r>
        <w:rPr>
          <w:lang w:val="en-GB"/>
        </w:rPr>
        <w:t xml:space="preserve">constant </w:t>
      </w:r>
      <w:r w:rsidR="00F37494">
        <w:rPr>
          <w:lang w:val="en-GB"/>
        </w:rPr>
        <w:t>allows similar pattern of the reference signals to be reused across various numerologies, which simply the overall design.</w:t>
      </w:r>
      <w:r w:rsidR="00927F35" w:rsidRPr="00927F35">
        <w:rPr>
          <w:lang w:val="en-GB"/>
        </w:rPr>
        <w:t xml:space="preserve"> </w:t>
      </w:r>
      <w:r w:rsidR="00927F35">
        <w:rPr>
          <w:lang w:val="en-GB"/>
        </w:rPr>
        <w:fldChar w:fldCharType="begin"/>
      </w:r>
      <w:r w:rsidR="00927F35">
        <w:rPr>
          <w:lang w:val="en-GB"/>
        </w:rPr>
        <w:instrText xml:space="preserve"> REF _Ref458525538 \h </w:instrText>
      </w:r>
      <w:r w:rsidR="00927F35">
        <w:rPr>
          <w:lang w:val="en-GB"/>
        </w:rPr>
      </w:r>
      <w:r w:rsidR="00927F35">
        <w:rPr>
          <w:lang w:val="en-GB"/>
        </w:rPr>
        <w:fldChar w:fldCharType="separate"/>
      </w:r>
      <w:r w:rsidR="00CE3D7B">
        <w:t xml:space="preserve">Figure </w:t>
      </w:r>
      <w:r w:rsidR="00CE3D7B">
        <w:rPr>
          <w:noProof/>
        </w:rPr>
        <w:t>2</w:t>
      </w:r>
      <w:r w:rsidR="00CE3D7B">
        <w:noBreakHyphen/>
      </w:r>
      <w:r w:rsidR="00CE3D7B">
        <w:rPr>
          <w:noProof/>
        </w:rPr>
        <w:t>1</w:t>
      </w:r>
      <w:r w:rsidR="00927F35">
        <w:rPr>
          <w:lang w:val="en-GB"/>
        </w:rPr>
        <w:fldChar w:fldCharType="end"/>
      </w:r>
      <w:r w:rsidR="00927F35">
        <w:rPr>
          <w:lang w:val="en-GB"/>
        </w:rPr>
        <w:t xml:space="preserve"> shows an example where each RB contains 8 sub-carriers, regardless of the numerology.</w:t>
      </w:r>
    </w:p>
    <w:p w14:paraId="435F61B7" w14:textId="7E2E6974" w:rsidR="00F37494" w:rsidRDefault="009F1FE2" w:rsidP="00F37494">
      <w:pPr>
        <w:rPr>
          <w:lang w:val="en-GB"/>
        </w:rPr>
      </w:pPr>
      <w:r>
        <w:rPr>
          <w:lang w:val="en-GB"/>
        </w:rPr>
        <w:t>Keeping the</w:t>
      </w:r>
      <w:r w:rsidR="00F37494">
        <w:rPr>
          <w:lang w:val="en-GB"/>
        </w:rPr>
        <w:t xml:space="preserve"> number of tones per RB </w:t>
      </w:r>
      <w:r>
        <w:rPr>
          <w:lang w:val="en-GB"/>
        </w:rPr>
        <w:t xml:space="preserve">constant </w:t>
      </w:r>
      <w:r w:rsidR="00F37494">
        <w:rPr>
          <w:lang w:val="en-GB"/>
        </w:rPr>
        <w:t>also allow</w:t>
      </w:r>
      <w:r w:rsidR="0006713A">
        <w:rPr>
          <w:lang w:val="en-GB"/>
        </w:rPr>
        <w:t>s</w:t>
      </w:r>
      <w:r w:rsidR="00F37494">
        <w:rPr>
          <w:lang w:val="en-GB"/>
        </w:rPr>
        <w:t xml:space="preserve"> simpler scaling of numerologies than fixed total bandwidth per RB. For example</w:t>
      </w:r>
      <w:r w:rsidR="0006713A">
        <w:rPr>
          <w:lang w:val="en-GB"/>
        </w:rPr>
        <w:t xml:space="preserve">, </w:t>
      </w:r>
      <w:r w:rsidR="000F2E8C">
        <w:rPr>
          <w:lang w:val="en-GB"/>
        </w:rPr>
        <w:t xml:space="preserve">assuming each RB is defined to have fixed bandwidth of </w:t>
      </w:r>
      <m:oMath>
        <m:r>
          <w:rPr>
            <w:rFonts w:ascii="Cambria Math" w:hAnsi="Cambria Math"/>
            <w:lang w:val="en-GB"/>
          </w:rPr>
          <m:t>8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0F2E8C">
        <w:rPr>
          <w:lang w:val="en-GB"/>
        </w:rPr>
        <w:t xml:space="preserve"> (i.e. 8 tones with base numerology), then with 8x numerology, each RB will only occupy 1 tone. This is clearly not a scalable design.</w:t>
      </w:r>
    </w:p>
    <w:p w14:paraId="4C445EDB" w14:textId="144EC31F" w:rsidR="00D16BE0" w:rsidRPr="00D16BE0" w:rsidRDefault="00D16BE0" w:rsidP="000F2E8C">
      <w:pPr>
        <w:pStyle w:val="Heading3"/>
      </w:pPr>
      <w:r>
        <w:t xml:space="preserve">Each numerology has its RB partition, and eNB scheduler will allocate RB to each user corresponding to the user-specific </w:t>
      </w:r>
      <w:r w:rsidR="00FA28DA">
        <w:t>numerology</w:t>
      </w:r>
      <w:r>
        <w:t>.</w:t>
      </w:r>
    </w:p>
    <w:p w14:paraId="0A128568" w14:textId="3A1577FF" w:rsidR="000C6BE7" w:rsidRDefault="00B34532" w:rsidP="000C6BE7">
      <w:r>
        <w:t>For simple scheduling implementation, it is</w:t>
      </w:r>
      <w:r w:rsidR="00FB24AB">
        <w:t xml:space="preserve"> desirable to define the RB grid (or resource partitioning)</w:t>
      </w:r>
      <w:r>
        <w:t xml:space="preserve"> of </w:t>
      </w:r>
      <w:r w:rsidR="00FB24AB">
        <w:t>different numerologies</w:t>
      </w:r>
      <w:r w:rsidR="00D44D5B">
        <w:t xml:space="preserve"> independently, </w:t>
      </w:r>
      <w:r w:rsidR="00FB24AB">
        <w:t xml:space="preserve">as shown in </w:t>
      </w:r>
      <w:r w:rsidR="00FB24AB">
        <w:fldChar w:fldCharType="begin"/>
      </w:r>
      <w:r w:rsidR="00FB24AB">
        <w:instrText xml:space="preserve"> REF _Ref458545818 \h </w:instrText>
      </w:r>
      <w:r w:rsidR="00FB24AB">
        <w:fldChar w:fldCharType="separate"/>
      </w:r>
      <w:r w:rsidR="00CE3D7B">
        <w:t xml:space="preserve">Figure </w:t>
      </w:r>
      <w:r w:rsidR="00CE3D7B">
        <w:rPr>
          <w:noProof/>
        </w:rPr>
        <w:t>2</w:t>
      </w:r>
      <w:r w:rsidR="00CE3D7B">
        <w:noBreakHyphen/>
      </w:r>
      <w:r w:rsidR="00CE3D7B">
        <w:rPr>
          <w:noProof/>
        </w:rPr>
        <w:t>2</w:t>
      </w:r>
      <w:r w:rsidR="00FB24AB">
        <w:fldChar w:fldCharType="end"/>
      </w:r>
      <w:r w:rsidR="00FB24AB">
        <w:t>. This allows a consistent RB partitioning of a given spectrum, which can simplify the control channel design.</w:t>
      </w:r>
    </w:p>
    <w:p w14:paraId="067F69FF" w14:textId="20CC03F7" w:rsidR="00893CAA" w:rsidRDefault="00893CAA" w:rsidP="000C6BE7">
      <w:r w:rsidRPr="00893CAA">
        <w:rPr>
          <w:noProof/>
        </w:rPr>
        <w:drawing>
          <wp:inline distT="0" distB="0" distL="0" distR="0" wp14:anchorId="547CF39C" wp14:editId="1837E482">
            <wp:extent cx="6332220" cy="11412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4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6058D" w14:textId="6BC721F3" w:rsidR="00893CAA" w:rsidRDefault="00893CAA" w:rsidP="00893CAA">
      <w:pPr>
        <w:pStyle w:val="Caption"/>
        <w:jc w:val="center"/>
      </w:pPr>
      <w:bookmarkStart w:id="4" w:name="_Ref458545818"/>
      <w:r>
        <w:t xml:space="preserve">Figure </w:t>
      </w:r>
      <w:fldSimple w:instr=" STYLEREF 1 \s ">
        <w:r w:rsidR="00CE3D7B">
          <w:rPr>
            <w:noProof/>
          </w:rPr>
          <w:t>2</w:t>
        </w:r>
      </w:fldSimple>
      <w:r w:rsidR="00BE5024">
        <w:noBreakHyphen/>
      </w:r>
      <w:fldSimple w:instr=" SEQ Figure \* ARABIC \s 1 ">
        <w:r w:rsidR="00CE3D7B">
          <w:rPr>
            <w:noProof/>
          </w:rPr>
          <w:t>2</w:t>
        </w:r>
      </w:fldSimple>
      <w:bookmarkEnd w:id="4"/>
      <w:r>
        <w:t xml:space="preserve"> RB partition of scaled numerology</w:t>
      </w:r>
    </w:p>
    <w:p w14:paraId="7BB22AEE" w14:textId="4CCAA9D8" w:rsidR="00893CAA" w:rsidRDefault="002E646C" w:rsidP="00776F60">
      <w:pPr>
        <w:jc w:val="both"/>
      </w:pPr>
      <w:r>
        <w:fldChar w:fldCharType="begin"/>
      </w:r>
      <w:r>
        <w:instrText xml:space="preserve"> REF _Ref458531592 \h </w:instrText>
      </w:r>
      <w:r>
        <w:fldChar w:fldCharType="separate"/>
      </w:r>
      <w:r w:rsidR="00CE3D7B">
        <w:t xml:space="preserve">Figure </w:t>
      </w:r>
      <w:r w:rsidR="00CE3D7B">
        <w:rPr>
          <w:noProof/>
        </w:rPr>
        <w:t>2</w:t>
      </w:r>
      <w:r w:rsidR="00CE3D7B">
        <w:noBreakHyphen/>
      </w:r>
      <w:r w:rsidR="00CE3D7B">
        <w:rPr>
          <w:noProof/>
        </w:rPr>
        <w:t>3</w:t>
      </w:r>
      <w:r>
        <w:fldChar w:fldCharType="end"/>
      </w:r>
      <w:r>
        <w:t xml:space="preserve"> provides an example of multiplexing 3 different users with different sub-carrier </w:t>
      </w:r>
      <w:r w:rsidR="00D44D5B">
        <w:t>spacing’s</w:t>
      </w:r>
      <w:r>
        <w:t>. Notice that each users’ allocated RB will always fall on the RB grid corresponding to their own numerologies, respectively. This also indicates there could zero or non-zero guard tones in between adjacent users, which is up to the scheduler’s decision.</w:t>
      </w:r>
      <w:r w:rsidR="00776F60">
        <w:t xml:space="preserve"> </w:t>
      </w:r>
    </w:p>
    <w:p w14:paraId="4AC5CFCC" w14:textId="611135B2" w:rsidR="00BE5024" w:rsidRDefault="00BE5024" w:rsidP="00893CAA">
      <w:r w:rsidRPr="00BE5024">
        <w:rPr>
          <w:noProof/>
        </w:rPr>
        <w:lastRenderedPageBreak/>
        <w:drawing>
          <wp:inline distT="0" distB="0" distL="0" distR="0" wp14:anchorId="418EB7F9" wp14:editId="6E4E2F50">
            <wp:extent cx="6332220" cy="11412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14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A0E64" w14:textId="2DFEDB19" w:rsidR="00BE5024" w:rsidRDefault="00BE5024" w:rsidP="00BE5024">
      <w:pPr>
        <w:pStyle w:val="Caption"/>
        <w:jc w:val="center"/>
      </w:pPr>
      <w:bookmarkStart w:id="5" w:name="_Ref458531592"/>
      <w:r>
        <w:t xml:space="preserve">Figure </w:t>
      </w:r>
      <w:fldSimple w:instr=" STYLEREF 1 \s ">
        <w:r w:rsidR="00CE3D7B">
          <w:rPr>
            <w:noProof/>
          </w:rPr>
          <w:t>2</w:t>
        </w:r>
      </w:fldSimple>
      <w:r>
        <w:noBreakHyphen/>
      </w:r>
      <w:fldSimple w:instr=" SEQ Figure \* ARABIC \s 1 ">
        <w:r w:rsidR="00CE3D7B">
          <w:rPr>
            <w:noProof/>
          </w:rPr>
          <w:t>3</w:t>
        </w:r>
      </w:fldSimple>
      <w:bookmarkEnd w:id="5"/>
      <w:r>
        <w:t xml:space="preserve"> example RB allocation to 3 users with scaled numerologies</w:t>
      </w:r>
    </w:p>
    <w:p w14:paraId="75AF496F" w14:textId="40E688DE" w:rsidR="00FA28DA" w:rsidRPr="00FA28DA" w:rsidRDefault="00FA28DA" w:rsidP="00FA28DA">
      <w:pPr>
        <w:rPr>
          <w:b/>
        </w:rPr>
      </w:pPr>
      <w:r w:rsidRPr="00FA28DA">
        <w:rPr>
          <w:b/>
        </w:rPr>
        <w:t>Proposal 1: tones of scaled numerology always align on the grid of base numerology.</w:t>
      </w:r>
    </w:p>
    <w:p w14:paraId="158C42AC" w14:textId="193E1042" w:rsidR="00FA28DA" w:rsidRPr="00FA28DA" w:rsidRDefault="00FA28DA" w:rsidP="00FA28DA">
      <w:pPr>
        <w:rPr>
          <w:b/>
        </w:rPr>
      </w:pPr>
      <w:r w:rsidRPr="00FA28DA">
        <w:rPr>
          <w:b/>
        </w:rPr>
        <w:t>Proposal 2: fixed number of tones per RB regardless of numerology.</w:t>
      </w:r>
    </w:p>
    <w:p w14:paraId="5E87C283" w14:textId="2D8E1483" w:rsidR="00FA28DA" w:rsidRDefault="00FA28DA" w:rsidP="00FA28DA">
      <w:pPr>
        <w:rPr>
          <w:b/>
        </w:rPr>
      </w:pPr>
      <w:r w:rsidRPr="00FA28DA">
        <w:rPr>
          <w:b/>
        </w:rPr>
        <w:t>Proposal 3: RB partition is fixed for each numerology, and schedule allocates RB based on user-specific numerology.</w:t>
      </w:r>
    </w:p>
    <w:p w14:paraId="2B4FC039" w14:textId="77777777" w:rsidR="00FA28DA" w:rsidRPr="00FA28DA" w:rsidRDefault="00FA28DA" w:rsidP="00FA28DA">
      <w:pPr>
        <w:rPr>
          <w:b/>
        </w:rPr>
      </w:pPr>
    </w:p>
    <w:p w14:paraId="2442E6B9" w14:textId="47E2AA7A" w:rsidR="007253E2" w:rsidRDefault="007253E2" w:rsidP="007253E2">
      <w:pPr>
        <w:pStyle w:val="Heading2"/>
      </w:pPr>
      <w:bookmarkStart w:id="6" w:name="_Ref458602379"/>
      <w:r>
        <w:t>RAN4 to further provide in-band emission requirements</w:t>
      </w:r>
      <w:bookmarkEnd w:id="6"/>
    </w:p>
    <w:p w14:paraId="287DD33A" w14:textId="407A812D" w:rsidR="00D65C28" w:rsidRDefault="009878C9" w:rsidP="009878C9">
      <w:pPr>
        <w:jc w:val="both"/>
        <w:rPr>
          <w:lang w:val="en-GB"/>
        </w:rPr>
      </w:pPr>
      <w:r>
        <w:rPr>
          <w:lang w:val="en-GB"/>
        </w:rPr>
        <w:t>To</w:t>
      </w:r>
      <w:r w:rsidR="006F4626">
        <w:rPr>
          <w:lang w:val="en-GB"/>
        </w:rPr>
        <w:t xml:space="preserve"> </w:t>
      </w:r>
      <w:r>
        <w:rPr>
          <w:lang w:val="en-GB"/>
        </w:rPr>
        <w:t>support</w:t>
      </w:r>
      <w:r w:rsidR="00480A86">
        <w:rPr>
          <w:lang w:val="en-GB"/>
        </w:rPr>
        <w:t xml:space="preserve"> in-band m</w:t>
      </w:r>
      <w:r>
        <w:rPr>
          <w:lang w:val="en-GB"/>
        </w:rPr>
        <w:t>ultiplexing of scaled numerologies</w:t>
      </w:r>
      <w:r w:rsidR="00480A86">
        <w:rPr>
          <w:lang w:val="en-GB"/>
        </w:rPr>
        <w:t xml:space="preserve">, a new </w:t>
      </w:r>
      <w:r>
        <w:rPr>
          <w:lang w:val="en-GB"/>
        </w:rPr>
        <w:t xml:space="preserve">RAN4 specifications on </w:t>
      </w:r>
      <w:r w:rsidR="00480A86">
        <w:rPr>
          <w:lang w:val="en-GB"/>
        </w:rPr>
        <w:t xml:space="preserve">in-band emission requirements may </w:t>
      </w:r>
      <w:r>
        <w:rPr>
          <w:lang w:val="en-GB"/>
        </w:rPr>
        <w:t>be needed</w:t>
      </w:r>
      <w:r w:rsidR="00480A86">
        <w:rPr>
          <w:lang w:val="en-GB"/>
        </w:rPr>
        <w:t xml:space="preserve"> t</w:t>
      </w:r>
      <w:r w:rsidR="0021753E">
        <w:rPr>
          <w:lang w:val="en-GB"/>
        </w:rPr>
        <w:t xml:space="preserve">o control interference from </w:t>
      </w:r>
      <w:r w:rsidR="006F4626">
        <w:rPr>
          <w:lang w:val="en-GB"/>
        </w:rPr>
        <w:t xml:space="preserve">non-orthogonal adjacent </w:t>
      </w:r>
      <w:r w:rsidR="00480A86">
        <w:rPr>
          <w:lang w:val="en-GB"/>
        </w:rPr>
        <w:t>interferers.</w:t>
      </w:r>
    </w:p>
    <w:p w14:paraId="3ECFAF07" w14:textId="77F2B660" w:rsidR="009878C9" w:rsidRDefault="009878C9" w:rsidP="009878C9">
      <w:pPr>
        <w:jc w:val="both"/>
        <w:rPr>
          <w:lang w:val="en-GB"/>
        </w:rPr>
      </w:pPr>
      <w:r>
        <w:rPr>
          <w:lang w:val="en-GB"/>
        </w:rPr>
        <w:t>To achieve better spectral utilization and reduce guard band requirements on a carrier basis, a new RAN4 specifications on out-of-band emission requirements (including spectrum emission mask and adjacent channel leakage ratio) may be needed.</w:t>
      </w:r>
    </w:p>
    <w:p w14:paraId="64C86C61" w14:textId="6E3CDF43" w:rsidR="009878C9" w:rsidRDefault="009878C9" w:rsidP="009878C9">
      <w:pPr>
        <w:jc w:val="both"/>
        <w:rPr>
          <w:lang w:val="en-GB"/>
        </w:rPr>
      </w:pPr>
      <w:r>
        <w:rPr>
          <w:lang w:val="en-GB"/>
        </w:rPr>
        <w:t xml:space="preserve">Certain waveform techniques (e.g. filtering, windowing, </w:t>
      </w:r>
      <w:r w:rsidR="00FC3886">
        <w:rPr>
          <w:lang w:val="en-GB"/>
        </w:rPr>
        <w:t>etc.</w:t>
      </w:r>
      <w:r>
        <w:rPr>
          <w:lang w:val="en-GB"/>
        </w:rPr>
        <w:t>) are expected to be used in order to satisfy those RAN4 requirements.</w:t>
      </w:r>
    </w:p>
    <w:p w14:paraId="45C9B8DD" w14:textId="4E9A6705" w:rsidR="00FA28DA" w:rsidRDefault="00FA28DA" w:rsidP="009878C9">
      <w:pPr>
        <w:jc w:val="both"/>
        <w:rPr>
          <w:b/>
          <w:lang w:val="en-GB"/>
        </w:rPr>
      </w:pPr>
      <w:r w:rsidRPr="00FA28DA">
        <w:rPr>
          <w:b/>
          <w:lang w:val="en-GB"/>
        </w:rPr>
        <w:t>Proposal 4: RAN4 to study new specifications on in-band emission and out-of-band emission requirements for NR.</w:t>
      </w:r>
    </w:p>
    <w:p w14:paraId="54B5696D" w14:textId="77777777" w:rsidR="00FA28DA" w:rsidRPr="00FA28DA" w:rsidRDefault="00FA28DA" w:rsidP="009878C9">
      <w:pPr>
        <w:jc w:val="both"/>
        <w:rPr>
          <w:b/>
          <w:lang w:val="en-GB"/>
        </w:rPr>
      </w:pPr>
    </w:p>
    <w:p w14:paraId="1F6D3B10" w14:textId="5854670B" w:rsidR="007253E2" w:rsidRPr="007253E2" w:rsidRDefault="007253E2" w:rsidP="007253E2">
      <w:pPr>
        <w:pStyle w:val="Heading2"/>
      </w:pPr>
      <w:r>
        <w:t>Transparent to RAN1 spec</w:t>
      </w:r>
      <w:r w:rsidR="009878C9">
        <w:t>ifications</w:t>
      </w:r>
    </w:p>
    <w:p w14:paraId="675FC29F" w14:textId="652AD127" w:rsidR="00433158" w:rsidRDefault="00805E10" w:rsidP="00356FB3">
      <w:pPr>
        <w:jc w:val="both"/>
        <w:rPr>
          <w:lang w:val="en-GB"/>
        </w:rPr>
      </w:pPr>
      <w:r>
        <w:rPr>
          <w:lang w:val="en-GB"/>
        </w:rPr>
        <w:t>As has been extensively evaluated in RAN1</w:t>
      </w:r>
      <w:r w:rsidR="00BE14D4">
        <w:rPr>
          <w:lang w:val="en-GB"/>
        </w:rPr>
        <w:t xml:space="preserve"> </w:t>
      </w:r>
      <w:r w:rsidR="00BE14D4">
        <w:rPr>
          <w:lang w:val="en-GB"/>
        </w:rPr>
        <w:fldChar w:fldCharType="begin"/>
      </w:r>
      <w:r w:rsidR="00BE14D4">
        <w:rPr>
          <w:lang w:val="en-GB"/>
        </w:rPr>
        <w:instrText xml:space="preserve"> REF _Ref458634643 \r \h </w:instrText>
      </w:r>
      <w:r w:rsidR="00BE14D4">
        <w:rPr>
          <w:lang w:val="en-GB"/>
        </w:rPr>
      </w:r>
      <w:r w:rsidR="00BE14D4">
        <w:rPr>
          <w:lang w:val="en-GB"/>
        </w:rPr>
        <w:fldChar w:fldCharType="separate"/>
      </w:r>
      <w:r w:rsidR="00BE14D4">
        <w:rPr>
          <w:lang w:val="en-GB"/>
        </w:rPr>
        <w:t>[5]</w:t>
      </w:r>
      <w:r w:rsidR="00BE14D4">
        <w:rPr>
          <w:lang w:val="en-GB"/>
        </w:rPr>
        <w:fldChar w:fldCharType="end"/>
      </w:r>
      <w:r w:rsidR="00BE14D4">
        <w:rPr>
          <w:lang w:val="en-GB"/>
        </w:rPr>
        <w:t>~</w:t>
      </w:r>
      <w:r w:rsidR="00BE14D4">
        <w:rPr>
          <w:lang w:val="en-GB"/>
        </w:rPr>
        <w:fldChar w:fldCharType="begin"/>
      </w:r>
      <w:r w:rsidR="00BE14D4">
        <w:rPr>
          <w:lang w:val="en-GB"/>
        </w:rPr>
        <w:instrText xml:space="preserve"> REF _Ref458616452 \r \h </w:instrText>
      </w:r>
      <w:r w:rsidR="00BE14D4">
        <w:rPr>
          <w:lang w:val="en-GB"/>
        </w:rPr>
      </w:r>
      <w:r w:rsidR="00BE14D4">
        <w:rPr>
          <w:lang w:val="en-GB"/>
        </w:rPr>
        <w:fldChar w:fldCharType="separate"/>
      </w:r>
      <w:r w:rsidR="00BE14D4">
        <w:rPr>
          <w:lang w:val="en-GB"/>
        </w:rPr>
        <w:t>[13]</w:t>
      </w:r>
      <w:r w:rsidR="00BE14D4">
        <w:rPr>
          <w:lang w:val="en-GB"/>
        </w:rPr>
        <w:fldChar w:fldCharType="end"/>
      </w:r>
      <w:r>
        <w:rPr>
          <w:lang w:val="en-GB"/>
        </w:rPr>
        <w:t>, various waveforms techniques</w:t>
      </w:r>
      <w:r w:rsidR="00433158">
        <w:rPr>
          <w:lang w:val="en-GB"/>
        </w:rPr>
        <w:t>, such as windowing or filtering,</w:t>
      </w:r>
      <w:r>
        <w:rPr>
          <w:lang w:val="en-GB"/>
        </w:rPr>
        <w:t xml:space="preserve"> can help re</w:t>
      </w:r>
      <w:r w:rsidR="009878C9">
        <w:rPr>
          <w:lang w:val="en-GB"/>
        </w:rPr>
        <w:t>duce the in-band and out-of-band</w:t>
      </w:r>
      <w:r>
        <w:rPr>
          <w:lang w:val="en-GB"/>
        </w:rPr>
        <w:t xml:space="preserve"> emission</w:t>
      </w:r>
      <w:r w:rsidR="009878C9">
        <w:rPr>
          <w:lang w:val="en-GB"/>
        </w:rPr>
        <w:t>s</w:t>
      </w:r>
      <w:r>
        <w:rPr>
          <w:lang w:val="en-GB"/>
        </w:rPr>
        <w:t xml:space="preserve"> of the CP-OFDM waveforms. Different waveforms has its own pros and cons</w:t>
      </w:r>
      <w:r w:rsidR="00433158">
        <w:rPr>
          <w:lang w:val="en-GB"/>
        </w:rPr>
        <w:t>,</w:t>
      </w:r>
      <w:r>
        <w:rPr>
          <w:lang w:val="en-GB"/>
        </w:rPr>
        <w:t xml:space="preserve"> and achieves different trade-offs among ICI rejection, ISI rejection, complexity, overall processing, tx-rx switching overhead, etc</w:t>
      </w:r>
      <w:r w:rsidR="00BE14D4">
        <w:rPr>
          <w:lang w:val="en-GB"/>
        </w:rPr>
        <w:t xml:space="preserve">. </w:t>
      </w:r>
      <w:r w:rsidR="00BE14D4">
        <w:rPr>
          <w:lang w:val="en-GB"/>
        </w:rPr>
        <w:fldChar w:fldCharType="begin"/>
      </w:r>
      <w:r w:rsidR="00BE14D4">
        <w:rPr>
          <w:lang w:val="en-GB"/>
        </w:rPr>
        <w:instrText xml:space="preserve"> REF _Ref458616455 \r \h </w:instrText>
      </w:r>
      <w:r w:rsidR="00BE14D4">
        <w:rPr>
          <w:lang w:val="en-GB"/>
        </w:rPr>
      </w:r>
      <w:r w:rsidR="00BE14D4">
        <w:rPr>
          <w:lang w:val="en-GB"/>
        </w:rPr>
        <w:fldChar w:fldCharType="separate"/>
      </w:r>
      <w:r w:rsidR="00BE14D4">
        <w:rPr>
          <w:lang w:val="en-GB"/>
        </w:rPr>
        <w:t>[14]</w:t>
      </w:r>
      <w:r w:rsidR="00BE14D4"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36459A0E" w14:textId="5411704D" w:rsidR="00CD520C" w:rsidRDefault="00805E10" w:rsidP="0021753E">
      <w:pPr>
        <w:jc w:val="both"/>
        <w:rPr>
          <w:lang w:val="en-GB"/>
        </w:rPr>
      </w:pPr>
      <w:r>
        <w:rPr>
          <w:lang w:val="en-GB"/>
        </w:rPr>
        <w:t xml:space="preserve">Therefore, </w:t>
      </w:r>
      <w:r w:rsidR="00433158">
        <w:rPr>
          <w:lang w:val="en-GB"/>
        </w:rPr>
        <w:t xml:space="preserve">for the purpose of controlling ICI from adjacent interferers, </w:t>
      </w:r>
      <w:r>
        <w:rPr>
          <w:lang w:val="en-GB"/>
        </w:rPr>
        <w:t>it may not be desirable to explicitly specify a single technique on top of the fundamental waveforms in RAN1 spec.</w:t>
      </w:r>
      <w:r w:rsidR="009F1FE2">
        <w:rPr>
          <w:lang w:val="en-GB"/>
        </w:rPr>
        <w:t xml:space="preserve"> Instead, it </w:t>
      </w:r>
      <w:r w:rsidR="00DE6215">
        <w:rPr>
          <w:lang w:val="en-GB"/>
        </w:rPr>
        <w:t xml:space="preserve">is </w:t>
      </w:r>
      <w:r w:rsidR="00D44D5B">
        <w:rPr>
          <w:lang w:val="en-GB"/>
        </w:rPr>
        <w:t>preferable</w:t>
      </w:r>
      <w:r w:rsidR="009F1FE2">
        <w:rPr>
          <w:lang w:val="en-GB"/>
        </w:rPr>
        <w:t xml:space="preserve"> to leave the</w:t>
      </w:r>
      <w:r w:rsidR="00433158">
        <w:rPr>
          <w:lang w:val="en-GB"/>
        </w:rPr>
        <w:t xml:space="preserve"> </w:t>
      </w:r>
      <w:r w:rsidR="000B5A31">
        <w:rPr>
          <w:lang w:val="en-GB"/>
        </w:rPr>
        <w:t>selection as an implementation</w:t>
      </w:r>
      <w:r w:rsidR="00356FB3">
        <w:rPr>
          <w:lang w:val="en-GB"/>
        </w:rPr>
        <w:t xml:space="preserve"> choice, as long as </w:t>
      </w:r>
      <w:r w:rsidR="00DE6215">
        <w:rPr>
          <w:lang w:val="en-GB"/>
        </w:rPr>
        <w:t xml:space="preserve">in-band emission satisfy the RAN4 requirements (as discussed in section </w:t>
      </w:r>
      <w:r w:rsidR="00DE6215">
        <w:rPr>
          <w:lang w:val="en-GB"/>
        </w:rPr>
        <w:fldChar w:fldCharType="begin"/>
      </w:r>
      <w:r w:rsidR="00DE6215">
        <w:rPr>
          <w:lang w:val="en-GB"/>
        </w:rPr>
        <w:instrText xml:space="preserve"> REF _Ref458602379 \r \h </w:instrText>
      </w:r>
      <w:r w:rsidR="00DE6215">
        <w:rPr>
          <w:lang w:val="en-GB"/>
        </w:rPr>
      </w:r>
      <w:r w:rsidR="00DE6215">
        <w:rPr>
          <w:lang w:val="en-GB"/>
        </w:rPr>
        <w:fldChar w:fldCharType="separate"/>
      </w:r>
      <w:r w:rsidR="00CE3D7B">
        <w:rPr>
          <w:lang w:val="en-GB"/>
        </w:rPr>
        <w:t>2.2</w:t>
      </w:r>
      <w:r w:rsidR="00DE6215">
        <w:rPr>
          <w:lang w:val="en-GB"/>
        </w:rPr>
        <w:fldChar w:fldCharType="end"/>
      </w:r>
      <w:r w:rsidR="00DE6215">
        <w:rPr>
          <w:lang w:val="en-GB"/>
        </w:rPr>
        <w:t xml:space="preserve">). An implication </w:t>
      </w:r>
      <w:r w:rsidR="0021753E">
        <w:rPr>
          <w:lang w:val="en-GB"/>
        </w:rPr>
        <w:t xml:space="preserve">is that </w:t>
      </w:r>
      <w:r w:rsidR="00356FB3">
        <w:rPr>
          <w:lang w:val="en-GB"/>
        </w:rPr>
        <w:t>the s</w:t>
      </w:r>
      <w:r w:rsidR="0021753E">
        <w:rPr>
          <w:lang w:val="en-GB"/>
        </w:rPr>
        <w:t>elected scheme at transmitter should be</w:t>
      </w:r>
      <w:r w:rsidR="00356FB3">
        <w:rPr>
          <w:lang w:val="en-GB"/>
        </w:rPr>
        <w:t xml:space="preserve"> transparent to the receiver.</w:t>
      </w:r>
      <w:r w:rsidR="0021753E">
        <w:rPr>
          <w:lang w:val="en-GB"/>
        </w:rPr>
        <w:t xml:space="preserve"> </w:t>
      </w:r>
      <w:r w:rsidR="00356FB3">
        <w:rPr>
          <w:lang w:val="en-GB"/>
        </w:rPr>
        <w:t>Specifically, this means</w:t>
      </w:r>
      <w:r w:rsidR="00A73C8D">
        <w:rPr>
          <w:lang w:val="en-GB"/>
        </w:rPr>
        <w:t>:</w:t>
      </w:r>
    </w:p>
    <w:p w14:paraId="6B2F395B" w14:textId="6E913E07" w:rsidR="00A73C8D" w:rsidRPr="00A73C8D" w:rsidRDefault="00A73C8D" w:rsidP="00FA28DA">
      <w:pPr>
        <w:numPr>
          <w:ilvl w:val="0"/>
          <w:numId w:val="27"/>
        </w:numPr>
        <w:jc w:val="both"/>
      </w:pPr>
      <w:r w:rsidRPr="00A73C8D">
        <w:t xml:space="preserve">The </w:t>
      </w:r>
      <w:r w:rsidR="00356FB3">
        <w:t xml:space="preserve">transmitter </w:t>
      </w:r>
      <w:r w:rsidR="00FA28DA">
        <w:t>has the flexibility to</w:t>
      </w:r>
      <w:r w:rsidR="00356FB3">
        <w:t xml:space="preserve"> select certain</w:t>
      </w:r>
      <w:r w:rsidRPr="00A73C8D">
        <w:t xml:space="preserve"> processing </w:t>
      </w:r>
      <w:r w:rsidR="00356FB3">
        <w:t xml:space="preserve">technique </w:t>
      </w:r>
      <w:r w:rsidRPr="00A73C8D">
        <w:t>(</w:t>
      </w:r>
      <w:r w:rsidR="00356FB3">
        <w:t xml:space="preserve">e.g., </w:t>
      </w:r>
      <w:r w:rsidRPr="00A73C8D">
        <w:t xml:space="preserve">filtering, windowing, </w:t>
      </w:r>
      <w:r w:rsidR="00D44D5B">
        <w:t>etc.</w:t>
      </w:r>
      <w:r w:rsidRPr="00A73C8D">
        <w:t>)</w:t>
      </w:r>
      <w:r w:rsidR="00FA28DA">
        <w:t xml:space="preserve"> to satisfy RAN4 requirements</w:t>
      </w:r>
      <w:r w:rsidRPr="00A73C8D">
        <w:t xml:space="preserve">. The </w:t>
      </w:r>
      <w:r w:rsidR="00356FB3">
        <w:t>receiver</w:t>
      </w:r>
      <w:r w:rsidRPr="00A73C8D">
        <w:t xml:space="preserve"> does not have to know what processing the </w:t>
      </w:r>
      <w:r w:rsidR="00356FB3">
        <w:t>transmitter</w:t>
      </w:r>
      <w:r w:rsidRPr="00A73C8D">
        <w:t xml:space="preserve"> applies. </w:t>
      </w:r>
    </w:p>
    <w:p w14:paraId="0DB85006" w14:textId="3F0DE721" w:rsidR="00A73C8D" w:rsidRPr="00A73C8D" w:rsidRDefault="00A73C8D" w:rsidP="00A73C8D">
      <w:pPr>
        <w:numPr>
          <w:ilvl w:val="0"/>
          <w:numId w:val="27"/>
        </w:numPr>
      </w:pPr>
      <w:r w:rsidRPr="00A73C8D">
        <w:t xml:space="preserve">The </w:t>
      </w:r>
      <w:r w:rsidR="00356FB3">
        <w:t>receiver</w:t>
      </w:r>
      <w:r w:rsidRPr="00A73C8D">
        <w:t xml:space="preserve"> </w:t>
      </w:r>
      <w:r w:rsidR="00356FB3">
        <w:t xml:space="preserve">can also </w:t>
      </w:r>
      <w:r w:rsidRPr="00A73C8D">
        <w:t xml:space="preserve">applies some receiver side processing to </w:t>
      </w:r>
      <w:r w:rsidR="00FA28DA">
        <w:t>suppress</w:t>
      </w:r>
      <w:r w:rsidRPr="00A73C8D">
        <w:t xml:space="preserve"> </w:t>
      </w:r>
      <w:r w:rsidR="00356FB3">
        <w:t xml:space="preserve">adjacent user </w:t>
      </w:r>
      <w:r w:rsidR="0021753E">
        <w:t xml:space="preserve">interference, without the requirement of knowing the processing technique used by the transmitter (e.g. filtering, windowing, </w:t>
      </w:r>
      <w:r w:rsidR="00D44D5B">
        <w:t>etc.</w:t>
      </w:r>
      <w:r w:rsidR="0021753E">
        <w:t xml:space="preserve">). </w:t>
      </w:r>
    </w:p>
    <w:p w14:paraId="180ACB7C" w14:textId="382C80E7" w:rsidR="00CD520C" w:rsidRDefault="00356FB3" w:rsidP="007253E2">
      <w:pPr>
        <w:rPr>
          <w:lang w:val="en-GB"/>
        </w:rPr>
      </w:pPr>
      <w:r>
        <w:rPr>
          <w:lang w:val="en-GB"/>
        </w:rPr>
        <w:t>We believe this</w:t>
      </w:r>
      <w:r w:rsidR="0021753E">
        <w:rPr>
          <w:lang w:val="en-GB"/>
        </w:rPr>
        <w:t xml:space="preserve"> way</w:t>
      </w:r>
      <w:r>
        <w:rPr>
          <w:lang w:val="en-GB"/>
        </w:rPr>
        <w:t xml:space="preserve"> gives the most flexibility to transmitter and receiver design, and facilitate simple adoption of even more advanced technology in future without requiring</w:t>
      </w:r>
      <w:r w:rsidR="0021753E">
        <w:rPr>
          <w:lang w:val="en-GB"/>
        </w:rPr>
        <w:t xml:space="preserve"> any</w:t>
      </w:r>
      <w:r>
        <w:rPr>
          <w:lang w:val="en-GB"/>
        </w:rPr>
        <w:t xml:space="preserve"> standard change.</w:t>
      </w:r>
    </w:p>
    <w:p w14:paraId="1987F972" w14:textId="43BE879D" w:rsidR="00FA28DA" w:rsidRDefault="00FA28DA" w:rsidP="00AB3C38">
      <w:pPr>
        <w:jc w:val="both"/>
      </w:pPr>
      <w:r w:rsidRPr="00AB3C38">
        <w:rPr>
          <w:b/>
          <w:lang w:val="en-GB"/>
        </w:rPr>
        <w:t xml:space="preserve">Proposal 5: </w:t>
      </w:r>
      <w:r w:rsidR="00AB3C38" w:rsidRPr="00AB3C38">
        <w:rPr>
          <w:b/>
        </w:rPr>
        <w:t xml:space="preserve">The transmitter has the flexibility to select certain processing technique (e.g., filtering, windowing, </w:t>
      </w:r>
      <w:r w:rsidR="00D44D5B" w:rsidRPr="00AB3C38">
        <w:rPr>
          <w:b/>
        </w:rPr>
        <w:t>etc.</w:t>
      </w:r>
      <w:r w:rsidR="00AB3C38" w:rsidRPr="00AB3C38">
        <w:rPr>
          <w:b/>
        </w:rPr>
        <w:t>) to satisfy RAN4 requirements. The receiver does not have to know what processing the transmitter applies</w:t>
      </w:r>
      <w:r w:rsidR="00AB3C38" w:rsidRPr="00A73C8D">
        <w:t>.</w:t>
      </w:r>
    </w:p>
    <w:p w14:paraId="25FF0321" w14:textId="5E43850A" w:rsidR="00AB3C38" w:rsidRPr="00AB3C38" w:rsidRDefault="00AB3C38" w:rsidP="00AB3C38">
      <w:pPr>
        <w:jc w:val="both"/>
        <w:rPr>
          <w:b/>
          <w:lang w:val="en-GB"/>
        </w:rPr>
      </w:pPr>
      <w:r w:rsidRPr="00AB3C38">
        <w:rPr>
          <w:b/>
        </w:rPr>
        <w:t xml:space="preserve">Proposal 6: The receiver can also applies some receiver side processing to suppress adjacent user interference, without the requirement of knowing the processing technique used by the transmitter (e.g. filtering, windowing, </w:t>
      </w:r>
      <w:r w:rsidR="00D44D5B" w:rsidRPr="00AB3C38">
        <w:rPr>
          <w:b/>
        </w:rPr>
        <w:t>etc.</w:t>
      </w:r>
      <w:r w:rsidRPr="00AB3C38">
        <w:rPr>
          <w:b/>
        </w:rPr>
        <w:t>)</w:t>
      </w:r>
    </w:p>
    <w:p w14:paraId="130A289D" w14:textId="38569ED3" w:rsidR="00E168E5" w:rsidRDefault="006341FE" w:rsidP="00E168E5">
      <w:pPr>
        <w:pStyle w:val="Heading1"/>
      </w:pPr>
      <w:bookmarkStart w:id="7" w:name="_Toc424303267"/>
      <w:bookmarkStart w:id="8" w:name="_Toc425248865"/>
      <w:bookmarkStart w:id="9" w:name="_Toc425344835"/>
      <w:bookmarkStart w:id="10" w:name="_Toc425350726"/>
      <w:bookmarkStart w:id="11" w:name="_Toc425501584"/>
      <w:bookmarkStart w:id="12" w:name="_Toc425504168"/>
      <w:r>
        <w:lastRenderedPageBreak/>
        <w:t>Conclusions</w:t>
      </w:r>
    </w:p>
    <w:bookmarkEnd w:id="7"/>
    <w:bookmarkEnd w:id="8"/>
    <w:bookmarkEnd w:id="9"/>
    <w:bookmarkEnd w:id="10"/>
    <w:bookmarkEnd w:id="11"/>
    <w:bookmarkEnd w:id="12"/>
    <w:p w14:paraId="72B95BD9" w14:textId="597D0A8B" w:rsidR="00B04451" w:rsidRPr="00DF34C9" w:rsidRDefault="00AB3C38" w:rsidP="00DA06BC">
      <w:pPr>
        <w:jc w:val="both"/>
        <w:rPr>
          <w:lang w:val="en-GB"/>
        </w:rPr>
      </w:pPr>
      <w:r>
        <w:rPr>
          <w:lang w:val="en-GB"/>
        </w:rPr>
        <w:t xml:space="preserve">As a summary, we have the following proposals on waveform evaluation for sub-6Ghz, to allow </w:t>
      </w:r>
      <w:r w:rsidR="005E6FB5">
        <w:rPr>
          <w:lang w:val="en-GB"/>
        </w:rPr>
        <w:t xml:space="preserve">waveforms of different numerologies or asynchronous waveforms </w:t>
      </w:r>
      <w:r>
        <w:rPr>
          <w:lang w:val="en-GB"/>
        </w:rPr>
        <w:t>to</w:t>
      </w:r>
      <w:r w:rsidR="005E6FB5">
        <w:rPr>
          <w:lang w:val="en-GB"/>
        </w:rPr>
        <w:t xml:space="preserve"> be FDM’ed.</w:t>
      </w:r>
    </w:p>
    <w:p w14:paraId="77158307" w14:textId="77777777" w:rsidR="00AB3C38" w:rsidRPr="00FA28DA" w:rsidRDefault="00AB3C38" w:rsidP="00AB3C38">
      <w:pPr>
        <w:rPr>
          <w:b/>
        </w:rPr>
      </w:pPr>
      <w:r w:rsidRPr="00FA28DA">
        <w:rPr>
          <w:b/>
        </w:rPr>
        <w:t>Proposal 1: tones of scaled numerology always align on the grid of base numerology.</w:t>
      </w:r>
    </w:p>
    <w:p w14:paraId="0F50907E" w14:textId="77777777" w:rsidR="00AB3C38" w:rsidRPr="00FA28DA" w:rsidRDefault="00AB3C38" w:rsidP="00AB3C38">
      <w:pPr>
        <w:rPr>
          <w:b/>
        </w:rPr>
      </w:pPr>
      <w:r w:rsidRPr="00FA28DA">
        <w:rPr>
          <w:b/>
        </w:rPr>
        <w:t>Proposal 2: fixed number of tones per RB regardless of numerology.</w:t>
      </w:r>
    </w:p>
    <w:p w14:paraId="20C3E973" w14:textId="77777777" w:rsidR="00AB3C38" w:rsidRDefault="00AB3C38" w:rsidP="00AB3C38">
      <w:pPr>
        <w:rPr>
          <w:b/>
        </w:rPr>
      </w:pPr>
      <w:r w:rsidRPr="00FA28DA">
        <w:rPr>
          <w:b/>
        </w:rPr>
        <w:t>Proposal 3: RB partition is fixed for each numerology, and schedule allocates RB based on user-specific numerology.</w:t>
      </w:r>
    </w:p>
    <w:p w14:paraId="549709D8" w14:textId="77777777" w:rsidR="00AB3C38" w:rsidRDefault="00AB3C38" w:rsidP="00AB3C38">
      <w:pPr>
        <w:jc w:val="both"/>
        <w:rPr>
          <w:b/>
          <w:lang w:val="en-GB"/>
        </w:rPr>
      </w:pPr>
      <w:r w:rsidRPr="00FA28DA">
        <w:rPr>
          <w:b/>
          <w:lang w:val="en-GB"/>
        </w:rPr>
        <w:t>Proposal 4: RAN4 to study new specifications on in-band emission and out-of-band emission requirements for NR.</w:t>
      </w:r>
    </w:p>
    <w:p w14:paraId="081111BB" w14:textId="173C7FFC" w:rsidR="00AB3C38" w:rsidRDefault="00AB3C38" w:rsidP="00AB3C38">
      <w:pPr>
        <w:jc w:val="both"/>
      </w:pPr>
      <w:r w:rsidRPr="00AB3C38">
        <w:rPr>
          <w:b/>
          <w:lang w:val="en-GB"/>
        </w:rPr>
        <w:t xml:space="preserve">Proposal 5: </w:t>
      </w:r>
      <w:r w:rsidRPr="00AB3C38">
        <w:rPr>
          <w:b/>
        </w:rPr>
        <w:t xml:space="preserve">The transmitter has the flexibility to select certain processing technique (e.g., filtering, windowing, </w:t>
      </w:r>
      <w:r w:rsidR="00D44D5B" w:rsidRPr="00AB3C38">
        <w:rPr>
          <w:b/>
        </w:rPr>
        <w:t>etc.</w:t>
      </w:r>
      <w:r w:rsidRPr="00AB3C38">
        <w:rPr>
          <w:b/>
        </w:rPr>
        <w:t>) to satisfy RAN4 requirements. The receiver does not have to know what processing the transmitter applies</w:t>
      </w:r>
      <w:r w:rsidRPr="00A73C8D">
        <w:t>.</w:t>
      </w:r>
    </w:p>
    <w:p w14:paraId="41618972" w14:textId="6832F5CC" w:rsidR="00AB3C38" w:rsidRDefault="00AB3C38" w:rsidP="00AB3C38">
      <w:pPr>
        <w:jc w:val="both"/>
        <w:rPr>
          <w:b/>
          <w:lang w:val="en-GB"/>
        </w:rPr>
      </w:pPr>
      <w:r w:rsidRPr="00AB3C38">
        <w:rPr>
          <w:b/>
        </w:rPr>
        <w:t xml:space="preserve">Proposal 6: The receiver can also applies some receiver side processing to suppress adjacent user interference, without the requirement of knowing the processing technique used by the transmitter (e.g. filtering, windowing, </w:t>
      </w:r>
      <w:r w:rsidR="00D44D5B" w:rsidRPr="00AB3C38">
        <w:rPr>
          <w:b/>
        </w:rPr>
        <w:t>etc.</w:t>
      </w:r>
      <w:r w:rsidRPr="00AB3C38">
        <w:rPr>
          <w:b/>
        </w:rPr>
        <w:t>)</w:t>
      </w:r>
    </w:p>
    <w:p w14:paraId="7F9137E8" w14:textId="6A6663AB" w:rsidR="00A1636F" w:rsidRPr="00DE5AD2" w:rsidRDefault="00A1636F" w:rsidP="00A1636F">
      <w:pPr>
        <w:rPr>
          <w:b/>
        </w:rPr>
      </w:pP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14A47C31" w14:textId="46D4C0DC" w:rsidR="00FC20A0" w:rsidRPr="00132440" w:rsidRDefault="00FC20A0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3" w:name="_Ref450735844"/>
      <w:bookmarkStart w:id="14" w:name="_Ref450342757"/>
      <w:r w:rsidRPr="00132440">
        <w:rPr>
          <w:rFonts w:ascii="Times New Roman" w:eastAsia="SimSun" w:hAnsi="Times New Roman"/>
          <w:sz w:val="20"/>
        </w:rPr>
        <w:t>3GPP R1-162199 “Waveform candidates”</w:t>
      </w:r>
      <w:bookmarkEnd w:id="13"/>
      <w:r w:rsidR="000D452A">
        <w:rPr>
          <w:rFonts w:ascii="Times New Roman" w:eastAsia="SimSun" w:hAnsi="Times New Roman"/>
          <w:sz w:val="20"/>
        </w:rPr>
        <w:t>, Qualcomm, RAN1-84Bis, Busan, Apr 2016.</w:t>
      </w:r>
    </w:p>
    <w:p w14:paraId="5AA7E33E" w14:textId="72FC8EF4" w:rsidR="00633A29" w:rsidRPr="00132440" w:rsidRDefault="00633A29" w:rsidP="00B65D2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5" w:name="_Ref450736090"/>
      <w:r w:rsidRPr="00132440">
        <w:rPr>
          <w:rFonts w:ascii="Times New Roman" w:eastAsia="SimSun" w:hAnsi="Times New Roman"/>
          <w:sz w:val="20"/>
        </w:rPr>
        <w:t>3GPP R1-163</w:t>
      </w:r>
      <w:r w:rsidR="00B65D2F" w:rsidRPr="00132440">
        <w:rPr>
          <w:rFonts w:ascii="Times New Roman" w:eastAsia="SimSun" w:hAnsi="Times New Roman"/>
          <w:sz w:val="20"/>
        </w:rPr>
        <w:t>558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B65D2F" w:rsidRPr="00132440">
        <w:rPr>
          <w:rFonts w:ascii="Times New Roman" w:eastAsia="SimSun" w:hAnsi="Times New Roman"/>
          <w:sz w:val="20"/>
        </w:rPr>
        <w:t>Way forward on assumptions for waveform evaluation”</w:t>
      </w:r>
      <w:bookmarkEnd w:id="14"/>
      <w:bookmarkEnd w:id="15"/>
      <w:r w:rsidR="000D452A">
        <w:rPr>
          <w:rFonts w:ascii="Times New Roman" w:eastAsia="SimSun" w:hAnsi="Times New Roman"/>
          <w:sz w:val="20"/>
        </w:rPr>
        <w:t>, Huawei, HiSilicon, RAN1-84Bis, Busan, Apr 2016.</w:t>
      </w:r>
    </w:p>
    <w:p w14:paraId="4AB9CEE5" w14:textId="4B0A5963" w:rsidR="00992AFB" w:rsidRPr="00132440" w:rsidRDefault="005474C6" w:rsidP="006D186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6" w:name="_Ref450342762"/>
      <w:r w:rsidRPr="00132440">
        <w:rPr>
          <w:rFonts w:ascii="Times New Roman" w:eastAsia="SimSun" w:hAnsi="Times New Roman"/>
          <w:sz w:val="20"/>
        </w:rPr>
        <w:t>3GPP R1-16</w:t>
      </w:r>
      <w:r w:rsidR="005805D7" w:rsidRPr="00132440">
        <w:rPr>
          <w:rFonts w:ascii="Times New Roman" w:eastAsia="SimSun" w:hAnsi="Times New Roman"/>
          <w:sz w:val="20"/>
        </w:rPr>
        <w:t>xxxx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DA46E3" w:rsidRPr="00132440">
        <w:rPr>
          <w:rFonts w:ascii="Times New Roman" w:eastAsia="SimSun" w:hAnsi="Times New Roman"/>
          <w:sz w:val="20"/>
        </w:rPr>
        <w:t>Way forward on evaluation assumptions for NR waveform</w:t>
      </w:r>
      <w:r w:rsidR="005805D7" w:rsidRPr="00132440">
        <w:rPr>
          <w:rFonts w:ascii="Times New Roman" w:eastAsia="SimSun" w:hAnsi="Times New Roman"/>
          <w:sz w:val="20"/>
        </w:rPr>
        <w:t xml:space="preserve"> [v10]</w:t>
      </w:r>
      <w:r w:rsidR="00DA46E3" w:rsidRPr="00132440">
        <w:rPr>
          <w:rFonts w:ascii="Times New Roman" w:eastAsia="SimSun" w:hAnsi="Times New Roman"/>
          <w:sz w:val="20"/>
        </w:rPr>
        <w:t>”</w:t>
      </w:r>
      <w:r w:rsidR="000D452A">
        <w:rPr>
          <w:rFonts w:ascii="Times New Roman" w:eastAsia="SimSun" w:hAnsi="Times New Roman"/>
          <w:sz w:val="20"/>
        </w:rPr>
        <w:t>, Huawei, HiSilicon, RAN1-84Bis, Busan, Apr 2016</w:t>
      </w:r>
      <w:r w:rsidRPr="00132440">
        <w:rPr>
          <w:rFonts w:ascii="Times New Roman" w:eastAsia="SimSun" w:hAnsi="Times New Roman"/>
          <w:sz w:val="20"/>
        </w:rPr>
        <w:t>.</w:t>
      </w:r>
      <w:bookmarkEnd w:id="16"/>
    </w:p>
    <w:p w14:paraId="6EEBECA5" w14:textId="690B1197" w:rsidR="00132440" w:rsidRDefault="00B8389C" w:rsidP="00A73C8D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17" w:name="_Ref450877691"/>
      <w:bookmarkStart w:id="18" w:name="_Ref458444129"/>
      <w:r>
        <w:rPr>
          <w:rFonts w:ascii="Times New Roman" w:hAnsi="Times New Roman"/>
          <w:sz w:val="20"/>
        </w:rPr>
        <w:t>3GPP R1-</w:t>
      </w:r>
      <w:r w:rsidR="00A73C8D">
        <w:rPr>
          <w:rFonts w:ascii="Times New Roman" w:hAnsi="Times New Roman"/>
          <w:sz w:val="20"/>
        </w:rPr>
        <w:t>16635</w:t>
      </w:r>
      <w:bookmarkEnd w:id="17"/>
      <w:r w:rsidR="00AA7B5A">
        <w:rPr>
          <w:rFonts w:ascii="Times New Roman" w:hAnsi="Times New Roman"/>
          <w:sz w:val="20"/>
        </w:rPr>
        <w:t>1</w:t>
      </w:r>
      <w:r w:rsidR="00A73C8D">
        <w:rPr>
          <w:rFonts w:ascii="Times New Roman" w:hAnsi="Times New Roman"/>
          <w:sz w:val="20"/>
        </w:rPr>
        <w:t xml:space="preserve"> “</w:t>
      </w:r>
      <w:r w:rsidR="00A73C8D" w:rsidRPr="00A73C8D">
        <w:rPr>
          <w:rFonts w:ascii="Times New Roman" w:hAnsi="Times New Roman"/>
          <w:sz w:val="20"/>
        </w:rPr>
        <w:t>Updated simulation assumptions for Cases 3 and 4</w:t>
      </w:r>
      <w:r w:rsidR="00641ECD">
        <w:rPr>
          <w:rFonts w:ascii="Times New Roman" w:hAnsi="Times New Roman"/>
          <w:sz w:val="20"/>
        </w:rPr>
        <w:t>”, Qualcomm, RAN1-86, Gothenbur</w:t>
      </w:r>
      <w:r w:rsidR="00A73C8D">
        <w:rPr>
          <w:rFonts w:ascii="Times New Roman" w:hAnsi="Times New Roman"/>
          <w:sz w:val="20"/>
        </w:rPr>
        <w:t>g, Aug 2016.</w:t>
      </w:r>
      <w:bookmarkEnd w:id="18"/>
    </w:p>
    <w:p w14:paraId="33FFDEBA" w14:textId="6E2D6348" w:rsidR="000D452A" w:rsidRDefault="000D452A" w:rsidP="000D452A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19" w:name="_Ref458634643"/>
      <w:bookmarkStart w:id="20" w:name="_Ref458445002"/>
      <w:r>
        <w:rPr>
          <w:rFonts w:ascii="Times New Roman" w:hAnsi="Times New Roman"/>
          <w:sz w:val="20"/>
        </w:rPr>
        <w:t>3GPP R1-165173 “</w:t>
      </w:r>
      <w:r w:rsidRPr="000D452A">
        <w:rPr>
          <w:rFonts w:ascii="Times New Roman" w:hAnsi="Times New Roman"/>
          <w:sz w:val="20"/>
        </w:rPr>
        <w:t>Comparison of candidate waveforms</w:t>
      </w:r>
      <w:r>
        <w:rPr>
          <w:rFonts w:ascii="Times New Roman" w:hAnsi="Times New Roman"/>
          <w:sz w:val="20"/>
        </w:rPr>
        <w:t>”, NTT DOCOMO, RAN1-85, Nanjing, May 2016.</w:t>
      </w:r>
      <w:bookmarkEnd w:id="19"/>
    </w:p>
    <w:p w14:paraId="3505D531" w14:textId="12B558B5" w:rsidR="00747B67" w:rsidRDefault="00747B67" w:rsidP="00747B67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3GPP R1-163990 “</w:t>
      </w:r>
      <w:r w:rsidRPr="00747B67">
        <w:rPr>
          <w:rFonts w:ascii="Times New Roman" w:hAnsi="Times New Roman"/>
          <w:sz w:val="20"/>
        </w:rPr>
        <w:t>Preliminary evaluation results for OFDMA-based waveforms</w:t>
      </w:r>
      <w:r>
        <w:rPr>
          <w:rFonts w:ascii="Times New Roman" w:hAnsi="Times New Roman"/>
          <w:sz w:val="20"/>
        </w:rPr>
        <w:t>”, Samsung, RAN1-85, Nanjing, May 2016.</w:t>
      </w:r>
    </w:p>
    <w:p w14:paraId="3CC2A80A" w14:textId="6D81B541" w:rsidR="00747B67" w:rsidRDefault="00747B67" w:rsidP="00747B67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3GPP R1-164177 “</w:t>
      </w:r>
      <w:r w:rsidRPr="00747B67">
        <w:rPr>
          <w:rFonts w:ascii="Times New Roman" w:hAnsi="Times New Roman"/>
          <w:sz w:val="20"/>
        </w:rPr>
        <w:t>Link-level evaluation of filtered/windowed OFDM</w:t>
      </w:r>
      <w:r>
        <w:rPr>
          <w:rFonts w:ascii="Times New Roman" w:hAnsi="Times New Roman"/>
          <w:sz w:val="20"/>
        </w:rPr>
        <w:t xml:space="preserve">”, </w:t>
      </w:r>
      <w:r w:rsidR="00C321AA">
        <w:rPr>
          <w:rFonts w:ascii="Times New Roman" w:hAnsi="Times New Roman"/>
          <w:sz w:val="20"/>
        </w:rPr>
        <w:t>Intel</w:t>
      </w:r>
      <w:r>
        <w:rPr>
          <w:rFonts w:ascii="Times New Roman" w:hAnsi="Times New Roman"/>
          <w:sz w:val="20"/>
        </w:rPr>
        <w:t>, RAN1-85, Nanjing, May 2016</w:t>
      </w:r>
    </w:p>
    <w:p w14:paraId="39181F9E" w14:textId="07FB90A9" w:rsidR="00C321AA" w:rsidRDefault="00C321AA" w:rsidP="00C321AA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3GPP R1-164556 “</w:t>
      </w:r>
      <w:r w:rsidRPr="00C321AA">
        <w:rPr>
          <w:rFonts w:ascii="Times New Roman" w:hAnsi="Times New Roman"/>
          <w:sz w:val="20"/>
        </w:rPr>
        <w:t>Initial Evaluation Result for waveform</w:t>
      </w:r>
      <w:r>
        <w:rPr>
          <w:rFonts w:ascii="Times New Roman" w:hAnsi="Times New Roman"/>
          <w:sz w:val="20"/>
        </w:rPr>
        <w:t>”, LG electronics, RAN1-85, Nanjing, May 2016</w:t>
      </w:r>
    </w:p>
    <w:p w14:paraId="197A49B8" w14:textId="26403B18" w:rsidR="00C321AA" w:rsidRDefault="00C321AA" w:rsidP="00C321AA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3GPP R1-164685 “</w:t>
      </w:r>
      <w:r w:rsidRPr="00C321AA">
        <w:rPr>
          <w:rFonts w:ascii="Times New Roman" w:hAnsi="Times New Roman"/>
          <w:sz w:val="20"/>
        </w:rPr>
        <w:t>OFDM based waveform single user evaluation</w:t>
      </w:r>
      <w:r>
        <w:rPr>
          <w:rFonts w:ascii="Times New Roman" w:hAnsi="Times New Roman"/>
          <w:sz w:val="20"/>
        </w:rPr>
        <w:t>”, Qualcomm, RAN1-85, Nanjing, May 2016</w:t>
      </w:r>
    </w:p>
    <w:p w14:paraId="3F7A6457" w14:textId="0F1A618A" w:rsidR="00C321AA" w:rsidRDefault="00C321AA" w:rsidP="00C321AA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3GPP R1-164686 “</w:t>
      </w:r>
      <w:r w:rsidRPr="00C321AA">
        <w:rPr>
          <w:rFonts w:ascii="Times New Roman" w:hAnsi="Times New Roman"/>
          <w:sz w:val="20"/>
        </w:rPr>
        <w:t>OFDM based waveform multi user evaluation</w:t>
      </w:r>
      <w:r>
        <w:rPr>
          <w:rFonts w:ascii="Times New Roman" w:hAnsi="Times New Roman"/>
          <w:sz w:val="20"/>
        </w:rPr>
        <w:t>”, Qualcomm, RAN1-85, Nanjing, May 2016</w:t>
      </w:r>
    </w:p>
    <w:p w14:paraId="43CED71E" w14:textId="4D0E9C23" w:rsidR="00BE14D4" w:rsidRPr="00BE14D4" w:rsidRDefault="00BE14D4" w:rsidP="00BE14D4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3GPP R1-164035 “</w:t>
      </w:r>
      <w:r w:rsidRPr="00BE14D4">
        <w:rPr>
          <w:rFonts w:ascii="Times New Roman" w:hAnsi="Times New Roman"/>
          <w:sz w:val="20"/>
        </w:rPr>
        <w:t>Link level evaluation results of waveform proposals</w:t>
      </w:r>
      <w:r>
        <w:rPr>
          <w:rFonts w:ascii="Times New Roman" w:hAnsi="Times New Roman"/>
          <w:sz w:val="20"/>
        </w:rPr>
        <w:t>”, Huawei, HiSilicon, RAN1-85, Nanjing, May 2016</w:t>
      </w:r>
    </w:p>
    <w:p w14:paraId="6C3352C7" w14:textId="50AF9A60" w:rsidR="00C321AA" w:rsidRDefault="00BE14D4" w:rsidP="00BE14D4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1" w:name="_Ref458780428"/>
      <w:r>
        <w:rPr>
          <w:rFonts w:ascii="Times New Roman" w:hAnsi="Times New Roman"/>
          <w:sz w:val="20"/>
        </w:rPr>
        <w:t>3GPP R1-165161 “</w:t>
      </w:r>
      <w:r w:rsidRPr="00BE14D4">
        <w:rPr>
          <w:rFonts w:ascii="Times New Roman" w:hAnsi="Times New Roman"/>
          <w:sz w:val="20"/>
        </w:rPr>
        <w:t>Initial link level evaluation result for NR waveform</w:t>
      </w:r>
      <w:r>
        <w:rPr>
          <w:rFonts w:ascii="Times New Roman" w:hAnsi="Times New Roman"/>
          <w:sz w:val="20"/>
        </w:rPr>
        <w:t>”, MediaTek, RAN1-85, Nanjing, May 2016</w:t>
      </w:r>
      <w:bookmarkEnd w:id="21"/>
    </w:p>
    <w:p w14:paraId="48DEAF24" w14:textId="5C05A706" w:rsidR="000D452A" w:rsidRDefault="00641ECD" w:rsidP="00641ECD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2" w:name="_Ref458616452"/>
      <w:r>
        <w:rPr>
          <w:rFonts w:ascii="Times New Roman" w:hAnsi="Times New Roman"/>
          <w:sz w:val="20"/>
        </w:rPr>
        <w:t>3GPP R1-166352 “</w:t>
      </w:r>
      <w:r w:rsidRPr="00641ECD">
        <w:rPr>
          <w:rFonts w:ascii="Times New Roman" w:hAnsi="Times New Roman"/>
          <w:sz w:val="20"/>
        </w:rPr>
        <w:t>Simulation results for Cases 3 and 4</w:t>
      </w:r>
      <w:r>
        <w:rPr>
          <w:rFonts w:ascii="Times New Roman" w:hAnsi="Times New Roman"/>
          <w:sz w:val="20"/>
        </w:rPr>
        <w:t>”, Qualcomm, RAN1-86, Gothenburg, Aug 2016</w:t>
      </w:r>
      <w:bookmarkEnd w:id="22"/>
    </w:p>
    <w:p w14:paraId="5A432898" w14:textId="49575B14" w:rsidR="00AA7B5A" w:rsidRDefault="00AA7B5A" w:rsidP="00AA7B5A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3" w:name="_Ref458616455"/>
      <w:r>
        <w:rPr>
          <w:rFonts w:ascii="Times New Roman" w:hAnsi="Times New Roman"/>
          <w:sz w:val="20"/>
        </w:rPr>
        <w:t>3GPP R1-166355 “</w:t>
      </w:r>
      <w:r w:rsidRPr="00AA7B5A">
        <w:rPr>
          <w:rFonts w:ascii="Times New Roman" w:hAnsi="Times New Roman"/>
          <w:sz w:val="20"/>
        </w:rPr>
        <w:t>WOLA and filtered-OFDM comparison beyond link level performance</w:t>
      </w:r>
      <w:r>
        <w:rPr>
          <w:rFonts w:ascii="Times New Roman" w:hAnsi="Times New Roman"/>
          <w:sz w:val="20"/>
        </w:rPr>
        <w:t>”, Qualcomm, RAN1-86, Goteborg, Aug 2016.</w:t>
      </w:r>
      <w:bookmarkEnd w:id="20"/>
      <w:bookmarkEnd w:id="23"/>
    </w:p>
    <w:p w14:paraId="772E7245" w14:textId="5146320B" w:rsidR="00AA2B6A" w:rsidRPr="00AA2B6A" w:rsidRDefault="00AA2B6A" w:rsidP="00AA2B6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4" w:name="_Ref458508322"/>
      <w:bookmarkStart w:id="25" w:name="_Ref458504644"/>
      <w:r w:rsidRPr="00AA2B6A">
        <w:rPr>
          <w:rFonts w:ascii="Times New Roman" w:hAnsi="Times New Roman"/>
          <w:sz w:val="20"/>
        </w:rPr>
        <w:t>3GPP RAN1 “Chairman’s notes RAN1_85”, Nanjing, May, 2016</w:t>
      </w:r>
      <w:bookmarkEnd w:id="24"/>
      <w:bookmarkEnd w:id="25"/>
    </w:p>
    <w:sectPr w:rsidR="00AA2B6A" w:rsidRPr="00AA2B6A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E276C" w14:textId="77777777" w:rsidR="00AC433A" w:rsidRDefault="00AC433A">
      <w:r>
        <w:separator/>
      </w:r>
    </w:p>
  </w:endnote>
  <w:endnote w:type="continuationSeparator" w:id="0">
    <w:p w14:paraId="79F34639" w14:textId="77777777" w:rsidR="00AC433A" w:rsidRDefault="00AC433A">
      <w:r>
        <w:continuationSeparator/>
      </w:r>
    </w:p>
  </w:endnote>
  <w:endnote w:type="continuationNotice" w:id="1">
    <w:p w14:paraId="3942F390" w14:textId="77777777" w:rsidR="00AC433A" w:rsidRDefault="00AC43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Fangsong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236443" w:rsidRDefault="002364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36443" w:rsidRDefault="002364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236443" w:rsidRDefault="002364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203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203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904F1" w14:textId="77777777" w:rsidR="00AC433A" w:rsidRDefault="00AC433A">
      <w:r>
        <w:separator/>
      </w:r>
    </w:p>
  </w:footnote>
  <w:footnote w:type="continuationSeparator" w:id="0">
    <w:p w14:paraId="5E99580C" w14:textId="77777777" w:rsidR="00AC433A" w:rsidRDefault="00AC433A">
      <w:r>
        <w:continuationSeparator/>
      </w:r>
    </w:p>
  </w:footnote>
  <w:footnote w:type="continuationNotice" w:id="1">
    <w:p w14:paraId="43C73567" w14:textId="77777777" w:rsidR="00AC433A" w:rsidRDefault="00AC433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236443" w:rsidRDefault="00236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B7257D"/>
    <w:multiLevelType w:val="hybridMultilevel"/>
    <w:tmpl w:val="C6AEB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8774E"/>
    <w:multiLevelType w:val="hybridMultilevel"/>
    <w:tmpl w:val="5FDA9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142434"/>
    <w:multiLevelType w:val="hybridMultilevel"/>
    <w:tmpl w:val="DCB0D6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85702"/>
    <w:multiLevelType w:val="hybridMultilevel"/>
    <w:tmpl w:val="4268F6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20CFC"/>
    <w:multiLevelType w:val="hybridMultilevel"/>
    <w:tmpl w:val="A9464FBE"/>
    <w:lvl w:ilvl="0" w:tplc="92EAB36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STFangsong" w:hAnsi="STFangsong" w:hint="default"/>
      </w:rPr>
    </w:lvl>
    <w:lvl w:ilvl="1" w:tplc="24449C18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STFangsong" w:hAnsi="STFangsong" w:hint="default"/>
      </w:rPr>
    </w:lvl>
    <w:lvl w:ilvl="2" w:tplc="E7CE786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STFangsong" w:hAnsi="STFangsong" w:hint="default"/>
      </w:rPr>
    </w:lvl>
    <w:lvl w:ilvl="3" w:tplc="DF06891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STFangsong" w:hAnsi="STFangsong" w:hint="default"/>
      </w:rPr>
    </w:lvl>
    <w:lvl w:ilvl="4" w:tplc="E136606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STFangsong" w:hAnsi="STFangsong" w:hint="default"/>
      </w:rPr>
    </w:lvl>
    <w:lvl w:ilvl="5" w:tplc="AA02BCC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STFangsong" w:hAnsi="STFangsong" w:hint="default"/>
      </w:rPr>
    </w:lvl>
    <w:lvl w:ilvl="6" w:tplc="93025D0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STFangsong" w:hAnsi="STFangsong" w:hint="default"/>
      </w:rPr>
    </w:lvl>
    <w:lvl w:ilvl="7" w:tplc="680CF1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STFangsong" w:hAnsi="STFangsong" w:hint="default"/>
      </w:rPr>
    </w:lvl>
    <w:lvl w:ilvl="8" w:tplc="FDCC3A6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STFangsong" w:hAnsi="STFangsong" w:hint="default"/>
      </w:rPr>
    </w:lvl>
  </w:abstractNum>
  <w:abstractNum w:abstractNumId="21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E464B2"/>
    <w:multiLevelType w:val="hybridMultilevel"/>
    <w:tmpl w:val="7DCC6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C2CD1"/>
    <w:multiLevelType w:val="hybridMultilevel"/>
    <w:tmpl w:val="1958A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64CDC"/>
    <w:multiLevelType w:val="hybridMultilevel"/>
    <w:tmpl w:val="A1782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6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8"/>
  </w:num>
  <w:num w:numId="10">
    <w:abstractNumId w:val="13"/>
  </w:num>
  <w:num w:numId="11">
    <w:abstractNumId w:val="6"/>
  </w:num>
  <w:num w:numId="12">
    <w:abstractNumId w:val="24"/>
  </w:num>
  <w:num w:numId="13">
    <w:abstractNumId w:val="28"/>
  </w:num>
  <w:num w:numId="14">
    <w:abstractNumId w:val="10"/>
  </w:num>
  <w:num w:numId="15">
    <w:abstractNumId w:val="2"/>
  </w:num>
  <w:num w:numId="16">
    <w:abstractNumId w:val="19"/>
  </w:num>
  <w:num w:numId="17">
    <w:abstractNumId w:val="29"/>
  </w:num>
  <w:num w:numId="18">
    <w:abstractNumId w:val="26"/>
  </w:num>
  <w:num w:numId="19">
    <w:abstractNumId w:val="30"/>
  </w:num>
  <w:num w:numId="20">
    <w:abstractNumId w:val="23"/>
  </w:num>
  <w:num w:numId="21">
    <w:abstractNumId w:val="15"/>
  </w:num>
  <w:num w:numId="22">
    <w:abstractNumId w:val="21"/>
  </w:num>
  <w:num w:numId="23">
    <w:abstractNumId w:val="20"/>
  </w:num>
  <w:num w:numId="24">
    <w:abstractNumId w:val="27"/>
  </w:num>
  <w:num w:numId="25">
    <w:abstractNumId w:val="17"/>
  </w:num>
  <w:num w:numId="26">
    <w:abstractNumId w:val="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8"/>
  </w:num>
  <w:num w:numId="30">
    <w:abstractNumId w:val="25"/>
  </w:num>
  <w:num w:numId="3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24D1"/>
    <w:rsid w:val="0001291E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3A"/>
    <w:rsid w:val="0006739D"/>
    <w:rsid w:val="0006777C"/>
    <w:rsid w:val="00067FE2"/>
    <w:rsid w:val="00070192"/>
    <w:rsid w:val="0007118F"/>
    <w:rsid w:val="0007136B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5A31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6BE7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52A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E8C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63B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06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143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6E66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53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58F4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46C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03C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6FB3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158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A86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4E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2C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BF2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6FB5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D0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48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1EC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67F6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0D55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26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885"/>
    <w:rsid w:val="00714065"/>
    <w:rsid w:val="00714186"/>
    <w:rsid w:val="00714312"/>
    <w:rsid w:val="00714796"/>
    <w:rsid w:val="00714D6A"/>
    <w:rsid w:val="007154FD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3E2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67"/>
    <w:rsid w:val="00747BD8"/>
    <w:rsid w:val="00747F05"/>
    <w:rsid w:val="0075038A"/>
    <w:rsid w:val="007503B7"/>
    <w:rsid w:val="0075041E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60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826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6EC4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D80"/>
    <w:rsid w:val="008050E9"/>
    <w:rsid w:val="008053AD"/>
    <w:rsid w:val="00805D11"/>
    <w:rsid w:val="00805E10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382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CAA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4BC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B9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F35"/>
    <w:rsid w:val="0093011E"/>
    <w:rsid w:val="009301E4"/>
    <w:rsid w:val="00930305"/>
    <w:rsid w:val="0093063D"/>
    <w:rsid w:val="00930A2E"/>
    <w:rsid w:val="0093116F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266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C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C9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6A1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DB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FE2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94D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65F"/>
    <w:rsid w:val="00A37A59"/>
    <w:rsid w:val="00A37E05"/>
    <w:rsid w:val="00A40531"/>
    <w:rsid w:val="00A40660"/>
    <w:rsid w:val="00A40C1E"/>
    <w:rsid w:val="00A41821"/>
    <w:rsid w:val="00A419EA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776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C8D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B6A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B5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C38"/>
    <w:rsid w:val="00AB3E16"/>
    <w:rsid w:val="00AB3E3E"/>
    <w:rsid w:val="00AB3F13"/>
    <w:rsid w:val="00AB4157"/>
    <w:rsid w:val="00AB42FF"/>
    <w:rsid w:val="00AB4300"/>
    <w:rsid w:val="00AB472F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33A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7E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532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89C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4D4"/>
    <w:rsid w:val="00BE197A"/>
    <w:rsid w:val="00BE1A06"/>
    <w:rsid w:val="00BE2E99"/>
    <w:rsid w:val="00BE3AFA"/>
    <w:rsid w:val="00BE3F52"/>
    <w:rsid w:val="00BE403F"/>
    <w:rsid w:val="00BE45C1"/>
    <w:rsid w:val="00BE5024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49"/>
    <w:rsid w:val="00C31BCC"/>
    <w:rsid w:val="00C3208A"/>
    <w:rsid w:val="00C321A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0E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2E8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7D9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0C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D7B"/>
    <w:rsid w:val="00CE3FBA"/>
    <w:rsid w:val="00CE5386"/>
    <w:rsid w:val="00CE53A7"/>
    <w:rsid w:val="00CE5E50"/>
    <w:rsid w:val="00CE630B"/>
    <w:rsid w:val="00CE69F3"/>
    <w:rsid w:val="00CE6AD5"/>
    <w:rsid w:val="00CE6E24"/>
    <w:rsid w:val="00CE70FF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917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6BE0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D5B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4ED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C28"/>
    <w:rsid w:val="00D65DD6"/>
    <w:rsid w:val="00D66008"/>
    <w:rsid w:val="00D66022"/>
    <w:rsid w:val="00D66065"/>
    <w:rsid w:val="00D66C66"/>
    <w:rsid w:val="00D66CE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4AC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6CF"/>
    <w:rsid w:val="00D96AD5"/>
    <w:rsid w:val="00D9793D"/>
    <w:rsid w:val="00D97D08"/>
    <w:rsid w:val="00D97E86"/>
    <w:rsid w:val="00DA000D"/>
    <w:rsid w:val="00DA015E"/>
    <w:rsid w:val="00DA02EC"/>
    <w:rsid w:val="00DA06B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3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AD2"/>
    <w:rsid w:val="00DE5FDA"/>
    <w:rsid w:val="00DE61AA"/>
    <w:rsid w:val="00DE6215"/>
    <w:rsid w:val="00DE6B29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7C4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494"/>
    <w:rsid w:val="00F377A2"/>
    <w:rsid w:val="00F37922"/>
    <w:rsid w:val="00F37AEF"/>
    <w:rsid w:val="00F37DC6"/>
    <w:rsid w:val="00F41D1F"/>
    <w:rsid w:val="00F42910"/>
    <w:rsid w:val="00F42C2B"/>
    <w:rsid w:val="00F44833"/>
    <w:rsid w:val="00F44A57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E0B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5F9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8DA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4AB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886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HR33RHYHUWRF-13-111060</_dlc_DocId>
    <_dlc_DocIdUrl xmlns="c06861ca-3f08-4d07-bff7-bb15bac121f4">
      <Url>https://projects.qualcomm.com/sites/pentari/_layouts/15/DocIdRedir.aspx?ID=HR33RHYHUWRF-13-111060</Url>
      <Description>HR33RHYHUWRF-13-111060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2DED6-504A-458F-A921-E314D98D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7B03F957-81A9-4E17-884E-8F320B109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Zeng, Wei</cp:lastModifiedBy>
  <cp:revision>2</cp:revision>
  <cp:lastPrinted>2014-11-07T05:38:00Z</cp:lastPrinted>
  <dcterms:created xsi:type="dcterms:W3CDTF">2016-08-13T03:14:00Z</dcterms:created>
  <dcterms:modified xsi:type="dcterms:W3CDTF">2016-08-13T03:14:00Z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0x010100E148108D9109C944B70D5C8707C65226</vt:lpwstr>
  </property>
  <property fmtid="{D5CDD505-2E9C-101B-9397-08002B2CF9AE}" pid="10" name="_dlc_DocIdItemGuid">
    <vt:lpwstr>c4cb323e-ae7d-487d-a0f2-52bed9137c54</vt:lpwstr>
  </property>
</Properties>
</file>