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9D1F6F">
        <w:rPr>
          <w:rFonts w:eastAsia="宋体" w:cs="Arial" w:hint="eastAsia"/>
          <w:bCs/>
          <w:sz w:val="22"/>
          <w:szCs w:val="22"/>
          <w:lang w:eastAsia="zh-CN"/>
        </w:rPr>
        <w:t>5</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9C6E00" w:rsidRPr="009C6E00">
        <w:rPr>
          <w:rFonts w:eastAsia="宋体"/>
          <w:sz w:val="22"/>
          <w:szCs w:val="22"/>
          <w:lang w:eastAsia="zh-CN"/>
        </w:rPr>
        <w:t>4216</w:t>
      </w:r>
    </w:p>
    <w:p w:rsidR="009B42C8" w:rsidRPr="00906D22" w:rsidRDefault="00C0209B" w:rsidP="009B42C8">
      <w:pPr>
        <w:pStyle w:val="a4"/>
        <w:tabs>
          <w:tab w:val="right" w:pos="9781"/>
        </w:tabs>
        <w:ind w:right="-58"/>
        <w:rPr>
          <w:rFonts w:eastAsia="宋体" w:cs="Arial"/>
          <w:bCs/>
          <w:sz w:val="22"/>
          <w:szCs w:val="22"/>
          <w:lang w:eastAsia="zh-CN"/>
        </w:rPr>
      </w:pPr>
      <w:r w:rsidRPr="00C0209B">
        <w:rPr>
          <w:rFonts w:cs="Arial" w:hint="eastAsia"/>
          <w:bCs/>
          <w:sz w:val="22"/>
          <w:szCs w:val="22"/>
        </w:rPr>
        <w:t>N</w:t>
      </w:r>
      <w:r w:rsidRPr="00C0209B">
        <w:rPr>
          <w:rFonts w:cs="Arial"/>
          <w:bCs/>
          <w:sz w:val="22"/>
          <w:szCs w:val="22"/>
        </w:rPr>
        <w:t>a</w:t>
      </w:r>
      <w:r w:rsidRPr="00C0209B">
        <w:rPr>
          <w:rFonts w:cs="Arial" w:hint="eastAsia"/>
          <w:bCs/>
          <w:sz w:val="22"/>
          <w:szCs w:val="22"/>
        </w:rPr>
        <w:t>njing</w:t>
      </w:r>
      <w:r w:rsidRPr="00C0209B">
        <w:rPr>
          <w:rFonts w:cs="Arial"/>
          <w:bCs/>
          <w:sz w:val="22"/>
          <w:szCs w:val="22"/>
        </w:rPr>
        <w:t>,</w:t>
      </w:r>
      <w:r w:rsidRPr="00C0209B">
        <w:rPr>
          <w:rFonts w:cs="Arial" w:hint="eastAsia"/>
          <w:bCs/>
          <w:sz w:val="22"/>
          <w:szCs w:val="22"/>
        </w:rPr>
        <w:t xml:space="preserve"> China</w:t>
      </w:r>
      <w:r>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May</w:t>
      </w:r>
      <w:r w:rsidR="009B42C8" w:rsidRPr="009B42C8">
        <w:rPr>
          <w:rFonts w:cs="Arial"/>
          <w:bCs/>
          <w:sz w:val="22"/>
          <w:szCs w:val="22"/>
        </w:rPr>
        <w:t xml:space="preserve"> </w:t>
      </w:r>
      <w:r>
        <w:rPr>
          <w:rFonts w:eastAsia="宋体" w:cs="Arial" w:hint="eastAsia"/>
          <w:bCs/>
          <w:sz w:val="22"/>
          <w:szCs w:val="22"/>
          <w:lang w:eastAsia="zh-CN"/>
        </w:rPr>
        <w:t>23</w:t>
      </w:r>
      <w:r w:rsidRPr="00C0209B">
        <w:rPr>
          <w:rFonts w:eastAsia="宋体" w:cs="Arial" w:hint="eastAsia"/>
          <w:bCs/>
          <w:sz w:val="22"/>
          <w:szCs w:val="22"/>
          <w:vertAlign w:val="superscript"/>
          <w:lang w:eastAsia="zh-CN"/>
        </w:rPr>
        <w:t>rd</w:t>
      </w:r>
      <w:r>
        <w:rPr>
          <w:rFonts w:eastAsia="宋体" w:cs="Arial" w:hint="eastAsia"/>
          <w:bCs/>
          <w:sz w:val="22"/>
          <w:szCs w:val="22"/>
          <w:lang w:eastAsia="zh-CN"/>
        </w:rPr>
        <w:t xml:space="preserve"> </w:t>
      </w:r>
      <w:r w:rsidR="009B42C8" w:rsidRPr="009B42C8">
        <w:rPr>
          <w:rFonts w:cs="Arial"/>
          <w:bCs/>
          <w:sz w:val="22"/>
          <w:szCs w:val="22"/>
        </w:rPr>
        <w:t xml:space="preserve">- </w:t>
      </w:r>
      <w:r>
        <w:rPr>
          <w:rFonts w:eastAsia="宋体" w:cs="Arial" w:hint="eastAsia"/>
          <w:bCs/>
          <w:sz w:val="22"/>
          <w:szCs w:val="22"/>
          <w:lang w:eastAsia="zh-CN"/>
        </w:rPr>
        <w:t>27</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B62B09" w:rsidRPr="00B62B09">
        <w:rPr>
          <w:rFonts w:cs="Arial"/>
          <w:sz w:val="22"/>
          <w:szCs w:val="22"/>
        </w:rPr>
        <w:t>Discussion on backward compatib</w:t>
      </w:r>
      <w:r w:rsidR="00B62B09">
        <w:rPr>
          <w:rFonts w:eastAsia="宋体" w:cs="Arial" w:hint="eastAsia"/>
          <w:sz w:val="22"/>
          <w:szCs w:val="22"/>
          <w:lang w:eastAsia="zh-CN"/>
        </w:rPr>
        <w:t>i</w:t>
      </w:r>
      <w:r w:rsidR="00B62B09" w:rsidRPr="00B62B09">
        <w:rPr>
          <w:rFonts w:cs="Arial"/>
          <w:sz w:val="22"/>
          <w:szCs w:val="22"/>
        </w:rPr>
        <w:t>lity of Rel.12 and Rel.13 CSI-RS</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B62B09" w:rsidRPr="00B62B09">
        <w:rPr>
          <w:rFonts w:eastAsia="宋体" w:cs="Arial"/>
          <w:sz w:val="22"/>
          <w:szCs w:val="22"/>
          <w:lang w:eastAsia="zh-CN"/>
        </w:rPr>
        <w:t>6.2.3.1.1</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F861EE" w:rsidRDefault="006160D2" w:rsidP="00FF21D5">
      <w:pPr>
        <w:pStyle w:val="a0"/>
        <w:rPr>
          <w:rFonts w:eastAsia="宋体"/>
          <w:lang w:eastAsia="zh-CN"/>
        </w:rPr>
      </w:pPr>
      <w:r>
        <w:rPr>
          <w:rFonts w:eastAsia="宋体" w:hint="eastAsia"/>
          <w:lang w:eastAsia="zh-CN"/>
        </w:rPr>
        <w:t xml:space="preserve">A way forward [1] was discussed in RAN1#84bis, </w:t>
      </w:r>
      <w:r w:rsidR="00653CE2">
        <w:rPr>
          <w:rFonts w:eastAsia="宋体" w:hint="eastAsia"/>
          <w:lang w:eastAsia="zh-CN"/>
        </w:rPr>
        <w:t>which proposed following proposals:</w:t>
      </w:r>
    </w:p>
    <w:p w:rsidR="0030549F" w:rsidRPr="0030549F" w:rsidRDefault="0030549F" w:rsidP="00653CE2">
      <w:pPr>
        <w:ind w:leftChars="100" w:left="200"/>
        <w:rPr>
          <w:rFonts w:eastAsia="MS Mincho"/>
          <w:i/>
          <w:lang w:eastAsia="ja-JP"/>
        </w:rPr>
      </w:pPr>
      <w:r w:rsidRPr="0030549F">
        <w:rPr>
          <w:rFonts w:eastAsia="MS Mincho"/>
          <w:i/>
          <w:lang w:eastAsia="ja-JP"/>
        </w:rPr>
        <w:t>Proposal:</w:t>
      </w:r>
    </w:p>
    <w:p w:rsidR="0030549F" w:rsidRPr="0030549F" w:rsidRDefault="0030549F" w:rsidP="00653CE2">
      <w:pPr>
        <w:numPr>
          <w:ilvl w:val="0"/>
          <w:numId w:val="41"/>
        </w:numPr>
        <w:tabs>
          <w:tab w:val="clear" w:pos="720"/>
          <w:tab w:val="num" w:pos="920"/>
        </w:tabs>
        <w:ind w:leftChars="280" w:left="920"/>
        <w:rPr>
          <w:rFonts w:eastAsia="MS Mincho"/>
          <w:i/>
          <w:lang w:eastAsia="ja-JP"/>
        </w:rPr>
      </w:pPr>
      <w:r w:rsidRPr="0030549F">
        <w:rPr>
          <w:rFonts w:eastAsia="MS Mincho"/>
          <w:i/>
          <w:lang w:eastAsia="ja-JP"/>
        </w:rPr>
        <w:t xml:space="preserve">The aggregation of CSI-RS resource configuration is used to support {20, 24, 28, 32} NZP CSI-RS ports </w:t>
      </w:r>
    </w:p>
    <w:p w:rsidR="0030549F" w:rsidRPr="0030549F" w:rsidRDefault="0030549F" w:rsidP="00653CE2">
      <w:pPr>
        <w:numPr>
          <w:ilvl w:val="0"/>
          <w:numId w:val="41"/>
        </w:numPr>
        <w:tabs>
          <w:tab w:val="clear" w:pos="720"/>
          <w:tab w:val="num" w:pos="920"/>
        </w:tabs>
        <w:ind w:leftChars="280" w:left="920"/>
        <w:rPr>
          <w:rFonts w:eastAsia="MS Mincho"/>
          <w:i/>
          <w:lang w:eastAsia="ja-JP"/>
        </w:rPr>
      </w:pPr>
      <w:r w:rsidRPr="0030549F">
        <w:rPr>
          <w:rFonts w:eastAsia="MS Mincho"/>
          <w:i/>
          <w:lang w:eastAsia="ja-JP"/>
        </w:rPr>
        <w:t>Backward compatibility with Rel-13 and Rel-12 UEs for CSI-RS port sharing shall be supported</w:t>
      </w:r>
    </w:p>
    <w:p w:rsidR="0030549F" w:rsidRPr="0030549F" w:rsidRDefault="0030549F" w:rsidP="00653CE2">
      <w:pPr>
        <w:numPr>
          <w:ilvl w:val="0"/>
          <w:numId w:val="41"/>
        </w:numPr>
        <w:tabs>
          <w:tab w:val="clear" w:pos="720"/>
          <w:tab w:val="num" w:pos="920"/>
        </w:tabs>
        <w:ind w:leftChars="280" w:left="920"/>
        <w:rPr>
          <w:rFonts w:eastAsia="MS Mincho"/>
          <w:i/>
          <w:lang w:eastAsia="ja-JP"/>
        </w:rPr>
      </w:pPr>
      <w:r w:rsidRPr="0030549F">
        <w:rPr>
          <w:rFonts w:eastAsia="MS Mincho"/>
          <w:i/>
          <w:lang w:eastAsia="ja-JP"/>
        </w:rPr>
        <w:t>The use of CDM-length 2 and 4 is maintained for {20, 24, 28, 32} CSI-RS ports</w:t>
      </w:r>
    </w:p>
    <w:p w:rsidR="0030549F" w:rsidRPr="0030549F" w:rsidRDefault="0030549F" w:rsidP="00653CE2">
      <w:pPr>
        <w:numPr>
          <w:ilvl w:val="1"/>
          <w:numId w:val="41"/>
        </w:numPr>
        <w:tabs>
          <w:tab w:val="clear" w:pos="1440"/>
          <w:tab w:val="num" w:pos="1640"/>
        </w:tabs>
        <w:ind w:leftChars="640" w:left="1640"/>
        <w:rPr>
          <w:rFonts w:eastAsia="MS Mincho"/>
          <w:i/>
          <w:lang w:eastAsia="ja-JP"/>
        </w:rPr>
      </w:pPr>
      <w:r w:rsidRPr="0030549F">
        <w:rPr>
          <w:rFonts w:eastAsia="MS Mincho"/>
          <w:i/>
          <w:lang w:eastAsia="ja-JP"/>
        </w:rPr>
        <w:t>The CDM-length 8 is not precluded. Details FFS.</w:t>
      </w:r>
    </w:p>
    <w:p w:rsidR="0030549F" w:rsidRPr="0030549F" w:rsidRDefault="0030549F" w:rsidP="00653CE2">
      <w:pPr>
        <w:numPr>
          <w:ilvl w:val="0"/>
          <w:numId w:val="41"/>
        </w:numPr>
        <w:tabs>
          <w:tab w:val="clear" w:pos="720"/>
          <w:tab w:val="num" w:pos="920"/>
        </w:tabs>
        <w:ind w:leftChars="280" w:left="920"/>
        <w:rPr>
          <w:rFonts w:eastAsia="MS Mincho"/>
          <w:i/>
          <w:lang w:eastAsia="ja-JP"/>
        </w:rPr>
      </w:pPr>
      <w:r w:rsidRPr="0030549F">
        <w:rPr>
          <w:rFonts w:eastAsia="MS Mincho"/>
          <w:i/>
          <w:lang w:eastAsia="ja-JP"/>
        </w:rPr>
        <w:t xml:space="preserve">FFS on lower density and overhead reduction techniques </w:t>
      </w:r>
    </w:p>
    <w:p w:rsidR="0030549F" w:rsidRPr="0030549F" w:rsidRDefault="0030549F" w:rsidP="00FF21D5">
      <w:pPr>
        <w:pStyle w:val="a0"/>
        <w:rPr>
          <w:rFonts w:eastAsia="宋体"/>
          <w:lang w:eastAsia="zh-CN"/>
        </w:rPr>
      </w:pPr>
    </w:p>
    <w:p w:rsidR="00AC49A7" w:rsidRPr="00AC49A7" w:rsidRDefault="003768D4" w:rsidP="00FF21D5">
      <w:pPr>
        <w:pStyle w:val="a0"/>
        <w:rPr>
          <w:rFonts w:eastAsia="宋体"/>
          <w:lang w:eastAsia="zh-CN"/>
        </w:rPr>
      </w:pPr>
      <w:r>
        <w:rPr>
          <w:rFonts w:eastAsia="宋体"/>
          <w:lang w:eastAsia="zh-CN"/>
        </w:rPr>
        <w:t>I</w:t>
      </w:r>
      <w:r>
        <w:rPr>
          <w:rFonts w:eastAsia="宋体" w:hint="eastAsia"/>
          <w:lang w:eastAsia="zh-CN"/>
        </w:rPr>
        <w:t>n this contribution</w:t>
      </w:r>
      <w:r w:rsidR="00865918">
        <w:rPr>
          <w:rFonts w:eastAsia="宋体" w:hint="eastAsia"/>
          <w:lang w:eastAsia="zh-CN"/>
        </w:rPr>
        <w:t>, we discuss the necessity of backward compatibility with Rel-13 and Rel-12 CSI-RS ports.</w:t>
      </w:r>
      <w:r>
        <w:rPr>
          <w:rFonts w:eastAsia="宋体" w:hint="eastAsia"/>
          <w:lang w:eastAsia="zh-CN"/>
        </w:rPr>
        <w:t xml:space="preserve"> </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E04228" w:rsidRDefault="00282925" w:rsidP="00BA30B6">
      <w:pPr>
        <w:widowControl w:val="0"/>
        <w:autoSpaceDE w:val="0"/>
        <w:autoSpaceDN w:val="0"/>
        <w:adjustRightInd w:val="0"/>
        <w:spacing w:after="120"/>
        <w:jc w:val="both"/>
        <w:rPr>
          <w:rFonts w:eastAsia="宋体"/>
          <w:lang w:eastAsia="zh-CN"/>
        </w:rPr>
      </w:pPr>
      <w:r>
        <w:rPr>
          <w:rFonts w:eastAsia="宋体"/>
          <w:lang w:eastAsia="zh-CN"/>
        </w:rPr>
        <w:t>I</w:t>
      </w:r>
      <w:r>
        <w:rPr>
          <w:rFonts w:eastAsia="宋体" w:hint="eastAsia"/>
          <w:lang w:eastAsia="zh-CN"/>
        </w:rPr>
        <w:t xml:space="preserve">n </w:t>
      </w:r>
      <w:r w:rsidR="00A04998">
        <w:rPr>
          <w:rFonts w:eastAsia="宋体" w:hint="eastAsia"/>
          <w:lang w:eastAsia="zh-CN"/>
        </w:rPr>
        <w:t xml:space="preserve">Rel-13, CDM length 4 </w:t>
      </w:r>
      <w:r w:rsidR="004D0EFE">
        <w:rPr>
          <w:rFonts w:eastAsia="宋体" w:hint="eastAsia"/>
          <w:lang w:eastAsia="zh-CN"/>
        </w:rPr>
        <w:t>i</w:t>
      </w:r>
      <w:r w:rsidR="00A04998">
        <w:rPr>
          <w:rFonts w:eastAsia="宋体" w:hint="eastAsia"/>
          <w:lang w:eastAsia="zh-CN"/>
        </w:rPr>
        <w:t>s</w:t>
      </w:r>
      <w:r>
        <w:rPr>
          <w:rFonts w:eastAsia="宋体" w:hint="eastAsia"/>
          <w:lang w:eastAsia="zh-CN"/>
        </w:rPr>
        <w:t xml:space="preserve"> introduced for NZP CSI-RS to </w:t>
      </w:r>
      <w:r w:rsidR="00A04998">
        <w:rPr>
          <w:rFonts w:eastAsia="宋体" w:hint="eastAsia"/>
          <w:lang w:eastAsia="zh-CN"/>
        </w:rPr>
        <w:t xml:space="preserve">increase power utilization considering the limit of 6dB boosting. CDM </w:t>
      </w:r>
      <w:r w:rsidR="00A04998">
        <w:rPr>
          <w:rFonts w:eastAsia="宋体"/>
          <w:lang w:eastAsia="zh-CN"/>
        </w:rPr>
        <w:t>length</w:t>
      </w:r>
      <w:r w:rsidR="00A04998">
        <w:rPr>
          <w:rFonts w:eastAsia="宋体" w:hint="eastAsia"/>
          <w:lang w:eastAsia="zh-CN"/>
        </w:rPr>
        <w:t xml:space="preserve"> 2 </w:t>
      </w:r>
      <w:r w:rsidR="004D0EFE">
        <w:rPr>
          <w:rFonts w:eastAsia="宋体" w:hint="eastAsia"/>
          <w:lang w:eastAsia="zh-CN"/>
        </w:rPr>
        <w:t>i</w:t>
      </w:r>
      <w:r w:rsidR="00A04998">
        <w:rPr>
          <w:rFonts w:eastAsia="宋体" w:hint="eastAsia"/>
          <w:lang w:eastAsia="zh-CN"/>
        </w:rPr>
        <w:t xml:space="preserve">s also supported and </w:t>
      </w:r>
      <w:r w:rsidR="004D0EFE">
        <w:rPr>
          <w:rFonts w:eastAsia="宋体" w:hint="eastAsia"/>
          <w:lang w:eastAsia="zh-CN"/>
        </w:rPr>
        <w:t xml:space="preserve">for NZP CSI-RS ports higher than 8, especially for 16, backward compatibility is considered for ports to RE mapping such that ports to antenna mapping of Rel-12 UEs follow dual polarized antenna structure. </w:t>
      </w:r>
      <w:r w:rsidR="004D5B8B">
        <w:rPr>
          <w:rFonts w:eastAsia="宋体" w:hint="eastAsia"/>
          <w:lang w:eastAsia="zh-CN"/>
        </w:rPr>
        <w:t>However, such backward compatible design doesn</w:t>
      </w:r>
      <w:r w:rsidR="004D5B8B">
        <w:rPr>
          <w:rFonts w:eastAsia="宋体"/>
          <w:lang w:eastAsia="zh-CN"/>
        </w:rPr>
        <w:t>’</w:t>
      </w:r>
      <w:r w:rsidR="004D5B8B">
        <w:rPr>
          <w:rFonts w:eastAsia="宋体" w:hint="eastAsia"/>
          <w:lang w:eastAsia="zh-CN"/>
        </w:rPr>
        <w:t xml:space="preserve">t work for </w:t>
      </w:r>
      <w:r w:rsidR="00767250">
        <w:rPr>
          <w:rFonts w:eastAsia="宋体" w:hint="eastAsia"/>
          <w:lang w:eastAsia="zh-CN"/>
        </w:rPr>
        <w:t>every</w:t>
      </w:r>
      <w:r w:rsidR="004D5B8B">
        <w:rPr>
          <w:rFonts w:eastAsia="宋体" w:hint="eastAsia"/>
          <w:lang w:eastAsia="zh-CN"/>
        </w:rPr>
        <w:t xml:space="preserve"> antenna structures.</w:t>
      </w:r>
      <w:r w:rsidR="004D01C9">
        <w:rPr>
          <w:rFonts w:eastAsia="宋体"/>
          <w:lang w:eastAsia="zh-CN"/>
        </w:rPr>
        <w:t xml:space="preserve"> For instance, 16 port Rel.13 CSI-RS does not support backward compatibility to 2 and 4 port Rel.12 CSI-RS, and 12 port Rel.13 CIS-RS does not support backward compatibility to 2 and 8 port Rel.12 CSI-RS. </w:t>
      </w:r>
      <w:r w:rsidR="004D5B8B">
        <w:rPr>
          <w:rFonts w:eastAsia="宋体" w:hint="eastAsia"/>
          <w:lang w:eastAsia="zh-CN"/>
        </w:rPr>
        <w:t xml:space="preserve"> </w:t>
      </w:r>
      <w:r w:rsidR="007A4AED">
        <w:rPr>
          <w:rFonts w:eastAsia="宋体"/>
          <w:lang w:eastAsia="zh-CN"/>
        </w:rPr>
        <w:t>A</w:t>
      </w:r>
      <w:r w:rsidR="007A4AED">
        <w:rPr>
          <w:rFonts w:eastAsia="宋体" w:hint="eastAsia"/>
          <w:lang w:eastAsia="zh-CN"/>
        </w:rPr>
        <w:t xml:space="preserve">nd, for example, in Rel-13 system with 16 ports NZP CSI-RS, Rel-12 UEs are </w:t>
      </w:r>
      <w:r w:rsidR="007A4AED">
        <w:rPr>
          <w:rFonts w:eastAsia="宋体"/>
          <w:lang w:eastAsia="zh-CN"/>
        </w:rPr>
        <w:t>supported</w:t>
      </w:r>
      <w:r w:rsidR="007A4AED">
        <w:rPr>
          <w:rFonts w:eastAsia="宋体" w:hint="eastAsia"/>
          <w:lang w:eastAsia="zh-CN"/>
        </w:rPr>
        <w:t xml:space="preserve"> utilizing 8 out of 16 ports with CDM length 2 to save CSI-RS overhead; however impact to coverage was not investigated and  PDSCH performance was not studied </w:t>
      </w:r>
      <w:r w:rsidR="00D605A0">
        <w:rPr>
          <w:rFonts w:eastAsia="宋体" w:hint="eastAsia"/>
          <w:lang w:eastAsia="zh-CN"/>
        </w:rPr>
        <w:t>with</w:t>
      </w:r>
      <w:r w:rsidR="007A4AED">
        <w:rPr>
          <w:rFonts w:eastAsia="宋体" w:hint="eastAsia"/>
          <w:lang w:eastAsia="zh-CN"/>
        </w:rPr>
        <w:t xml:space="preserve"> only</w:t>
      </w:r>
      <w:r w:rsidR="00D605A0">
        <w:rPr>
          <w:rFonts w:eastAsia="宋体" w:hint="eastAsia"/>
          <w:lang w:eastAsia="zh-CN"/>
        </w:rPr>
        <w:t xml:space="preserve"> utilizing</w:t>
      </w:r>
      <w:r w:rsidR="007A4AED">
        <w:rPr>
          <w:rFonts w:eastAsia="宋体" w:hint="eastAsia"/>
          <w:lang w:eastAsia="zh-CN"/>
        </w:rPr>
        <w:t xml:space="preserve"> half of PA capacity. </w:t>
      </w:r>
      <w:r w:rsidR="004D01C9">
        <w:rPr>
          <w:rFonts w:eastAsia="宋体"/>
          <w:lang w:eastAsia="zh-CN"/>
        </w:rPr>
        <w:t xml:space="preserve">Typically, failure to utilize full power utilization incurs severe performance loss in the range of 20-30%, way more than the meager CSI-RS overhead saving from backward compatibility to Rel.12 CSI-RS. </w:t>
      </w:r>
    </w:p>
    <w:p w:rsidR="004D01C9" w:rsidRPr="004D01C9" w:rsidRDefault="004D01C9" w:rsidP="00BA30B6">
      <w:pPr>
        <w:widowControl w:val="0"/>
        <w:autoSpaceDE w:val="0"/>
        <w:autoSpaceDN w:val="0"/>
        <w:adjustRightInd w:val="0"/>
        <w:spacing w:after="120"/>
        <w:jc w:val="both"/>
        <w:rPr>
          <w:rFonts w:eastAsia="宋体"/>
          <w:szCs w:val="20"/>
          <w:lang w:eastAsia="zh-CN"/>
        </w:rPr>
      </w:pPr>
      <w:r w:rsidRPr="004D01C9">
        <w:rPr>
          <w:rFonts w:eastAsia="宋体"/>
          <w:b/>
          <w:szCs w:val="20"/>
          <w:lang w:eastAsia="zh-CN"/>
        </w:rPr>
        <w:t>Observation</w:t>
      </w:r>
      <w:r w:rsidRPr="004D01C9">
        <w:rPr>
          <w:rFonts w:eastAsia="宋体"/>
          <w:szCs w:val="20"/>
          <w:lang w:eastAsia="zh-CN"/>
        </w:rPr>
        <w:t>:</w:t>
      </w:r>
    </w:p>
    <w:p w:rsidR="004D01C9" w:rsidRDefault="004D01C9" w:rsidP="004D01C9">
      <w:pPr>
        <w:pStyle w:val="ad"/>
        <w:widowControl w:val="0"/>
        <w:numPr>
          <w:ilvl w:val="0"/>
          <w:numId w:val="42"/>
        </w:numPr>
        <w:autoSpaceDE w:val="0"/>
        <w:autoSpaceDN w:val="0"/>
        <w:adjustRightInd w:val="0"/>
        <w:spacing w:after="120"/>
        <w:ind w:firstLineChars="0"/>
        <w:jc w:val="both"/>
        <w:rPr>
          <w:rFonts w:ascii="Times New Roman" w:hAnsi="Times New Roman" w:cs="Times New Roman"/>
          <w:sz w:val="20"/>
          <w:szCs w:val="20"/>
        </w:rPr>
      </w:pPr>
      <w:r w:rsidRPr="004D01C9">
        <w:rPr>
          <w:rFonts w:ascii="Times New Roman" w:hAnsi="Times New Roman" w:cs="Times New Roman"/>
          <w:sz w:val="20"/>
          <w:szCs w:val="20"/>
        </w:rPr>
        <w:t xml:space="preserve">Backward compatibility to legacy CSI-RS </w:t>
      </w:r>
      <w:r>
        <w:rPr>
          <w:rFonts w:ascii="Times New Roman" w:hAnsi="Times New Roman" w:cs="Times New Roman"/>
          <w:sz w:val="20"/>
          <w:szCs w:val="20"/>
        </w:rPr>
        <w:t>is not a complete solution.</w:t>
      </w:r>
    </w:p>
    <w:p w:rsidR="004D01C9" w:rsidRPr="004D01C9" w:rsidRDefault="004D01C9" w:rsidP="004D01C9">
      <w:pPr>
        <w:pStyle w:val="ad"/>
        <w:widowControl w:val="0"/>
        <w:numPr>
          <w:ilvl w:val="0"/>
          <w:numId w:val="42"/>
        </w:numPr>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 xml:space="preserve">Backward </w:t>
      </w:r>
      <w:proofErr w:type="spellStart"/>
      <w:r>
        <w:rPr>
          <w:rFonts w:ascii="Times New Roman" w:hAnsi="Times New Roman" w:cs="Times New Roman"/>
          <w:sz w:val="20"/>
          <w:szCs w:val="20"/>
        </w:rPr>
        <w:t>compatility</w:t>
      </w:r>
      <w:proofErr w:type="spellEnd"/>
      <w:r>
        <w:rPr>
          <w:rFonts w:ascii="Times New Roman" w:hAnsi="Times New Roman" w:cs="Times New Roman"/>
          <w:sz w:val="20"/>
          <w:szCs w:val="20"/>
        </w:rPr>
        <w:t xml:space="preserve"> to legacy CSI-RS saves marginal CSI-RS overhead, while PDSCH performance loss due to non-full power utilization is much more severe. </w:t>
      </w:r>
      <w:r w:rsidRPr="004D01C9">
        <w:rPr>
          <w:rFonts w:ascii="Times New Roman" w:hAnsi="Times New Roman" w:cs="Times New Roman"/>
          <w:sz w:val="20"/>
          <w:szCs w:val="20"/>
        </w:rPr>
        <w:t xml:space="preserve"> </w:t>
      </w:r>
    </w:p>
    <w:p w:rsidR="004D01C9" w:rsidRDefault="004D01C9" w:rsidP="00BA30B6">
      <w:pPr>
        <w:widowControl w:val="0"/>
        <w:autoSpaceDE w:val="0"/>
        <w:autoSpaceDN w:val="0"/>
        <w:adjustRightInd w:val="0"/>
        <w:spacing w:after="120"/>
        <w:jc w:val="both"/>
        <w:rPr>
          <w:rFonts w:eastAsia="宋体"/>
          <w:lang w:eastAsia="zh-CN"/>
        </w:rPr>
      </w:pPr>
    </w:p>
    <w:p w:rsidR="00942CAC" w:rsidRDefault="00D861A3" w:rsidP="00BA30B6">
      <w:pPr>
        <w:widowControl w:val="0"/>
        <w:autoSpaceDE w:val="0"/>
        <w:autoSpaceDN w:val="0"/>
        <w:adjustRightInd w:val="0"/>
        <w:spacing w:after="120"/>
        <w:jc w:val="both"/>
        <w:rPr>
          <w:rFonts w:eastAsia="宋体"/>
          <w:lang w:eastAsia="zh-CN"/>
        </w:rPr>
      </w:pPr>
      <w:r>
        <w:rPr>
          <w:rFonts w:eastAsia="宋体"/>
          <w:lang w:eastAsia="zh-CN"/>
        </w:rPr>
        <w:t>A</w:t>
      </w:r>
      <w:r>
        <w:rPr>
          <w:rFonts w:eastAsia="宋体" w:hint="eastAsia"/>
          <w:lang w:eastAsia="zh-CN"/>
        </w:rPr>
        <w:t xml:space="preserve">s the number of antenna ports grows, up to 32, full power utilization becomes even more crucial to ensure coverage. </w:t>
      </w:r>
      <w:r w:rsidR="00483520">
        <w:rPr>
          <w:rFonts w:eastAsia="宋体"/>
          <w:lang w:eastAsia="zh-CN"/>
        </w:rPr>
        <w:t>F</w:t>
      </w:r>
      <w:r w:rsidR="00483520">
        <w:rPr>
          <w:rFonts w:eastAsia="宋体" w:hint="eastAsia"/>
          <w:lang w:eastAsia="zh-CN"/>
        </w:rPr>
        <w:t xml:space="preserve">or 32 ports NZP CSI-RS with CDM </w:t>
      </w:r>
      <w:r w:rsidR="00483520">
        <w:rPr>
          <w:rFonts w:eastAsia="宋体"/>
          <w:lang w:eastAsia="zh-CN"/>
        </w:rPr>
        <w:t>length</w:t>
      </w:r>
      <w:r w:rsidR="00483520">
        <w:rPr>
          <w:rFonts w:eastAsia="宋体" w:hint="eastAsia"/>
          <w:lang w:eastAsia="zh-CN"/>
        </w:rPr>
        <w:t xml:space="preserve"> 2 </w:t>
      </w:r>
      <w:r w:rsidR="0079431F">
        <w:rPr>
          <w:rFonts w:eastAsia="宋体" w:hint="eastAsia"/>
          <w:lang w:eastAsia="zh-CN"/>
        </w:rPr>
        <w:t xml:space="preserve">there is </w:t>
      </w:r>
      <w:r w:rsidR="00B74E6D">
        <w:rPr>
          <w:rFonts w:eastAsia="宋体"/>
          <w:lang w:eastAsia="zh-CN"/>
        </w:rPr>
        <w:t>a 6dB</w:t>
      </w:r>
      <w:r w:rsidR="0079431F">
        <w:rPr>
          <w:rFonts w:eastAsia="宋体" w:hint="eastAsia"/>
          <w:lang w:eastAsia="zh-CN"/>
        </w:rPr>
        <w:t xml:space="preserve"> gap between transmit power and attainable full power. On the other hand, if only 8 ports out of 32 CSI-RS ports are used to transmit NZP CSI-RS for Rel-12</w:t>
      </w:r>
      <w:r w:rsidR="00B4727C">
        <w:rPr>
          <w:rFonts w:eastAsia="宋体" w:hint="eastAsia"/>
          <w:lang w:eastAsia="zh-CN"/>
        </w:rPr>
        <w:t>/13</w:t>
      </w:r>
      <w:r w:rsidR="0079431F">
        <w:rPr>
          <w:rFonts w:eastAsia="宋体" w:hint="eastAsia"/>
          <w:lang w:eastAsia="zh-CN"/>
        </w:rPr>
        <w:t xml:space="preserve"> UEs, only one quarter of PA capacity is utilized </w:t>
      </w:r>
      <w:r w:rsidR="00362EB5">
        <w:rPr>
          <w:rFonts w:eastAsia="宋体" w:hint="eastAsia"/>
          <w:lang w:eastAsia="zh-CN"/>
        </w:rPr>
        <w:t xml:space="preserve">which definitely </w:t>
      </w:r>
      <w:r w:rsidR="00B65BDE">
        <w:rPr>
          <w:rFonts w:eastAsia="宋体" w:hint="eastAsia"/>
          <w:lang w:eastAsia="zh-CN"/>
        </w:rPr>
        <w:t xml:space="preserve">is </w:t>
      </w:r>
      <w:r w:rsidR="00362EB5">
        <w:rPr>
          <w:rFonts w:eastAsia="宋体" w:hint="eastAsia"/>
          <w:lang w:eastAsia="zh-CN"/>
        </w:rPr>
        <w:t xml:space="preserve">undesirable. </w:t>
      </w:r>
      <w:r w:rsidR="00395CE8">
        <w:rPr>
          <w:rFonts w:eastAsia="宋体"/>
          <w:lang w:eastAsia="zh-CN"/>
        </w:rPr>
        <w:t>I</w:t>
      </w:r>
      <w:r w:rsidR="00395CE8">
        <w:rPr>
          <w:rFonts w:eastAsia="宋体" w:hint="eastAsia"/>
          <w:lang w:eastAsia="zh-CN"/>
        </w:rPr>
        <w:t xml:space="preserve">f backward compatibility with Rel-12/13 UEs for CSI-RS ports sharing is </w:t>
      </w:r>
      <w:r w:rsidR="00D92CD0">
        <w:rPr>
          <w:rFonts w:eastAsia="宋体"/>
          <w:lang w:eastAsia="zh-CN"/>
        </w:rPr>
        <w:t>so important</w:t>
      </w:r>
      <w:r w:rsidR="00395CE8">
        <w:rPr>
          <w:rFonts w:eastAsia="宋体" w:hint="eastAsia"/>
          <w:lang w:eastAsia="zh-CN"/>
        </w:rPr>
        <w:t xml:space="preserve">, first </w:t>
      </w:r>
      <w:r w:rsidR="00395CE8">
        <w:rPr>
          <w:rFonts w:eastAsia="宋体"/>
          <w:lang w:eastAsia="zh-CN"/>
        </w:rPr>
        <w:t>the</w:t>
      </w:r>
      <w:r w:rsidR="00395CE8">
        <w:rPr>
          <w:rFonts w:eastAsia="宋体" w:hint="eastAsia"/>
          <w:lang w:eastAsia="zh-CN"/>
        </w:rPr>
        <w:t xml:space="preserve"> coverage should be carefully investigated, second since only portion of PA capacity is used its </w:t>
      </w:r>
      <w:r w:rsidR="00395CE8">
        <w:rPr>
          <w:rFonts w:eastAsia="宋体"/>
          <w:lang w:eastAsia="zh-CN"/>
        </w:rPr>
        <w:t>impact</w:t>
      </w:r>
      <w:r w:rsidR="00395CE8">
        <w:rPr>
          <w:rFonts w:eastAsia="宋体" w:hint="eastAsia"/>
          <w:lang w:eastAsia="zh-CN"/>
        </w:rPr>
        <w:t xml:space="preserve"> to PDSCH performance should be studied. </w:t>
      </w:r>
      <w:r w:rsidR="00C07C46">
        <w:rPr>
          <w:rFonts w:eastAsia="宋体" w:hint="eastAsia"/>
          <w:lang w:eastAsia="zh-CN"/>
        </w:rPr>
        <w:t xml:space="preserve">There will be slight increase in CSI-RS overhead when backward compatibility is not considered, however </w:t>
      </w:r>
      <w:proofErr w:type="spellStart"/>
      <w:r w:rsidR="00C07C46">
        <w:rPr>
          <w:rFonts w:eastAsia="宋体" w:hint="eastAsia"/>
          <w:lang w:eastAsia="zh-CN"/>
        </w:rPr>
        <w:t>beamforming</w:t>
      </w:r>
      <w:proofErr w:type="spellEnd"/>
      <w:r w:rsidR="00C07C46">
        <w:rPr>
          <w:rFonts w:eastAsia="宋体" w:hint="eastAsia"/>
          <w:lang w:eastAsia="zh-CN"/>
        </w:rPr>
        <w:t xml:space="preserve"> gain will be significant for Rel-12/13 UEs with larger antenna array. </w:t>
      </w:r>
      <w:r w:rsidR="00DE1BCB">
        <w:rPr>
          <w:rFonts w:eastAsia="宋体"/>
          <w:lang w:eastAsia="zh-CN"/>
        </w:rPr>
        <w:t>T</w:t>
      </w:r>
      <w:r w:rsidR="00DE1BCB">
        <w:rPr>
          <w:rFonts w:eastAsia="宋体" w:hint="eastAsia"/>
          <w:lang w:eastAsia="zh-CN"/>
        </w:rPr>
        <w:t>he benefit of saving CSI-RS overhead with Rel-12 UEs sharing part of Rel-14 UEs CSI-RS</w:t>
      </w:r>
      <w:r w:rsidR="00395CE8">
        <w:rPr>
          <w:rFonts w:eastAsia="宋体" w:hint="eastAsia"/>
          <w:lang w:eastAsia="zh-CN"/>
        </w:rPr>
        <w:t xml:space="preserve"> </w:t>
      </w:r>
      <w:r w:rsidR="00DE1BCB">
        <w:rPr>
          <w:rFonts w:eastAsia="宋体" w:hint="eastAsia"/>
          <w:lang w:eastAsia="zh-CN"/>
        </w:rPr>
        <w:t>should be compared against separately configuring Rel-14 non-</w:t>
      </w:r>
      <w:proofErr w:type="spellStart"/>
      <w:r w:rsidR="00DE1BCB">
        <w:rPr>
          <w:rFonts w:eastAsia="宋体" w:hint="eastAsia"/>
          <w:lang w:eastAsia="zh-CN"/>
        </w:rPr>
        <w:t>precoded</w:t>
      </w:r>
      <w:proofErr w:type="spellEnd"/>
      <w:r w:rsidR="00DE1BCB">
        <w:rPr>
          <w:rFonts w:eastAsia="宋体" w:hint="eastAsia"/>
          <w:lang w:eastAsia="zh-CN"/>
        </w:rPr>
        <w:t xml:space="preserve"> CSI-RS and </w:t>
      </w:r>
      <w:proofErr w:type="spellStart"/>
      <w:r w:rsidR="00DE1BCB">
        <w:rPr>
          <w:rFonts w:eastAsia="宋体" w:hint="eastAsia"/>
          <w:lang w:eastAsia="zh-CN"/>
        </w:rPr>
        <w:t>beamformed</w:t>
      </w:r>
      <w:proofErr w:type="spellEnd"/>
      <w:r w:rsidR="00DE1BCB">
        <w:rPr>
          <w:rFonts w:eastAsia="宋体" w:hint="eastAsia"/>
          <w:lang w:eastAsia="zh-CN"/>
        </w:rPr>
        <w:t xml:space="preserve"> CSI-RS for Rel-12 UEs, </w:t>
      </w:r>
      <w:r w:rsidR="00DE1BCB">
        <w:rPr>
          <w:rFonts w:eastAsia="宋体"/>
          <w:lang w:eastAsia="zh-CN"/>
        </w:rPr>
        <w:t>considering</w:t>
      </w:r>
      <w:r w:rsidR="00DE1BCB">
        <w:rPr>
          <w:rFonts w:eastAsia="宋体" w:hint="eastAsia"/>
          <w:lang w:eastAsia="zh-CN"/>
        </w:rPr>
        <w:t xml:space="preserve"> </w:t>
      </w:r>
      <w:r w:rsidR="00DE1BCB">
        <w:rPr>
          <w:rFonts w:eastAsia="宋体"/>
          <w:lang w:eastAsia="zh-CN"/>
        </w:rPr>
        <w:t>utilization</w:t>
      </w:r>
      <w:r w:rsidR="00DE1BCB">
        <w:rPr>
          <w:rFonts w:eastAsia="宋体" w:hint="eastAsia"/>
          <w:lang w:eastAsia="zh-CN"/>
        </w:rPr>
        <w:t xml:space="preserve"> of PA capacity. </w:t>
      </w:r>
    </w:p>
    <w:p w:rsidR="00D82653" w:rsidRDefault="00D82653" w:rsidP="00BA30B6">
      <w:pPr>
        <w:widowControl w:val="0"/>
        <w:autoSpaceDE w:val="0"/>
        <w:autoSpaceDN w:val="0"/>
        <w:adjustRightInd w:val="0"/>
        <w:spacing w:after="120"/>
        <w:jc w:val="both"/>
        <w:rPr>
          <w:rFonts w:eastAsia="宋体"/>
          <w:lang w:eastAsia="zh-CN"/>
        </w:rPr>
      </w:pPr>
      <w:r>
        <w:rPr>
          <w:rFonts w:eastAsia="宋体"/>
          <w:lang w:eastAsia="zh-CN"/>
        </w:rPr>
        <w:t>F</w:t>
      </w:r>
      <w:r>
        <w:rPr>
          <w:rFonts w:eastAsia="宋体" w:hint="eastAsia"/>
          <w:lang w:eastAsia="zh-CN"/>
        </w:rPr>
        <w:t xml:space="preserve">or the above reasons, it is not preferable to use CDM length 2 for Rel-14 NZP CSI-RS design. CDM length 4 can be considered, however if backward compatibility with Rel-13 UEs for CSI-RS ports sharing to be </w:t>
      </w:r>
      <w:r>
        <w:rPr>
          <w:rFonts w:eastAsia="宋体" w:hint="eastAsia"/>
          <w:lang w:eastAsia="zh-CN"/>
        </w:rPr>
        <w:lastRenderedPageBreak/>
        <w:t xml:space="preserve">considered, issues such CSI-RS coverage and impact to PDSCH performance due to partial PA capacity utilization should be </w:t>
      </w:r>
      <w:r w:rsidR="001A27E3">
        <w:rPr>
          <w:rFonts w:eastAsia="宋体"/>
          <w:lang w:eastAsia="zh-CN"/>
        </w:rPr>
        <w:t>studied</w:t>
      </w:r>
      <w:r w:rsidR="001A27E3">
        <w:rPr>
          <w:rFonts w:eastAsia="宋体" w:hint="eastAsia"/>
          <w:lang w:eastAsia="zh-CN"/>
        </w:rPr>
        <w:t xml:space="preserve"> first</w:t>
      </w:r>
      <w:r>
        <w:rPr>
          <w:rFonts w:eastAsia="宋体" w:hint="eastAsia"/>
          <w:lang w:eastAsia="zh-CN"/>
        </w:rPr>
        <w:t xml:space="preserve">. </w:t>
      </w:r>
      <w:r w:rsidR="00B230BF">
        <w:rPr>
          <w:rFonts w:eastAsia="宋体" w:hint="eastAsia"/>
          <w:lang w:eastAsia="zh-CN"/>
        </w:rPr>
        <w:t>As full power utilization is very important especially for higher number of NZP CSI-RS ports, CDM length 8 should be supported</w:t>
      </w:r>
      <w:r w:rsidR="00D32C54">
        <w:rPr>
          <w:rFonts w:eastAsia="宋体" w:hint="eastAsia"/>
          <w:lang w:eastAsia="zh-CN"/>
        </w:rPr>
        <w:t xml:space="preserve"> in Rel-14</w:t>
      </w:r>
      <w:r w:rsidR="00B230BF">
        <w:rPr>
          <w:rFonts w:eastAsia="宋体" w:hint="eastAsia"/>
          <w:lang w:eastAsia="zh-CN"/>
        </w:rPr>
        <w:t>.</w:t>
      </w:r>
    </w:p>
    <w:p w:rsidR="000B1AF3" w:rsidRPr="00FA33CF" w:rsidRDefault="000B1AF3" w:rsidP="00C27014">
      <w:pPr>
        <w:pStyle w:val="a0"/>
        <w:rPr>
          <w:rFonts w:eastAsia="宋体" w:cs="Arial"/>
          <w:iCs/>
          <w:lang w:eastAsia="zh-CN"/>
        </w:rPr>
      </w:pPr>
    </w:p>
    <w:p w:rsidR="002C6318" w:rsidRDefault="002C6318" w:rsidP="00FD1BE0">
      <w:pPr>
        <w:pStyle w:val="1"/>
      </w:pPr>
      <w:r>
        <w:t>Conclusion</w:t>
      </w:r>
      <w:r w:rsidR="001214C1">
        <w:rPr>
          <w:rFonts w:hint="eastAsia"/>
        </w:rPr>
        <w:t>s</w:t>
      </w:r>
    </w:p>
    <w:p w:rsidR="004759FF" w:rsidRPr="00411108" w:rsidRDefault="00093BF6" w:rsidP="004759FF">
      <w:pPr>
        <w:spacing w:after="120"/>
        <w:jc w:val="both"/>
        <w:rPr>
          <w:rFonts w:eastAsia="宋体" w:hint="eastAsia"/>
          <w:lang w:eastAsia="zh-CN"/>
        </w:rPr>
      </w:pPr>
      <w:r>
        <w:rPr>
          <w:rFonts w:eastAsia="宋体" w:hint="eastAsia"/>
          <w:lang w:eastAsia="zh-CN"/>
        </w:rPr>
        <w:t>In this contribution,</w:t>
      </w:r>
      <w:r w:rsidR="009C6E00">
        <w:rPr>
          <w:rFonts w:eastAsia="宋体" w:hint="eastAsia"/>
          <w:lang w:eastAsia="zh-CN"/>
        </w:rPr>
        <w:t xml:space="preserve"> </w:t>
      </w:r>
      <w:r w:rsidR="00411108">
        <w:rPr>
          <w:rFonts w:eastAsia="宋体" w:hint="eastAsia"/>
          <w:lang w:eastAsia="zh-CN"/>
        </w:rPr>
        <w:t xml:space="preserve">we discussed backward compatible CSI-RS design and pointed out some issues which need to be addressed, the benefit of overhead saving by port sharing should be weighed against potential coverage loss and impact to PDSCH </w:t>
      </w:r>
      <w:r w:rsidR="00411108">
        <w:rPr>
          <w:rFonts w:eastAsia="宋体"/>
          <w:lang w:eastAsia="zh-CN"/>
        </w:rPr>
        <w:t>transmission</w:t>
      </w:r>
      <w:r w:rsidR="00411108">
        <w:rPr>
          <w:rFonts w:eastAsia="宋体" w:hint="eastAsia"/>
          <w:lang w:eastAsia="zh-CN"/>
        </w:rPr>
        <w:t>.</w:t>
      </w:r>
    </w:p>
    <w:p w:rsidR="009A38D8" w:rsidRDefault="009A38D8" w:rsidP="009A38D8">
      <w:pPr>
        <w:pStyle w:val="1"/>
      </w:pPr>
      <w:r>
        <w:t>References</w:t>
      </w:r>
    </w:p>
    <w:p w:rsidR="00E40EEB" w:rsidRPr="0079326F" w:rsidRDefault="00441792" w:rsidP="00E40EEB">
      <w:pPr>
        <w:pStyle w:val="a0"/>
        <w:numPr>
          <w:ilvl w:val="1"/>
          <w:numId w:val="34"/>
        </w:numPr>
        <w:tabs>
          <w:tab w:val="clear" w:pos="1545"/>
          <w:tab w:val="left" w:pos="0"/>
          <w:tab w:val="left" w:pos="540"/>
        </w:tabs>
        <w:spacing w:after="60"/>
        <w:ind w:left="600" w:hangingChars="300" w:hanging="600"/>
        <w:rPr>
          <w:rFonts w:eastAsia="宋体"/>
          <w:lang w:eastAsia="zh-CN"/>
        </w:rPr>
      </w:pPr>
      <w:hyperlink r:id="rId7" w:history="1">
        <w:r w:rsidR="0079326F" w:rsidRPr="0079326F">
          <w:rPr>
            <w:rFonts w:eastAsia="宋体"/>
            <w:lang w:eastAsia="zh-CN"/>
          </w:rPr>
          <w:t>R1-163617</w:t>
        </w:r>
      </w:hyperlink>
      <w:r w:rsidR="0079326F">
        <w:rPr>
          <w:rFonts w:eastAsia="宋体" w:hint="eastAsia"/>
          <w:lang w:eastAsia="zh-CN"/>
        </w:rPr>
        <w:t xml:space="preserve">, </w:t>
      </w:r>
      <w:r w:rsidR="0079326F">
        <w:rPr>
          <w:rFonts w:eastAsia="宋体"/>
          <w:lang w:eastAsia="zh-CN"/>
        </w:rPr>
        <w:t>“</w:t>
      </w:r>
      <w:r w:rsidR="0079326F" w:rsidRPr="0079326F">
        <w:rPr>
          <w:rFonts w:eastAsia="宋体"/>
          <w:lang w:eastAsia="zh-CN"/>
        </w:rPr>
        <w:t>WF on Design Principles for {20, 24, 28, 32} ports NZP CSI-RS resource in Rel-14</w:t>
      </w:r>
      <w:r w:rsidR="0079326F">
        <w:rPr>
          <w:rFonts w:eastAsia="宋体"/>
          <w:lang w:eastAsia="zh-CN"/>
        </w:rPr>
        <w:t>”</w:t>
      </w:r>
      <w:r w:rsidR="0079326F">
        <w:rPr>
          <w:rFonts w:eastAsia="宋体" w:hint="eastAsia"/>
          <w:lang w:eastAsia="zh-CN"/>
        </w:rPr>
        <w:t>,</w:t>
      </w:r>
      <w:r w:rsidR="0079326F" w:rsidRPr="0079326F">
        <w:rPr>
          <w:rFonts w:eastAsia="宋体"/>
          <w:lang w:eastAsia="zh-CN"/>
        </w:rPr>
        <w:tab/>
        <w:t xml:space="preserve">Qualcomm, Intel, </w:t>
      </w:r>
      <w:proofErr w:type="spellStart"/>
      <w:r w:rsidR="0079326F" w:rsidRPr="0079326F">
        <w:rPr>
          <w:rFonts w:eastAsia="宋体"/>
          <w:lang w:eastAsia="zh-CN"/>
        </w:rPr>
        <w:t>Xinwei</w:t>
      </w:r>
      <w:proofErr w:type="spellEnd"/>
      <w:r w:rsidR="0079326F" w:rsidRPr="0079326F">
        <w:rPr>
          <w:rFonts w:eastAsia="宋体"/>
          <w:lang w:eastAsia="zh-CN"/>
        </w:rPr>
        <w:t>, ZTE</w:t>
      </w:r>
      <w:r w:rsidR="0079326F">
        <w:rPr>
          <w:rFonts w:eastAsia="宋体" w:hint="eastAsia"/>
          <w:lang w:eastAsia="zh-CN"/>
        </w:rPr>
        <w:t xml:space="preserve">, </w:t>
      </w:r>
      <w:r w:rsidR="00B03C78">
        <w:rPr>
          <w:rFonts w:eastAsia="宋体" w:hint="eastAsia"/>
          <w:lang w:eastAsia="zh-CN"/>
        </w:rPr>
        <w:t xml:space="preserve">RAN1#84bis, </w:t>
      </w:r>
      <w:proofErr w:type="spellStart"/>
      <w:r w:rsidR="00B03C78">
        <w:rPr>
          <w:rFonts w:eastAsia="宋体" w:hint="eastAsia"/>
          <w:lang w:eastAsia="zh-CN"/>
        </w:rPr>
        <w:t>Busan</w:t>
      </w:r>
      <w:proofErr w:type="spellEnd"/>
      <w:r w:rsidR="00B03C78">
        <w:rPr>
          <w:rFonts w:eastAsia="宋体" w:hint="eastAsia"/>
          <w:lang w:eastAsia="zh-CN"/>
        </w:rPr>
        <w:t>, Korea, 11</w:t>
      </w:r>
      <w:r w:rsidR="00B03C78" w:rsidRPr="00024098">
        <w:rPr>
          <w:rFonts w:eastAsia="宋体" w:hint="eastAsia"/>
          <w:lang w:eastAsia="zh-CN"/>
        </w:rPr>
        <w:t xml:space="preserve">th </w:t>
      </w:r>
      <w:r w:rsidR="00B03C78" w:rsidRPr="00024098">
        <w:rPr>
          <w:rFonts w:eastAsia="宋体"/>
          <w:lang w:eastAsia="zh-CN"/>
        </w:rPr>
        <w:t xml:space="preserve">- </w:t>
      </w:r>
      <w:r w:rsidR="00B03C78">
        <w:rPr>
          <w:rFonts w:eastAsia="宋体" w:hint="eastAsia"/>
          <w:lang w:eastAsia="zh-CN"/>
        </w:rPr>
        <w:t>15</w:t>
      </w:r>
      <w:r w:rsidR="00B03C78" w:rsidRPr="00024098">
        <w:rPr>
          <w:rFonts w:eastAsia="宋体" w:hint="eastAsia"/>
          <w:lang w:eastAsia="zh-CN"/>
        </w:rPr>
        <w:t xml:space="preserve">th </w:t>
      </w:r>
      <w:r w:rsidR="00B03C78">
        <w:rPr>
          <w:rFonts w:eastAsia="宋体" w:hint="eastAsia"/>
          <w:lang w:eastAsia="zh-CN"/>
        </w:rPr>
        <w:t>April 2016</w:t>
      </w:r>
    </w:p>
    <w:p w:rsidR="00D95855" w:rsidRPr="00024098" w:rsidRDefault="00D95855" w:rsidP="00D2534F">
      <w:pPr>
        <w:spacing w:after="120"/>
        <w:jc w:val="both"/>
        <w:rPr>
          <w:rFonts w:eastAsia="宋体"/>
          <w:lang w:eastAsia="zh-CN"/>
        </w:rPr>
      </w:pPr>
    </w:p>
    <w:sectPr w:rsidR="00D95855" w:rsidRPr="00024098" w:rsidSect="00BA16FF">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164" w:rsidRDefault="00B81164">
      <w:r>
        <w:separator/>
      </w:r>
    </w:p>
  </w:endnote>
  <w:endnote w:type="continuationSeparator" w:id="0">
    <w:p w:rsidR="00B81164" w:rsidRDefault="00B811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164" w:rsidRDefault="00B81164">
      <w:r>
        <w:separator/>
      </w:r>
    </w:p>
  </w:footnote>
  <w:footnote w:type="continuationSeparator" w:id="0">
    <w:p w:rsidR="00B81164" w:rsidRDefault="00B811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7">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195053"/>
    <w:multiLevelType w:val="hybridMultilevel"/>
    <w:tmpl w:val="96AE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476A1"/>
    <w:multiLevelType w:val="hybridMultilevel"/>
    <w:tmpl w:val="9C1EBD04"/>
    <w:lvl w:ilvl="0" w:tplc="F802E574">
      <w:start w:val="1"/>
      <w:numFmt w:val="bullet"/>
      <w:lvlText w:val="•"/>
      <w:lvlJc w:val="left"/>
      <w:pPr>
        <w:tabs>
          <w:tab w:val="num" w:pos="720"/>
        </w:tabs>
        <w:ind w:left="720" w:hanging="360"/>
      </w:pPr>
      <w:rPr>
        <w:rFonts w:ascii="Arial" w:hAnsi="Arial" w:hint="default"/>
      </w:rPr>
    </w:lvl>
    <w:lvl w:ilvl="1" w:tplc="4978F1DC">
      <w:start w:val="1154"/>
      <w:numFmt w:val="bullet"/>
      <w:lvlText w:val="–"/>
      <w:lvlJc w:val="left"/>
      <w:pPr>
        <w:tabs>
          <w:tab w:val="num" w:pos="1440"/>
        </w:tabs>
        <w:ind w:left="1440" w:hanging="360"/>
      </w:pPr>
      <w:rPr>
        <w:rFonts w:ascii="Arial" w:hAnsi="Arial" w:hint="default"/>
      </w:rPr>
    </w:lvl>
    <w:lvl w:ilvl="2" w:tplc="42E47550" w:tentative="1">
      <w:start w:val="1"/>
      <w:numFmt w:val="bullet"/>
      <w:lvlText w:val="•"/>
      <w:lvlJc w:val="left"/>
      <w:pPr>
        <w:tabs>
          <w:tab w:val="num" w:pos="2160"/>
        </w:tabs>
        <w:ind w:left="2160" w:hanging="360"/>
      </w:pPr>
      <w:rPr>
        <w:rFonts w:ascii="Arial" w:hAnsi="Arial" w:hint="default"/>
      </w:rPr>
    </w:lvl>
    <w:lvl w:ilvl="3" w:tplc="E2F0B0BA" w:tentative="1">
      <w:start w:val="1"/>
      <w:numFmt w:val="bullet"/>
      <w:lvlText w:val="•"/>
      <w:lvlJc w:val="left"/>
      <w:pPr>
        <w:tabs>
          <w:tab w:val="num" w:pos="2880"/>
        </w:tabs>
        <w:ind w:left="2880" w:hanging="360"/>
      </w:pPr>
      <w:rPr>
        <w:rFonts w:ascii="Arial" w:hAnsi="Arial" w:hint="default"/>
      </w:rPr>
    </w:lvl>
    <w:lvl w:ilvl="4" w:tplc="458093DC" w:tentative="1">
      <w:start w:val="1"/>
      <w:numFmt w:val="bullet"/>
      <w:lvlText w:val="•"/>
      <w:lvlJc w:val="left"/>
      <w:pPr>
        <w:tabs>
          <w:tab w:val="num" w:pos="3600"/>
        </w:tabs>
        <w:ind w:left="3600" w:hanging="360"/>
      </w:pPr>
      <w:rPr>
        <w:rFonts w:ascii="Arial" w:hAnsi="Arial" w:hint="default"/>
      </w:rPr>
    </w:lvl>
    <w:lvl w:ilvl="5" w:tplc="F8C690B2" w:tentative="1">
      <w:start w:val="1"/>
      <w:numFmt w:val="bullet"/>
      <w:lvlText w:val="•"/>
      <w:lvlJc w:val="left"/>
      <w:pPr>
        <w:tabs>
          <w:tab w:val="num" w:pos="4320"/>
        </w:tabs>
        <w:ind w:left="4320" w:hanging="360"/>
      </w:pPr>
      <w:rPr>
        <w:rFonts w:ascii="Arial" w:hAnsi="Arial" w:hint="default"/>
      </w:rPr>
    </w:lvl>
    <w:lvl w:ilvl="6" w:tplc="9000C51C" w:tentative="1">
      <w:start w:val="1"/>
      <w:numFmt w:val="bullet"/>
      <w:lvlText w:val="•"/>
      <w:lvlJc w:val="left"/>
      <w:pPr>
        <w:tabs>
          <w:tab w:val="num" w:pos="5040"/>
        </w:tabs>
        <w:ind w:left="5040" w:hanging="360"/>
      </w:pPr>
      <w:rPr>
        <w:rFonts w:ascii="Arial" w:hAnsi="Arial" w:hint="default"/>
      </w:rPr>
    </w:lvl>
    <w:lvl w:ilvl="7" w:tplc="52D2CA90" w:tentative="1">
      <w:start w:val="1"/>
      <w:numFmt w:val="bullet"/>
      <w:lvlText w:val="•"/>
      <w:lvlJc w:val="left"/>
      <w:pPr>
        <w:tabs>
          <w:tab w:val="num" w:pos="5760"/>
        </w:tabs>
        <w:ind w:left="5760" w:hanging="360"/>
      </w:pPr>
      <w:rPr>
        <w:rFonts w:ascii="Arial" w:hAnsi="Arial" w:hint="default"/>
      </w:rPr>
    </w:lvl>
    <w:lvl w:ilvl="8" w:tplc="85186A8E" w:tentative="1">
      <w:start w:val="1"/>
      <w:numFmt w:val="bullet"/>
      <w:lvlText w:val="•"/>
      <w:lvlJc w:val="left"/>
      <w:pPr>
        <w:tabs>
          <w:tab w:val="num" w:pos="6480"/>
        </w:tabs>
        <w:ind w:left="6480" w:hanging="360"/>
      </w:pPr>
      <w:rPr>
        <w:rFonts w:ascii="Arial" w:hAnsi="Arial" w:hint="default"/>
      </w:rPr>
    </w:lvl>
  </w:abstractNum>
  <w:abstractNum w:abstractNumId="22">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5">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2">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4">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5">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9">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26"/>
  </w:num>
  <w:num w:numId="3">
    <w:abstractNumId w:val="9"/>
  </w:num>
  <w:num w:numId="4">
    <w:abstractNumId w:val="13"/>
  </w:num>
  <w:num w:numId="5">
    <w:abstractNumId w:val="39"/>
  </w:num>
  <w:num w:numId="6">
    <w:abstractNumId w:val="30"/>
  </w:num>
  <w:num w:numId="7">
    <w:abstractNumId w:val="14"/>
  </w:num>
  <w:num w:numId="8">
    <w:abstractNumId w:val="36"/>
  </w:num>
  <w:num w:numId="9">
    <w:abstractNumId w:val="1"/>
  </w:num>
  <w:num w:numId="10">
    <w:abstractNumId w:val="4"/>
  </w:num>
  <w:num w:numId="11">
    <w:abstractNumId w:val="24"/>
  </w:num>
  <w:num w:numId="12">
    <w:abstractNumId w:val="5"/>
  </w:num>
  <w:num w:numId="13">
    <w:abstractNumId w:val="38"/>
  </w:num>
  <w:num w:numId="14">
    <w:abstractNumId w:val="23"/>
  </w:num>
  <w:num w:numId="15">
    <w:abstractNumId w:val="15"/>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5"/>
  </w:num>
  <w:num w:numId="21">
    <w:abstractNumId w:val="34"/>
  </w:num>
  <w:num w:numId="22">
    <w:abstractNumId w:val="33"/>
  </w:num>
  <w:num w:numId="23">
    <w:abstractNumId w:val="31"/>
  </w:num>
  <w:num w:numId="24">
    <w:abstractNumId w:val="37"/>
  </w:num>
  <w:num w:numId="25">
    <w:abstractNumId w:val="28"/>
  </w:num>
  <w:num w:numId="26">
    <w:abstractNumId w:val="12"/>
  </w:num>
  <w:num w:numId="27">
    <w:abstractNumId w:val="6"/>
  </w:num>
  <w:num w:numId="28">
    <w:abstractNumId w:val="16"/>
  </w:num>
  <w:num w:numId="29">
    <w:abstractNumId w:val="8"/>
  </w:num>
  <w:num w:numId="30">
    <w:abstractNumId w:val="29"/>
  </w:num>
  <w:num w:numId="31">
    <w:abstractNumId w:val="17"/>
  </w:num>
  <w:num w:numId="32">
    <w:abstractNumId w:val="32"/>
  </w:num>
  <w:num w:numId="33">
    <w:abstractNumId w:val="27"/>
  </w:num>
  <w:num w:numId="34">
    <w:abstractNumId w:val="0"/>
  </w:num>
  <w:num w:numId="35">
    <w:abstractNumId w:val="18"/>
  </w:num>
  <w:num w:numId="36">
    <w:abstractNumId w:val="40"/>
  </w:num>
  <w:num w:numId="37">
    <w:abstractNumId w:val="2"/>
  </w:num>
  <w:num w:numId="38">
    <w:abstractNumId w:val="22"/>
  </w:num>
  <w:num w:numId="39">
    <w:abstractNumId w:val="20"/>
  </w:num>
  <w:num w:numId="40">
    <w:abstractNumId w:val="35"/>
  </w:num>
  <w:num w:numId="41">
    <w:abstractNumId w:val="21"/>
  </w:num>
  <w:num w:numId="42">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67586"/>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B1A"/>
    <w:rsid w:val="00033C23"/>
    <w:rsid w:val="00033C3F"/>
    <w:rsid w:val="00034883"/>
    <w:rsid w:val="00035C1D"/>
    <w:rsid w:val="00035C25"/>
    <w:rsid w:val="00035F9F"/>
    <w:rsid w:val="00037CD8"/>
    <w:rsid w:val="00041615"/>
    <w:rsid w:val="00041BCF"/>
    <w:rsid w:val="00042922"/>
    <w:rsid w:val="0004336D"/>
    <w:rsid w:val="00045473"/>
    <w:rsid w:val="00050240"/>
    <w:rsid w:val="00050505"/>
    <w:rsid w:val="000507BC"/>
    <w:rsid w:val="00052E84"/>
    <w:rsid w:val="0005362A"/>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1101"/>
    <w:rsid w:val="000C1D79"/>
    <w:rsid w:val="000C218D"/>
    <w:rsid w:val="000C3301"/>
    <w:rsid w:val="000C3619"/>
    <w:rsid w:val="000C3CE0"/>
    <w:rsid w:val="000C4161"/>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515C"/>
    <w:rsid w:val="00186601"/>
    <w:rsid w:val="00190ECD"/>
    <w:rsid w:val="00191AB3"/>
    <w:rsid w:val="00195A43"/>
    <w:rsid w:val="00197283"/>
    <w:rsid w:val="00197C39"/>
    <w:rsid w:val="001A0789"/>
    <w:rsid w:val="001A1458"/>
    <w:rsid w:val="001A18F8"/>
    <w:rsid w:val="001A1AC8"/>
    <w:rsid w:val="001A20E8"/>
    <w:rsid w:val="001A27E3"/>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F2304"/>
    <w:rsid w:val="001F2986"/>
    <w:rsid w:val="001F2AB4"/>
    <w:rsid w:val="001F2B3E"/>
    <w:rsid w:val="001F345B"/>
    <w:rsid w:val="001F4298"/>
    <w:rsid w:val="001F5281"/>
    <w:rsid w:val="001F57FD"/>
    <w:rsid w:val="002004A0"/>
    <w:rsid w:val="00201667"/>
    <w:rsid w:val="00201A99"/>
    <w:rsid w:val="00201B9B"/>
    <w:rsid w:val="00202080"/>
    <w:rsid w:val="00202D93"/>
    <w:rsid w:val="00202F67"/>
    <w:rsid w:val="0020540C"/>
    <w:rsid w:val="00205DE8"/>
    <w:rsid w:val="002071C8"/>
    <w:rsid w:val="002100ED"/>
    <w:rsid w:val="00210BA8"/>
    <w:rsid w:val="00211655"/>
    <w:rsid w:val="00211B2E"/>
    <w:rsid w:val="002123E7"/>
    <w:rsid w:val="00212C1D"/>
    <w:rsid w:val="002147CD"/>
    <w:rsid w:val="002147E6"/>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41C61"/>
    <w:rsid w:val="00242B25"/>
    <w:rsid w:val="00243F93"/>
    <w:rsid w:val="00244076"/>
    <w:rsid w:val="002447CD"/>
    <w:rsid w:val="0024551E"/>
    <w:rsid w:val="00245EA1"/>
    <w:rsid w:val="00250F1B"/>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2925"/>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2F5"/>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549F"/>
    <w:rsid w:val="00306134"/>
    <w:rsid w:val="003062AA"/>
    <w:rsid w:val="00306EF6"/>
    <w:rsid w:val="00307799"/>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3E1"/>
    <w:rsid w:val="00360649"/>
    <w:rsid w:val="00362EB5"/>
    <w:rsid w:val="0036302E"/>
    <w:rsid w:val="00363271"/>
    <w:rsid w:val="00363451"/>
    <w:rsid w:val="003637E4"/>
    <w:rsid w:val="00363E5F"/>
    <w:rsid w:val="00366168"/>
    <w:rsid w:val="00366AB0"/>
    <w:rsid w:val="00367D15"/>
    <w:rsid w:val="003702C8"/>
    <w:rsid w:val="003707B6"/>
    <w:rsid w:val="00371571"/>
    <w:rsid w:val="00371942"/>
    <w:rsid w:val="00372404"/>
    <w:rsid w:val="00372CD1"/>
    <w:rsid w:val="003753AF"/>
    <w:rsid w:val="0037652E"/>
    <w:rsid w:val="003768D4"/>
    <w:rsid w:val="003808CB"/>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95CE8"/>
    <w:rsid w:val="003A0B40"/>
    <w:rsid w:val="003A1A03"/>
    <w:rsid w:val="003A2F6D"/>
    <w:rsid w:val="003A35DE"/>
    <w:rsid w:val="003A3BD7"/>
    <w:rsid w:val="003A41C2"/>
    <w:rsid w:val="003A47DA"/>
    <w:rsid w:val="003A6A3B"/>
    <w:rsid w:val="003A7426"/>
    <w:rsid w:val="003A787B"/>
    <w:rsid w:val="003B44E9"/>
    <w:rsid w:val="003B4680"/>
    <w:rsid w:val="003B4E1A"/>
    <w:rsid w:val="003B517B"/>
    <w:rsid w:val="003B534D"/>
    <w:rsid w:val="003B5C82"/>
    <w:rsid w:val="003B6C69"/>
    <w:rsid w:val="003B6D8C"/>
    <w:rsid w:val="003B7942"/>
    <w:rsid w:val="003B7F25"/>
    <w:rsid w:val="003C0A55"/>
    <w:rsid w:val="003C2D59"/>
    <w:rsid w:val="003C5336"/>
    <w:rsid w:val="003C5733"/>
    <w:rsid w:val="003C5941"/>
    <w:rsid w:val="003C66CF"/>
    <w:rsid w:val="003C699F"/>
    <w:rsid w:val="003D0D17"/>
    <w:rsid w:val="003D1733"/>
    <w:rsid w:val="003D21D0"/>
    <w:rsid w:val="003D3BFA"/>
    <w:rsid w:val="003D4D18"/>
    <w:rsid w:val="003D5746"/>
    <w:rsid w:val="003D5FF2"/>
    <w:rsid w:val="003D6861"/>
    <w:rsid w:val="003D719D"/>
    <w:rsid w:val="003E0DEF"/>
    <w:rsid w:val="003E1D3F"/>
    <w:rsid w:val="003E24B1"/>
    <w:rsid w:val="003E2542"/>
    <w:rsid w:val="003E352C"/>
    <w:rsid w:val="003E6457"/>
    <w:rsid w:val="003F01D8"/>
    <w:rsid w:val="003F029E"/>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257E"/>
    <w:rsid w:val="00402E3D"/>
    <w:rsid w:val="004030FA"/>
    <w:rsid w:val="0040372E"/>
    <w:rsid w:val="00403D7E"/>
    <w:rsid w:val="00404318"/>
    <w:rsid w:val="00404E13"/>
    <w:rsid w:val="00405485"/>
    <w:rsid w:val="00405821"/>
    <w:rsid w:val="00406E57"/>
    <w:rsid w:val="004074AB"/>
    <w:rsid w:val="004077B0"/>
    <w:rsid w:val="004102E3"/>
    <w:rsid w:val="00411108"/>
    <w:rsid w:val="00411790"/>
    <w:rsid w:val="00411D3B"/>
    <w:rsid w:val="0041258C"/>
    <w:rsid w:val="00412F6E"/>
    <w:rsid w:val="00414452"/>
    <w:rsid w:val="00414A8B"/>
    <w:rsid w:val="0041568E"/>
    <w:rsid w:val="004161F2"/>
    <w:rsid w:val="0041688D"/>
    <w:rsid w:val="00417B0C"/>
    <w:rsid w:val="004209BC"/>
    <w:rsid w:val="00420A4B"/>
    <w:rsid w:val="00420D70"/>
    <w:rsid w:val="00422DD0"/>
    <w:rsid w:val="004249DA"/>
    <w:rsid w:val="00424D5F"/>
    <w:rsid w:val="00425A97"/>
    <w:rsid w:val="00426218"/>
    <w:rsid w:val="00426283"/>
    <w:rsid w:val="004265D7"/>
    <w:rsid w:val="00426DAE"/>
    <w:rsid w:val="004276E2"/>
    <w:rsid w:val="004302DE"/>
    <w:rsid w:val="00432B48"/>
    <w:rsid w:val="00432E93"/>
    <w:rsid w:val="00433330"/>
    <w:rsid w:val="00434117"/>
    <w:rsid w:val="00434FE4"/>
    <w:rsid w:val="004366B7"/>
    <w:rsid w:val="00437474"/>
    <w:rsid w:val="0044023D"/>
    <w:rsid w:val="00440C49"/>
    <w:rsid w:val="00440ECB"/>
    <w:rsid w:val="00441792"/>
    <w:rsid w:val="0044267D"/>
    <w:rsid w:val="004428E3"/>
    <w:rsid w:val="00443B42"/>
    <w:rsid w:val="00443EC2"/>
    <w:rsid w:val="00444035"/>
    <w:rsid w:val="00446120"/>
    <w:rsid w:val="00446146"/>
    <w:rsid w:val="00447EE1"/>
    <w:rsid w:val="0045142E"/>
    <w:rsid w:val="00452088"/>
    <w:rsid w:val="00453757"/>
    <w:rsid w:val="00453B51"/>
    <w:rsid w:val="00456F15"/>
    <w:rsid w:val="0045744F"/>
    <w:rsid w:val="004600C1"/>
    <w:rsid w:val="00460478"/>
    <w:rsid w:val="00462388"/>
    <w:rsid w:val="00463B01"/>
    <w:rsid w:val="0046495E"/>
    <w:rsid w:val="00465659"/>
    <w:rsid w:val="004670E9"/>
    <w:rsid w:val="00467A25"/>
    <w:rsid w:val="00473A64"/>
    <w:rsid w:val="00473D5F"/>
    <w:rsid w:val="004750C5"/>
    <w:rsid w:val="00475349"/>
    <w:rsid w:val="004754D6"/>
    <w:rsid w:val="004759FF"/>
    <w:rsid w:val="00476447"/>
    <w:rsid w:val="00480883"/>
    <w:rsid w:val="0048184D"/>
    <w:rsid w:val="00481A4C"/>
    <w:rsid w:val="004832D4"/>
    <w:rsid w:val="00483520"/>
    <w:rsid w:val="00483785"/>
    <w:rsid w:val="00484226"/>
    <w:rsid w:val="00485175"/>
    <w:rsid w:val="004852F2"/>
    <w:rsid w:val="004867A0"/>
    <w:rsid w:val="00487AE1"/>
    <w:rsid w:val="0049008E"/>
    <w:rsid w:val="00491267"/>
    <w:rsid w:val="00492BFD"/>
    <w:rsid w:val="00493143"/>
    <w:rsid w:val="00493E88"/>
    <w:rsid w:val="00494422"/>
    <w:rsid w:val="00495FB1"/>
    <w:rsid w:val="00497399"/>
    <w:rsid w:val="00497B96"/>
    <w:rsid w:val="004A0E4C"/>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3272"/>
    <w:rsid w:val="004C4E20"/>
    <w:rsid w:val="004C501A"/>
    <w:rsid w:val="004C5A47"/>
    <w:rsid w:val="004C62DB"/>
    <w:rsid w:val="004C64A7"/>
    <w:rsid w:val="004C68D6"/>
    <w:rsid w:val="004D01C9"/>
    <w:rsid w:val="004D0EFE"/>
    <w:rsid w:val="004D1A68"/>
    <w:rsid w:val="004D2FCA"/>
    <w:rsid w:val="004D44FA"/>
    <w:rsid w:val="004D4697"/>
    <w:rsid w:val="004D4C80"/>
    <w:rsid w:val="004D5171"/>
    <w:rsid w:val="004D530C"/>
    <w:rsid w:val="004D5572"/>
    <w:rsid w:val="004D5B8B"/>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577"/>
    <w:rsid w:val="005135F6"/>
    <w:rsid w:val="00515145"/>
    <w:rsid w:val="00515B99"/>
    <w:rsid w:val="005164E1"/>
    <w:rsid w:val="005168B8"/>
    <w:rsid w:val="00517FE7"/>
    <w:rsid w:val="0052024B"/>
    <w:rsid w:val="0052080F"/>
    <w:rsid w:val="00520F15"/>
    <w:rsid w:val="00522CD8"/>
    <w:rsid w:val="00522FC6"/>
    <w:rsid w:val="005235A4"/>
    <w:rsid w:val="00527199"/>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60D2"/>
    <w:rsid w:val="00617475"/>
    <w:rsid w:val="00617D9F"/>
    <w:rsid w:val="00617F12"/>
    <w:rsid w:val="00620589"/>
    <w:rsid w:val="00622FC7"/>
    <w:rsid w:val="0062402C"/>
    <w:rsid w:val="006244D9"/>
    <w:rsid w:val="00624643"/>
    <w:rsid w:val="00624E47"/>
    <w:rsid w:val="006272CA"/>
    <w:rsid w:val="00627376"/>
    <w:rsid w:val="00627E79"/>
    <w:rsid w:val="006308EB"/>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3CE2"/>
    <w:rsid w:val="006540FE"/>
    <w:rsid w:val="00654A49"/>
    <w:rsid w:val="00656C8D"/>
    <w:rsid w:val="0065730F"/>
    <w:rsid w:val="006574A8"/>
    <w:rsid w:val="00660523"/>
    <w:rsid w:val="00660975"/>
    <w:rsid w:val="00660C9C"/>
    <w:rsid w:val="006611C8"/>
    <w:rsid w:val="006630DA"/>
    <w:rsid w:val="006634F5"/>
    <w:rsid w:val="00663912"/>
    <w:rsid w:val="00663E14"/>
    <w:rsid w:val="006653D4"/>
    <w:rsid w:val="00665542"/>
    <w:rsid w:val="00666371"/>
    <w:rsid w:val="00666972"/>
    <w:rsid w:val="00667474"/>
    <w:rsid w:val="00667747"/>
    <w:rsid w:val="006701B5"/>
    <w:rsid w:val="006709B2"/>
    <w:rsid w:val="00670D9A"/>
    <w:rsid w:val="00671398"/>
    <w:rsid w:val="00672002"/>
    <w:rsid w:val="00673FCF"/>
    <w:rsid w:val="00675144"/>
    <w:rsid w:val="00675596"/>
    <w:rsid w:val="00675D89"/>
    <w:rsid w:val="0067617F"/>
    <w:rsid w:val="00676D8E"/>
    <w:rsid w:val="00676E34"/>
    <w:rsid w:val="006778E4"/>
    <w:rsid w:val="006809D1"/>
    <w:rsid w:val="006843CB"/>
    <w:rsid w:val="00684739"/>
    <w:rsid w:val="00684B7E"/>
    <w:rsid w:val="00690159"/>
    <w:rsid w:val="00690C00"/>
    <w:rsid w:val="00690F38"/>
    <w:rsid w:val="006920B2"/>
    <w:rsid w:val="006920C0"/>
    <w:rsid w:val="00695603"/>
    <w:rsid w:val="00696005"/>
    <w:rsid w:val="00696BCC"/>
    <w:rsid w:val="006A139F"/>
    <w:rsid w:val="006A14FA"/>
    <w:rsid w:val="006A1AE4"/>
    <w:rsid w:val="006A2458"/>
    <w:rsid w:val="006A3388"/>
    <w:rsid w:val="006A38C4"/>
    <w:rsid w:val="006A4AB0"/>
    <w:rsid w:val="006A5F17"/>
    <w:rsid w:val="006A620D"/>
    <w:rsid w:val="006A70B6"/>
    <w:rsid w:val="006A74BE"/>
    <w:rsid w:val="006A7A9F"/>
    <w:rsid w:val="006B568E"/>
    <w:rsid w:val="006B6950"/>
    <w:rsid w:val="006B6A9D"/>
    <w:rsid w:val="006B7B14"/>
    <w:rsid w:val="006B7B55"/>
    <w:rsid w:val="006C092A"/>
    <w:rsid w:val="006C2405"/>
    <w:rsid w:val="006C44AE"/>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6F700E"/>
    <w:rsid w:val="007022A4"/>
    <w:rsid w:val="007038A7"/>
    <w:rsid w:val="00707DC2"/>
    <w:rsid w:val="007104F6"/>
    <w:rsid w:val="007106F8"/>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50"/>
    <w:rsid w:val="0076728F"/>
    <w:rsid w:val="007676CF"/>
    <w:rsid w:val="00770317"/>
    <w:rsid w:val="00770C06"/>
    <w:rsid w:val="00770F1F"/>
    <w:rsid w:val="007720AF"/>
    <w:rsid w:val="0077293A"/>
    <w:rsid w:val="007729C6"/>
    <w:rsid w:val="00773643"/>
    <w:rsid w:val="00773CCE"/>
    <w:rsid w:val="00773CE7"/>
    <w:rsid w:val="0077488E"/>
    <w:rsid w:val="007758BB"/>
    <w:rsid w:val="00776735"/>
    <w:rsid w:val="00776D50"/>
    <w:rsid w:val="00777484"/>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26F"/>
    <w:rsid w:val="00793F87"/>
    <w:rsid w:val="0079431F"/>
    <w:rsid w:val="00795111"/>
    <w:rsid w:val="0079522D"/>
    <w:rsid w:val="0079572D"/>
    <w:rsid w:val="007959D1"/>
    <w:rsid w:val="007A0C56"/>
    <w:rsid w:val="007A0F5B"/>
    <w:rsid w:val="007A149A"/>
    <w:rsid w:val="007A4AED"/>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19C"/>
    <w:rsid w:val="007E24C9"/>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23DA"/>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A79"/>
    <w:rsid w:val="008409CE"/>
    <w:rsid w:val="00841CFF"/>
    <w:rsid w:val="00841E23"/>
    <w:rsid w:val="0084268A"/>
    <w:rsid w:val="008432AF"/>
    <w:rsid w:val="00844251"/>
    <w:rsid w:val="0084446C"/>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5918"/>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6C3A"/>
    <w:rsid w:val="00897047"/>
    <w:rsid w:val="008A02E0"/>
    <w:rsid w:val="008A111B"/>
    <w:rsid w:val="008A2055"/>
    <w:rsid w:val="008A2720"/>
    <w:rsid w:val="008A2BA9"/>
    <w:rsid w:val="008A2FC3"/>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190"/>
    <w:rsid w:val="00916F52"/>
    <w:rsid w:val="00917245"/>
    <w:rsid w:val="00917FF9"/>
    <w:rsid w:val="00920EAB"/>
    <w:rsid w:val="00921075"/>
    <w:rsid w:val="00922FED"/>
    <w:rsid w:val="0092371D"/>
    <w:rsid w:val="009268B1"/>
    <w:rsid w:val="00927C4A"/>
    <w:rsid w:val="00930672"/>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81788"/>
    <w:rsid w:val="009821C5"/>
    <w:rsid w:val="0098230C"/>
    <w:rsid w:val="0098256C"/>
    <w:rsid w:val="0098258D"/>
    <w:rsid w:val="00983701"/>
    <w:rsid w:val="0098462F"/>
    <w:rsid w:val="00985C2B"/>
    <w:rsid w:val="00986B2B"/>
    <w:rsid w:val="00987553"/>
    <w:rsid w:val="00987B45"/>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4E6C"/>
    <w:rsid w:val="009C67B2"/>
    <w:rsid w:val="009C6900"/>
    <w:rsid w:val="009C6A12"/>
    <w:rsid w:val="009C6C50"/>
    <w:rsid w:val="009C6E0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4998"/>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4081"/>
    <w:rsid w:val="00A1436C"/>
    <w:rsid w:val="00A14DFD"/>
    <w:rsid w:val="00A1638E"/>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399"/>
    <w:rsid w:val="00A722E5"/>
    <w:rsid w:val="00A7239B"/>
    <w:rsid w:val="00A7255C"/>
    <w:rsid w:val="00A73E87"/>
    <w:rsid w:val="00A744CF"/>
    <w:rsid w:val="00A766F9"/>
    <w:rsid w:val="00A767F1"/>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33E2"/>
    <w:rsid w:val="00AD45B1"/>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3856"/>
    <w:rsid w:val="00B03C78"/>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30BF"/>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4727C"/>
    <w:rsid w:val="00B50DD4"/>
    <w:rsid w:val="00B522FC"/>
    <w:rsid w:val="00B531E5"/>
    <w:rsid w:val="00B53297"/>
    <w:rsid w:val="00B54648"/>
    <w:rsid w:val="00B546C4"/>
    <w:rsid w:val="00B559B2"/>
    <w:rsid w:val="00B55A86"/>
    <w:rsid w:val="00B575FD"/>
    <w:rsid w:val="00B57AD3"/>
    <w:rsid w:val="00B60B43"/>
    <w:rsid w:val="00B6161B"/>
    <w:rsid w:val="00B62896"/>
    <w:rsid w:val="00B62B09"/>
    <w:rsid w:val="00B62C7F"/>
    <w:rsid w:val="00B63595"/>
    <w:rsid w:val="00B642F9"/>
    <w:rsid w:val="00B65096"/>
    <w:rsid w:val="00B659A8"/>
    <w:rsid w:val="00B65AAC"/>
    <w:rsid w:val="00B65BDE"/>
    <w:rsid w:val="00B65F00"/>
    <w:rsid w:val="00B66704"/>
    <w:rsid w:val="00B66DB1"/>
    <w:rsid w:val="00B72286"/>
    <w:rsid w:val="00B72708"/>
    <w:rsid w:val="00B74E6D"/>
    <w:rsid w:val="00B760DF"/>
    <w:rsid w:val="00B76F8D"/>
    <w:rsid w:val="00B81164"/>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07C46"/>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E6B"/>
    <w:rsid w:val="00C763A6"/>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23EE"/>
    <w:rsid w:val="00D32C54"/>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05A0"/>
    <w:rsid w:val="00D61B78"/>
    <w:rsid w:val="00D632A5"/>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653"/>
    <w:rsid w:val="00D82B84"/>
    <w:rsid w:val="00D846D5"/>
    <w:rsid w:val="00D85AD0"/>
    <w:rsid w:val="00D861A3"/>
    <w:rsid w:val="00D86E91"/>
    <w:rsid w:val="00D87374"/>
    <w:rsid w:val="00D87E90"/>
    <w:rsid w:val="00D912CC"/>
    <w:rsid w:val="00D91A45"/>
    <w:rsid w:val="00D91C8C"/>
    <w:rsid w:val="00D924B8"/>
    <w:rsid w:val="00D92A40"/>
    <w:rsid w:val="00D92CAF"/>
    <w:rsid w:val="00D92CD0"/>
    <w:rsid w:val="00D92E7E"/>
    <w:rsid w:val="00D931BA"/>
    <w:rsid w:val="00D93BEF"/>
    <w:rsid w:val="00D94FCC"/>
    <w:rsid w:val="00D95340"/>
    <w:rsid w:val="00D95855"/>
    <w:rsid w:val="00DA14FA"/>
    <w:rsid w:val="00DA1ED6"/>
    <w:rsid w:val="00DA2DCC"/>
    <w:rsid w:val="00DA3930"/>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2CD5"/>
    <w:rsid w:val="00DC364C"/>
    <w:rsid w:val="00DC3BE9"/>
    <w:rsid w:val="00DC5B31"/>
    <w:rsid w:val="00DC5D55"/>
    <w:rsid w:val="00DC6D2F"/>
    <w:rsid w:val="00DC7723"/>
    <w:rsid w:val="00DC7785"/>
    <w:rsid w:val="00DD0641"/>
    <w:rsid w:val="00DD1A3E"/>
    <w:rsid w:val="00DD273B"/>
    <w:rsid w:val="00DD40FE"/>
    <w:rsid w:val="00DD6A1D"/>
    <w:rsid w:val="00DE05B6"/>
    <w:rsid w:val="00DE143B"/>
    <w:rsid w:val="00DE1BC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22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1093"/>
    <w:rsid w:val="00E5412E"/>
    <w:rsid w:val="00E55DE9"/>
    <w:rsid w:val="00E60BF9"/>
    <w:rsid w:val="00E61FC0"/>
    <w:rsid w:val="00E62118"/>
    <w:rsid w:val="00E62296"/>
    <w:rsid w:val="00E62DD1"/>
    <w:rsid w:val="00E637B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8F1"/>
    <w:rsid w:val="00EC539B"/>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592F"/>
    <w:rsid w:val="00EF5FEB"/>
    <w:rsid w:val="00EF6360"/>
    <w:rsid w:val="00EF7888"/>
    <w:rsid w:val="00F01BF9"/>
    <w:rsid w:val="00F02659"/>
    <w:rsid w:val="00F02778"/>
    <w:rsid w:val="00F02A0F"/>
    <w:rsid w:val="00F02D58"/>
    <w:rsid w:val="00F0301C"/>
    <w:rsid w:val="00F03DEE"/>
    <w:rsid w:val="00F03F9D"/>
    <w:rsid w:val="00F06BD9"/>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60C"/>
    <w:rsid w:val="00F35920"/>
    <w:rsid w:val="00F3671C"/>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276A"/>
    <w:rsid w:val="00FF385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2607623">
      <w:bodyDiv w:val="1"/>
      <w:marLeft w:val="0"/>
      <w:marRight w:val="0"/>
      <w:marTop w:val="0"/>
      <w:marBottom w:val="0"/>
      <w:divBdr>
        <w:top w:val="none" w:sz="0" w:space="0" w:color="auto"/>
        <w:left w:val="none" w:sz="0" w:space="0" w:color="auto"/>
        <w:bottom w:val="none" w:sz="0" w:space="0" w:color="auto"/>
        <w:right w:val="none" w:sz="0" w:space="0" w:color="auto"/>
      </w:divBdr>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rakesh\AppData\Local\Documents\LTE-A\3GPP&#36164;&#26009;\RAN1\RAN1%2384bis\tdocs\R1-16361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4403</CharactersWithSpaces>
  <SharedDoc>false</SharedDoc>
  <HLinks>
    <vt:vector size="6" baseType="variant">
      <vt:variant>
        <vt:i4>-1923324449</vt:i4>
      </vt:variant>
      <vt:variant>
        <vt:i4>0</vt:i4>
      </vt:variant>
      <vt:variant>
        <vt:i4>0</vt:i4>
      </vt:variant>
      <vt:variant>
        <vt:i4>5</vt:i4>
      </vt:variant>
      <vt:variant>
        <vt:lpwstr>../../../../../Documents/LTE-A/3GPP资料/RAN1/RAN1%2384bis/tdocs/R1-163617.zip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4</cp:revision>
  <cp:lastPrinted>2007-08-27T13:45:00Z</cp:lastPrinted>
  <dcterms:created xsi:type="dcterms:W3CDTF">2016-05-13T02:34:00Z</dcterms:created>
  <dcterms:modified xsi:type="dcterms:W3CDTF">2016-05-13T02:38:00Z</dcterms:modified>
</cp:coreProperties>
</file>