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481BEF" w:rsidRDefault="00AA4A5D" w:rsidP="00794CA8">
      <w:pPr>
        <w:pStyle w:val="Header"/>
        <w:tabs>
          <w:tab w:val="clear" w:pos="4320"/>
          <w:tab w:val="clear" w:pos="8640"/>
          <w:tab w:val="right" w:pos="9072"/>
        </w:tabs>
        <w:rPr>
          <w:rFonts w:cs="Arial"/>
          <w:b/>
          <w:bCs/>
          <w:sz w:val="22"/>
          <w:szCs w:val="22"/>
          <w:lang w:val="en-AU"/>
        </w:rPr>
      </w:pPr>
      <w:r w:rsidRPr="00481BEF">
        <w:rPr>
          <w:rFonts w:ascii="Arial" w:hAnsi="Arial" w:cs="Arial"/>
          <w:b/>
          <w:bCs/>
          <w:sz w:val="22"/>
          <w:szCs w:val="22"/>
          <w:lang w:val="en-AU"/>
        </w:rPr>
        <w:t>3GPP TSG RAN</w:t>
      </w:r>
      <w:r w:rsidR="008773C7">
        <w:rPr>
          <w:rFonts w:ascii="Arial" w:hAnsi="Arial" w:cs="Arial"/>
          <w:b/>
          <w:bCs/>
          <w:sz w:val="22"/>
          <w:szCs w:val="22"/>
          <w:lang w:val="en-AU"/>
        </w:rPr>
        <w:t xml:space="preserve"> WG1 Meeting #80bis</w:t>
      </w:r>
      <w:r w:rsidRPr="00481BEF">
        <w:rPr>
          <w:rFonts w:ascii="Arial" w:hAnsi="Arial" w:cs="Arial"/>
          <w:b/>
          <w:bCs/>
          <w:sz w:val="22"/>
          <w:szCs w:val="22"/>
          <w:lang w:val="en-AU"/>
        </w:rPr>
        <w:tab/>
      </w:r>
      <w:r w:rsidRPr="00481BEF">
        <w:rPr>
          <w:rFonts w:ascii="Arial" w:hAnsi="Arial" w:cs="Arial"/>
          <w:b/>
          <w:bCs/>
          <w:sz w:val="22"/>
          <w:lang w:val="en-AU"/>
        </w:rPr>
        <w:t>R</w:t>
      </w:r>
      <w:r w:rsidR="008773C7">
        <w:rPr>
          <w:rFonts w:ascii="Arial" w:hAnsi="Arial" w:cs="Arial"/>
          <w:b/>
          <w:bCs/>
          <w:sz w:val="22"/>
          <w:lang w:val="en-AU"/>
        </w:rPr>
        <w:t>1</w:t>
      </w:r>
      <w:r w:rsidRPr="00481BEF">
        <w:rPr>
          <w:rFonts w:ascii="Arial" w:hAnsi="Arial" w:cs="Arial"/>
          <w:b/>
          <w:bCs/>
          <w:sz w:val="22"/>
          <w:lang w:val="en-AU"/>
        </w:rPr>
        <w:t>-1</w:t>
      </w:r>
      <w:r w:rsidR="008773C7">
        <w:rPr>
          <w:rFonts w:ascii="Arial" w:hAnsi="Arial" w:cs="Arial"/>
          <w:b/>
          <w:bCs/>
          <w:sz w:val="22"/>
          <w:lang w:val="en-AU"/>
        </w:rPr>
        <w:t>5</w:t>
      </w:r>
      <w:r w:rsidR="007E4668">
        <w:rPr>
          <w:rFonts w:ascii="Arial" w:hAnsi="Arial" w:cs="Arial"/>
          <w:b/>
          <w:bCs/>
          <w:sz w:val="22"/>
          <w:lang w:val="en-AU"/>
        </w:rPr>
        <w:t>1561</w:t>
      </w:r>
    </w:p>
    <w:p w:rsidR="00AA4A5D" w:rsidRPr="00481BEF" w:rsidRDefault="008773C7" w:rsidP="00AA4A5D">
      <w:pPr>
        <w:pStyle w:val="Header"/>
        <w:rPr>
          <w:rFonts w:ascii="Arial" w:hAnsi="Arial" w:cs="Arial"/>
          <w:b/>
          <w:bCs/>
          <w:sz w:val="22"/>
          <w:szCs w:val="22"/>
          <w:lang w:val="en-AU"/>
        </w:rPr>
      </w:pPr>
      <w:r>
        <w:rPr>
          <w:rFonts w:ascii="Arial" w:hAnsi="Arial" w:cs="Arial"/>
          <w:b/>
          <w:bCs/>
          <w:sz w:val="22"/>
          <w:szCs w:val="22"/>
          <w:lang w:val="en-AU"/>
        </w:rPr>
        <w:t xml:space="preserve">Belgrade, SERBIA, 20 – </w:t>
      </w:r>
      <w:r w:rsidR="00AA4A5D" w:rsidRPr="00481BEF">
        <w:rPr>
          <w:rFonts w:ascii="Arial" w:hAnsi="Arial" w:cs="Arial"/>
          <w:b/>
          <w:bCs/>
          <w:sz w:val="22"/>
          <w:szCs w:val="22"/>
          <w:lang w:val="en-AU"/>
        </w:rPr>
        <w:t>2</w:t>
      </w:r>
      <w:r>
        <w:rPr>
          <w:rFonts w:ascii="Arial" w:hAnsi="Arial" w:cs="Arial"/>
          <w:b/>
          <w:bCs/>
          <w:sz w:val="22"/>
          <w:szCs w:val="22"/>
          <w:lang w:val="en-AU"/>
        </w:rPr>
        <w:t>4</w:t>
      </w:r>
      <w:r w:rsidR="00AA4A5D" w:rsidRPr="00481BEF">
        <w:rPr>
          <w:rFonts w:ascii="Arial" w:hAnsi="Arial" w:cs="Arial"/>
          <w:b/>
          <w:bCs/>
          <w:sz w:val="22"/>
          <w:szCs w:val="22"/>
          <w:lang w:val="en-AU"/>
        </w:rPr>
        <w:t xml:space="preserve"> </w:t>
      </w:r>
      <w:r>
        <w:rPr>
          <w:rFonts w:ascii="Arial" w:hAnsi="Arial" w:cs="Arial"/>
          <w:b/>
          <w:bCs/>
          <w:sz w:val="22"/>
          <w:szCs w:val="22"/>
          <w:lang w:val="en-AU"/>
        </w:rPr>
        <w:t>April</w:t>
      </w:r>
      <w:r w:rsidR="00AA4A5D" w:rsidRPr="00481BEF">
        <w:rPr>
          <w:rFonts w:ascii="Arial" w:hAnsi="Arial" w:cs="Arial"/>
          <w:b/>
          <w:bCs/>
          <w:sz w:val="22"/>
          <w:szCs w:val="22"/>
          <w:lang w:val="en-AU"/>
        </w:rPr>
        <w:t xml:space="preserve"> 2015</w:t>
      </w:r>
    </w:p>
    <w:p w:rsidR="00AA4A5D" w:rsidRPr="00481BEF" w:rsidRDefault="00AA4A5D" w:rsidP="00AA4A5D">
      <w:pPr>
        <w:pStyle w:val="Header"/>
        <w:rPr>
          <w:b/>
          <w:bCs/>
          <w:lang w:val="en-AU"/>
        </w:rPr>
      </w:pPr>
    </w:p>
    <w:p w:rsidR="00AA4A5D" w:rsidRPr="00481BEF" w:rsidRDefault="00AA4A5D" w:rsidP="00AA4A5D">
      <w:pPr>
        <w:tabs>
          <w:tab w:val="left" w:pos="1820"/>
        </w:tabs>
        <w:spacing w:after="60"/>
        <w:jc w:val="both"/>
        <w:rPr>
          <w:rFonts w:ascii="Arial" w:hAnsi="Arial" w:cs="Arial"/>
          <w:b/>
          <w:bCs/>
          <w:lang w:val="en-AU"/>
        </w:rPr>
      </w:pPr>
      <w:r w:rsidRPr="00481BEF">
        <w:rPr>
          <w:rFonts w:ascii="Arial" w:hAnsi="Arial" w:cs="Arial"/>
          <w:b/>
          <w:lang w:val="en-AU"/>
        </w:rPr>
        <w:t>Agenda Item:</w:t>
      </w:r>
      <w:r w:rsidR="008773C7">
        <w:rPr>
          <w:rFonts w:ascii="Arial" w:hAnsi="Arial" w:cs="Arial"/>
          <w:b/>
          <w:bCs/>
          <w:lang w:val="en-AU"/>
        </w:rPr>
        <w:tab/>
      </w:r>
      <w:r w:rsidR="00254EFA">
        <w:rPr>
          <w:rFonts w:ascii="Arial" w:hAnsi="Arial" w:cs="Arial"/>
          <w:b/>
          <w:bCs/>
          <w:lang w:val="en-AU"/>
        </w:rPr>
        <w:t>7.2.1</w:t>
      </w:r>
      <w:r w:rsidR="00536CEE">
        <w:rPr>
          <w:rFonts w:ascii="Arial" w:hAnsi="Arial" w:cs="Arial"/>
          <w:b/>
          <w:bCs/>
          <w:lang w:val="en-AU"/>
        </w:rPr>
        <w:t>.1</w:t>
      </w:r>
    </w:p>
    <w:p w:rsidR="00AA4A5D" w:rsidRPr="00481BEF" w:rsidRDefault="00AA4A5D" w:rsidP="00AA4A5D">
      <w:pPr>
        <w:tabs>
          <w:tab w:val="left" w:pos="1820"/>
        </w:tabs>
        <w:spacing w:after="60"/>
        <w:jc w:val="both"/>
        <w:rPr>
          <w:rFonts w:ascii="Arial" w:hAnsi="Arial" w:cs="Arial"/>
          <w:b/>
          <w:bCs/>
          <w:lang w:val="en-AU"/>
        </w:rPr>
      </w:pPr>
      <w:r w:rsidRPr="00481BEF">
        <w:rPr>
          <w:rFonts w:ascii="Arial" w:hAnsi="Arial" w:cs="Arial"/>
          <w:b/>
          <w:lang w:val="en-AU"/>
        </w:rPr>
        <w:t>Source:</w:t>
      </w:r>
      <w:r w:rsidRPr="00481BEF">
        <w:rPr>
          <w:rFonts w:ascii="Arial" w:hAnsi="Arial" w:cs="Arial"/>
          <w:b/>
          <w:bCs/>
          <w:lang w:val="en-AU"/>
        </w:rPr>
        <w:t xml:space="preserve"> </w:t>
      </w:r>
      <w:r w:rsidRPr="00481BEF">
        <w:rPr>
          <w:rFonts w:ascii="Arial" w:hAnsi="Arial" w:cs="Arial"/>
          <w:b/>
          <w:bCs/>
          <w:lang w:val="en-AU"/>
        </w:rPr>
        <w:tab/>
        <w:t>NEC</w:t>
      </w:r>
    </w:p>
    <w:p w:rsidR="00AA4A5D" w:rsidRDefault="00AA4A5D" w:rsidP="00AA4A5D">
      <w:pPr>
        <w:tabs>
          <w:tab w:val="left" w:pos="1820"/>
        </w:tabs>
        <w:spacing w:after="60"/>
        <w:ind w:left="1820" w:hanging="1820"/>
        <w:rPr>
          <w:rFonts w:ascii="Arial" w:hAnsi="Arial" w:cs="Arial"/>
          <w:b/>
          <w:bCs/>
          <w:lang w:val="en-AU"/>
        </w:rPr>
      </w:pPr>
      <w:r w:rsidRPr="00481BEF">
        <w:rPr>
          <w:rFonts w:ascii="Arial" w:hAnsi="Arial" w:cs="Arial"/>
          <w:b/>
          <w:lang w:val="en-AU"/>
        </w:rPr>
        <w:t>Title:</w:t>
      </w:r>
      <w:r w:rsidRPr="00481BEF">
        <w:rPr>
          <w:rFonts w:ascii="Arial" w:hAnsi="Arial" w:cs="Arial"/>
          <w:b/>
          <w:bCs/>
          <w:lang w:val="en-AU"/>
        </w:rPr>
        <w:tab/>
      </w:r>
      <w:r w:rsidR="0097360E">
        <w:rPr>
          <w:rFonts w:ascii="Arial" w:hAnsi="Arial" w:cs="Arial"/>
          <w:b/>
          <w:bCs/>
          <w:lang w:val="en-AU"/>
        </w:rPr>
        <w:t xml:space="preserve">Physical downlink control channel for </w:t>
      </w:r>
      <w:r w:rsidR="007B0AE3">
        <w:rPr>
          <w:rFonts w:ascii="Arial" w:hAnsi="Arial" w:cs="Arial"/>
          <w:b/>
          <w:bCs/>
          <w:lang w:val="en-AU"/>
        </w:rPr>
        <w:t xml:space="preserve">enhanced coverage </w:t>
      </w:r>
      <w:r w:rsidR="0097360E">
        <w:rPr>
          <w:rFonts w:ascii="Arial" w:hAnsi="Arial" w:cs="Arial"/>
          <w:b/>
          <w:bCs/>
          <w:lang w:val="en-AU"/>
        </w:rPr>
        <w:t>MTC</w:t>
      </w:r>
      <w:r w:rsidR="00254EFA">
        <w:rPr>
          <w:rFonts w:ascii="Arial" w:hAnsi="Arial" w:cs="Arial"/>
          <w:b/>
          <w:bCs/>
          <w:lang w:val="en-AU"/>
        </w:rPr>
        <w:t xml:space="preserve"> </w:t>
      </w:r>
      <w:r w:rsidR="00F75A4A">
        <w:rPr>
          <w:rFonts w:ascii="Arial" w:hAnsi="Arial" w:cs="Arial"/>
          <w:b/>
          <w:bCs/>
          <w:lang w:val="en-AU"/>
        </w:rPr>
        <w:t>UEs</w:t>
      </w:r>
    </w:p>
    <w:p w:rsidR="00AA4A5D" w:rsidRPr="00481BEF" w:rsidRDefault="00AA4A5D" w:rsidP="00AA4A5D">
      <w:pPr>
        <w:pBdr>
          <w:bottom w:val="single" w:sz="6" w:space="7" w:color="auto"/>
        </w:pBdr>
        <w:tabs>
          <w:tab w:val="left" w:pos="1820"/>
        </w:tabs>
        <w:jc w:val="both"/>
        <w:rPr>
          <w:rFonts w:ascii="Arial" w:eastAsia="MS Mincho" w:hAnsi="Arial" w:cs="Arial"/>
          <w:b/>
          <w:bCs/>
          <w:lang w:val="en-AU" w:eastAsia="ja-JP"/>
        </w:rPr>
      </w:pPr>
      <w:r w:rsidRPr="00481BEF">
        <w:rPr>
          <w:rFonts w:ascii="Arial" w:hAnsi="Arial" w:cs="Arial"/>
          <w:b/>
          <w:lang w:val="en-AU"/>
        </w:rPr>
        <w:t>Document for:</w:t>
      </w:r>
      <w:r w:rsidRPr="00481BEF">
        <w:rPr>
          <w:rFonts w:ascii="Arial" w:hAnsi="Arial" w:cs="Arial"/>
          <w:b/>
          <w:bCs/>
          <w:lang w:val="en-AU"/>
        </w:rPr>
        <w:tab/>
      </w:r>
      <w:r w:rsidR="00907F18">
        <w:rPr>
          <w:rFonts w:ascii="Arial" w:hAnsi="Arial" w:cs="Arial"/>
          <w:b/>
          <w:bCs/>
          <w:lang w:val="en-AU"/>
        </w:rPr>
        <w:t>Discussion</w:t>
      </w:r>
      <w:r w:rsidR="008773C7">
        <w:rPr>
          <w:rFonts w:ascii="Arial" w:hAnsi="Arial" w:cs="Arial"/>
          <w:b/>
          <w:bCs/>
          <w:lang w:val="en-AU"/>
        </w:rPr>
        <w:t>/Decision</w:t>
      </w:r>
    </w:p>
    <w:p w:rsidR="00AA4A5D" w:rsidRDefault="00AA4A5D" w:rsidP="00AA4A5D">
      <w:pPr>
        <w:pStyle w:val="Heading1"/>
        <w:spacing w:after="120"/>
        <w:jc w:val="both"/>
        <w:rPr>
          <w:bCs w:val="0"/>
          <w:sz w:val="22"/>
          <w:szCs w:val="22"/>
          <w:lang w:val="en-AU"/>
        </w:rPr>
      </w:pPr>
      <w:r w:rsidRPr="00481BEF">
        <w:rPr>
          <w:bCs w:val="0"/>
          <w:sz w:val="22"/>
          <w:szCs w:val="22"/>
          <w:lang w:val="en-AU"/>
        </w:rPr>
        <w:t>Introduction</w:t>
      </w:r>
    </w:p>
    <w:p w:rsidR="00EA31DD" w:rsidRDefault="003A0F58" w:rsidP="00EA31DD">
      <w:pPr>
        <w:spacing w:after="120"/>
        <w:jc w:val="both"/>
        <w:rPr>
          <w:bCs/>
          <w:sz w:val="22"/>
          <w:szCs w:val="22"/>
          <w:lang w:val="en-AU" w:eastAsia="en-AU"/>
        </w:rPr>
      </w:pPr>
      <w:r>
        <w:rPr>
          <w:bCs/>
          <w:sz w:val="22"/>
          <w:szCs w:val="22"/>
          <w:lang w:val="en-AU" w:eastAsia="en-AU"/>
        </w:rPr>
        <w:t>During MTC work item phase in Rel-13, the following agreements/working assumptions have so far been made regarding MTC UEs in enhanced coverage mode:</w:t>
      </w:r>
    </w:p>
    <w:p w:rsidR="003A0F58" w:rsidRPr="003A0F58" w:rsidRDefault="003A0F58" w:rsidP="003A0F58">
      <w:pPr>
        <w:rPr>
          <w:rFonts w:asciiTheme="minorHAnsi" w:hAnsiTheme="minorHAnsi"/>
          <w:b/>
          <w:sz w:val="20"/>
          <w:szCs w:val="20"/>
          <w:u w:val="single"/>
          <w:lang w:eastAsia="ja-JP"/>
        </w:rPr>
      </w:pPr>
      <w:r w:rsidRPr="003A0F58">
        <w:rPr>
          <w:rFonts w:asciiTheme="minorHAnsi" w:hAnsiTheme="minorHAnsi"/>
          <w:b/>
          <w:sz w:val="20"/>
          <w:szCs w:val="20"/>
          <w:highlight w:val="green"/>
          <w:u w:val="single"/>
          <w:lang w:eastAsia="ja-JP"/>
        </w:rPr>
        <w:t>Agreements</w:t>
      </w:r>
      <w:r w:rsidRPr="003A0F58">
        <w:rPr>
          <w:rFonts w:asciiTheme="minorHAnsi" w:hAnsiTheme="minorHAnsi"/>
          <w:b/>
          <w:sz w:val="20"/>
          <w:szCs w:val="20"/>
          <w:u w:val="single"/>
          <w:lang w:eastAsia="ja-JP"/>
        </w:rPr>
        <w:t xml:space="preserve"> at RAN1#79</w:t>
      </w:r>
      <w:r w:rsidRPr="003A0F58">
        <w:rPr>
          <w:rFonts w:asciiTheme="minorHAnsi" w:hAnsiTheme="minorHAnsi"/>
          <w:b/>
          <w:sz w:val="20"/>
          <w:szCs w:val="20"/>
          <w:lang w:eastAsia="ja-JP"/>
        </w:rPr>
        <w:t xml:space="preserve"> [1]:</w:t>
      </w:r>
    </w:p>
    <w:p w:rsidR="003A0F58" w:rsidRPr="003A0F58" w:rsidRDefault="003A0F58" w:rsidP="003A0F58">
      <w:pPr>
        <w:numPr>
          <w:ilvl w:val="0"/>
          <w:numId w:val="4"/>
        </w:numPr>
        <w:rPr>
          <w:rFonts w:asciiTheme="minorHAnsi" w:hAnsiTheme="minorHAnsi"/>
          <w:i/>
          <w:iCs/>
          <w:sz w:val="20"/>
          <w:szCs w:val="20"/>
          <w:lang w:eastAsia="ja-JP"/>
        </w:rPr>
      </w:pPr>
      <w:r w:rsidRPr="003A0F58">
        <w:rPr>
          <w:rFonts w:asciiTheme="minorHAnsi" w:hAnsiTheme="minorHAnsi"/>
          <w:i/>
          <w:iCs/>
          <w:sz w:val="20"/>
          <w:szCs w:val="20"/>
          <w:lang w:eastAsia="ja-JP"/>
        </w:rPr>
        <w:t>At least for unicast channel,</w:t>
      </w:r>
    </w:p>
    <w:p w:rsidR="003A0F58" w:rsidRPr="003A0F58" w:rsidRDefault="003A0F58" w:rsidP="003A0F58">
      <w:pPr>
        <w:numPr>
          <w:ilvl w:val="1"/>
          <w:numId w:val="4"/>
        </w:numPr>
        <w:rPr>
          <w:rFonts w:asciiTheme="minorHAnsi" w:hAnsiTheme="minorHAnsi"/>
          <w:i/>
          <w:iCs/>
          <w:sz w:val="20"/>
          <w:szCs w:val="20"/>
          <w:lang w:eastAsia="ja-JP"/>
        </w:rPr>
      </w:pPr>
      <w:r w:rsidRPr="003A0F58">
        <w:rPr>
          <w:rFonts w:asciiTheme="minorHAnsi" w:hAnsiTheme="minorHAnsi"/>
          <w:i/>
          <w:iCs/>
          <w:sz w:val="20"/>
          <w:szCs w:val="20"/>
          <w:lang w:eastAsia="ja-JP"/>
        </w:rPr>
        <w:t>For the ‘Physical downlink control channel for MTC’ for Rel-13 low complexity UEs and UEs in enhanced coverage,</w:t>
      </w:r>
    </w:p>
    <w:p w:rsidR="003A0F58" w:rsidRPr="003A0F58" w:rsidRDefault="003A0F58" w:rsidP="003A0F58">
      <w:pPr>
        <w:numPr>
          <w:ilvl w:val="2"/>
          <w:numId w:val="5"/>
        </w:numPr>
        <w:rPr>
          <w:rFonts w:asciiTheme="minorHAnsi" w:hAnsiTheme="minorHAnsi"/>
          <w:i/>
          <w:iCs/>
          <w:sz w:val="20"/>
          <w:szCs w:val="20"/>
          <w:lang w:eastAsia="ja-JP"/>
        </w:rPr>
      </w:pPr>
      <w:r w:rsidRPr="003A0F58">
        <w:rPr>
          <w:rFonts w:asciiTheme="minorHAnsi" w:hAnsiTheme="minorHAnsi"/>
          <w:i/>
          <w:iCs/>
          <w:sz w:val="20"/>
          <w:szCs w:val="20"/>
          <w:lang w:eastAsia="ja-JP"/>
        </w:rPr>
        <w:t>UE monitoring of multiple ‘Physical downlink control channel for MTC’ decoding candidates and/or one or more repetition level(s) is supported at least for the UE-specific search space</w:t>
      </w:r>
    </w:p>
    <w:p w:rsidR="003A0F58" w:rsidRPr="003A0F58" w:rsidRDefault="008A4F89" w:rsidP="003A0F58">
      <w:pPr>
        <w:numPr>
          <w:ilvl w:val="2"/>
          <w:numId w:val="5"/>
        </w:numPr>
        <w:rPr>
          <w:rFonts w:asciiTheme="minorHAnsi" w:hAnsiTheme="minorHAnsi"/>
          <w:i/>
          <w:iCs/>
          <w:sz w:val="20"/>
          <w:szCs w:val="20"/>
          <w:lang w:eastAsia="ja-JP"/>
        </w:rPr>
      </w:pPr>
      <w:r w:rsidRPr="003A0F58">
        <w:rPr>
          <w:rFonts w:asciiTheme="minorHAnsi" w:hAnsiTheme="minorHAnsi"/>
          <w:b/>
          <w:i/>
          <w:iCs/>
          <w:sz w:val="20"/>
          <w:szCs w:val="20"/>
          <w:highlight w:val="darkYellow"/>
          <w:lang w:eastAsia="ja-JP"/>
        </w:rPr>
        <w:t>Working assumption:</w:t>
      </w:r>
      <w:r w:rsidR="003A0F58" w:rsidRPr="003A0F58">
        <w:rPr>
          <w:rFonts w:asciiTheme="minorHAnsi" w:hAnsiTheme="minorHAnsi"/>
          <w:b/>
          <w:i/>
          <w:iCs/>
          <w:sz w:val="20"/>
          <w:szCs w:val="20"/>
          <w:lang w:eastAsia="ja-JP"/>
        </w:rPr>
        <w:t xml:space="preserve"> </w:t>
      </w:r>
      <w:r w:rsidR="003A0F58" w:rsidRPr="003A0F58">
        <w:rPr>
          <w:rFonts w:asciiTheme="minorHAnsi" w:hAnsiTheme="minorHAnsi"/>
          <w:i/>
          <w:iCs/>
          <w:sz w:val="20"/>
          <w:szCs w:val="20"/>
          <w:lang w:eastAsia="ja-JP"/>
        </w:rPr>
        <w:t>For enhanced coverage UEs, one ‘Physical downlink control channel for MTC’ containing one DCI is allowed to be mapped to fully occupy available REs in 6 PRB pairs</w:t>
      </w:r>
    </w:p>
    <w:p w:rsidR="003A0F58" w:rsidRPr="003A0F58" w:rsidRDefault="003A0F58" w:rsidP="003A0F58">
      <w:pPr>
        <w:numPr>
          <w:ilvl w:val="0"/>
          <w:numId w:val="4"/>
        </w:numPr>
        <w:rPr>
          <w:rFonts w:asciiTheme="minorHAnsi" w:hAnsiTheme="minorHAnsi"/>
          <w:i/>
          <w:iCs/>
          <w:sz w:val="20"/>
          <w:szCs w:val="20"/>
          <w:lang w:eastAsia="ja-JP"/>
        </w:rPr>
      </w:pPr>
      <w:r w:rsidRPr="003A0F58">
        <w:rPr>
          <w:rFonts w:asciiTheme="minorHAnsi" w:hAnsiTheme="minorHAnsi"/>
          <w:i/>
          <w:iCs/>
          <w:sz w:val="20"/>
          <w:szCs w:val="20"/>
          <w:lang w:eastAsia="ja-JP"/>
        </w:rPr>
        <w:t>FFS: Common search space of ‘Physical downlink control channel for MTC’ for Rel-13 low complexity UEs and UEs in enhanced coverage</w:t>
      </w:r>
    </w:p>
    <w:p w:rsidR="003A0F58" w:rsidRPr="003A0F58" w:rsidRDefault="003A0F58" w:rsidP="003A0F58">
      <w:pPr>
        <w:ind w:left="720"/>
        <w:rPr>
          <w:rFonts w:asciiTheme="minorHAnsi" w:hAnsiTheme="minorHAnsi"/>
          <w:i/>
          <w:iCs/>
          <w:sz w:val="20"/>
          <w:szCs w:val="20"/>
          <w:lang w:eastAsia="ja-JP"/>
        </w:rPr>
      </w:pPr>
    </w:p>
    <w:p w:rsidR="003A0F58" w:rsidRPr="003A0F58" w:rsidRDefault="003A0F58" w:rsidP="003A0F58">
      <w:pPr>
        <w:rPr>
          <w:rFonts w:asciiTheme="minorHAnsi" w:hAnsiTheme="minorHAnsi"/>
          <w:b/>
          <w:sz w:val="20"/>
          <w:szCs w:val="20"/>
          <w:u w:val="single"/>
          <w:lang w:eastAsia="ja-JP"/>
        </w:rPr>
      </w:pPr>
      <w:r w:rsidRPr="003A0F58">
        <w:rPr>
          <w:rFonts w:asciiTheme="minorHAnsi" w:hAnsiTheme="minorHAnsi"/>
          <w:b/>
          <w:sz w:val="20"/>
          <w:szCs w:val="20"/>
          <w:highlight w:val="green"/>
          <w:u w:val="single"/>
          <w:lang w:eastAsia="ja-JP"/>
        </w:rPr>
        <w:t>Agreements</w:t>
      </w:r>
      <w:r w:rsidRPr="003A0F58">
        <w:rPr>
          <w:rFonts w:asciiTheme="minorHAnsi" w:hAnsiTheme="minorHAnsi"/>
          <w:b/>
          <w:sz w:val="20"/>
          <w:szCs w:val="20"/>
          <w:u w:val="single"/>
          <w:lang w:eastAsia="ja-JP"/>
        </w:rPr>
        <w:t xml:space="preserve"> at RAN1#80</w:t>
      </w:r>
      <w:r w:rsidRPr="003A0F58">
        <w:rPr>
          <w:rFonts w:asciiTheme="minorHAnsi" w:hAnsiTheme="minorHAnsi"/>
          <w:b/>
          <w:sz w:val="20"/>
          <w:szCs w:val="20"/>
          <w:lang w:eastAsia="ja-JP"/>
        </w:rPr>
        <w:t xml:space="preserve"> [2]:</w:t>
      </w:r>
    </w:p>
    <w:p w:rsidR="003A0F58" w:rsidRPr="003A0F58" w:rsidRDefault="003A0F58" w:rsidP="003A0F58">
      <w:pPr>
        <w:numPr>
          <w:ilvl w:val="0"/>
          <w:numId w:val="6"/>
        </w:numPr>
        <w:ind w:left="360"/>
        <w:rPr>
          <w:rFonts w:asciiTheme="minorHAnsi" w:hAnsiTheme="minorHAnsi"/>
          <w:i/>
          <w:iCs/>
          <w:sz w:val="20"/>
          <w:szCs w:val="20"/>
          <w:lang w:eastAsia="ja-JP"/>
        </w:rPr>
      </w:pPr>
      <w:r w:rsidRPr="003A0F58">
        <w:rPr>
          <w:rFonts w:asciiTheme="minorHAnsi" w:hAnsiTheme="minorHAnsi"/>
          <w:i/>
          <w:iCs/>
          <w:sz w:val="20"/>
          <w:szCs w:val="20"/>
          <w:lang w:eastAsia="ja-JP"/>
        </w:rPr>
        <w:t>For UEs in enhanced coverage:</w:t>
      </w:r>
    </w:p>
    <w:p w:rsidR="003A0F58" w:rsidRPr="003A0F58" w:rsidRDefault="003A0F58" w:rsidP="003A0F58">
      <w:pPr>
        <w:numPr>
          <w:ilvl w:val="0"/>
          <w:numId w:val="8"/>
        </w:numPr>
        <w:rPr>
          <w:rFonts w:asciiTheme="minorHAnsi" w:hAnsiTheme="minorHAnsi"/>
          <w:i/>
          <w:iCs/>
          <w:sz w:val="20"/>
          <w:szCs w:val="20"/>
          <w:lang w:eastAsia="ja-JP"/>
        </w:rPr>
      </w:pPr>
      <w:r w:rsidRPr="003A0F58">
        <w:rPr>
          <w:rFonts w:asciiTheme="minorHAnsi" w:hAnsiTheme="minorHAnsi"/>
          <w:i/>
          <w:iCs/>
          <w:sz w:val="20"/>
          <w:szCs w:val="20"/>
          <w:lang w:eastAsia="ja-JP"/>
        </w:rPr>
        <w:t>Repetition across multiple subframes is supported for the ‘Physical downlink control channel for MTC’</w:t>
      </w:r>
    </w:p>
    <w:p w:rsidR="003A0F58" w:rsidRPr="003A0F58" w:rsidRDefault="003A0F58" w:rsidP="003A0F58">
      <w:pPr>
        <w:numPr>
          <w:ilvl w:val="1"/>
          <w:numId w:val="6"/>
        </w:numPr>
        <w:rPr>
          <w:rFonts w:asciiTheme="minorHAnsi" w:hAnsiTheme="minorHAnsi"/>
          <w:i/>
          <w:iCs/>
          <w:sz w:val="20"/>
          <w:szCs w:val="20"/>
          <w:lang w:eastAsia="ja-JP"/>
        </w:rPr>
      </w:pPr>
      <w:r w:rsidRPr="003A0F58">
        <w:rPr>
          <w:rFonts w:asciiTheme="minorHAnsi" w:hAnsiTheme="minorHAnsi"/>
          <w:i/>
          <w:iCs/>
          <w:sz w:val="20"/>
          <w:szCs w:val="20"/>
          <w:lang w:eastAsia="ja-JP"/>
        </w:rPr>
        <w:t>Multiple repetition levels in time domain are supported</w:t>
      </w:r>
    </w:p>
    <w:p w:rsidR="003A0F58" w:rsidRPr="003A0F58" w:rsidRDefault="003A0F58" w:rsidP="003A0F58">
      <w:pPr>
        <w:numPr>
          <w:ilvl w:val="0"/>
          <w:numId w:val="9"/>
        </w:numPr>
        <w:rPr>
          <w:rFonts w:asciiTheme="minorHAnsi" w:hAnsiTheme="minorHAnsi"/>
          <w:i/>
          <w:iCs/>
          <w:sz w:val="20"/>
          <w:szCs w:val="20"/>
          <w:lang w:eastAsia="ja-JP"/>
        </w:rPr>
      </w:pPr>
      <w:r w:rsidRPr="003A0F58">
        <w:rPr>
          <w:rFonts w:asciiTheme="minorHAnsi" w:hAnsiTheme="minorHAnsi"/>
          <w:i/>
          <w:iCs/>
          <w:sz w:val="20"/>
          <w:szCs w:val="20"/>
          <w:lang w:eastAsia="ja-JP"/>
        </w:rPr>
        <w:t>For Rel-13 low complexity UEs in enhanced coverage at least for system BW&gt;1.4MHz</w:t>
      </w:r>
    </w:p>
    <w:p w:rsidR="003A0F58" w:rsidRPr="003A0F58" w:rsidRDefault="003A0F58" w:rsidP="003A0F58">
      <w:pPr>
        <w:numPr>
          <w:ilvl w:val="1"/>
          <w:numId w:val="11"/>
        </w:numPr>
        <w:rPr>
          <w:rFonts w:asciiTheme="minorHAnsi" w:hAnsiTheme="minorHAnsi"/>
          <w:i/>
          <w:iCs/>
          <w:sz w:val="20"/>
          <w:szCs w:val="20"/>
          <w:lang w:eastAsia="ja-JP"/>
        </w:rPr>
      </w:pPr>
      <w:r w:rsidRPr="003A0F58">
        <w:rPr>
          <w:rFonts w:asciiTheme="minorHAnsi" w:hAnsiTheme="minorHAnsi"/>
          <w:i/>
          <w:iCs/>
          <w:sz w:val="20"/>
          <w:szCs w:val="20"/>
          <w:lang w:eastAsia="ja-JP"/>
        </w:rPr>
        <w:t>Working assumption: The demodulation of the physical downlink control channel for MTC is based on at least DMRS</w:t>
      </w:r>
    </w:p>
    <w:p w:rsidR="003A0F58" w:rsidRPr="003A0F58" w:rsidRDefault="003A0F58" w:rsidP="003A0F58">
      <w:pPr>
        <w:numPr>
          <w:ilvl w:val="0"/>
          <w:numId w:val="9"/>
        </w:numPr>
        <w:rPr>
          <w:rFonts w:asciiTheme="minorHAnsi" w:hAnsiTheme="minorHAnsi"/>
          <w:i/>
          <w:iCs/>
          <w:sz w:val="20"/>
          <w:szCs w:val="20"/>
          <w:lang w:eastAsia="ja-JP"/>
        </w:rPr>
      </w:pPr>
      <w:r w:rsidRPr="003A0F58">
        <w:rPr>
          <w:rFonts w:asciiTheme="minorHAnsi" w:hAnsiTheme="minorHAnsi"/>
          <w:i/>
          <w:iCs/>
          <w:sz w:val="20"/>
          <w:szCs w:val="20"/>
          <w:lang w:eastAsia="ja-JP"/>
        </w:rPr>
        <w:t>For Rel-13 low complexity UEs in enhanced coverage and at least unicast channel at least for system BW&gt;1.4MHz</w:t>
      </w:r>
    </w:p>
    <w:p w:rsidR="003A0F58" w:rsidRPr="003A0F58" w:rsidRDefault="003A0F58" w:rsidP="003A0F58">
      <w:pPr>
        <w:numPr>
          <w:ilvl w:val="1"/>
          <w:numId w:val="10"/>
        </w:numPr>
        <w:rPr>
          <w:rFonts w:asciiTheme="minorHAnsi" w:hAnsiTheme="minorHAnsi"/>
          <w:i/>
          <w:iCs/>
          <w:sz w:val="20"/>
          <w:szCs w:val="20"/>
          <w:lang w:eastAsia="ja-JP"/>
        </w:rPr>
      </w:pPr>
      <w:r w:rsidRPr="003A0F58">
        <w:rPr>
          <w:rFonts w:asciiTheme="minorHAnsi" w:hAnsiTheme="minorHAnsi"/>
          <w:b/>
          <w:bCs/>
          <w:i/>
          <w:iCs/>
          <w:sz w:val="20"/>
          <w:szCs w:val="20"/>
          <w:lang w:eastAsia="ja-JP"/>
        </w:rPr>
        <w:t xml:space="preserve">Confirm the working assumption: </w:t>
      </w:r>
      <w:r w:rsidRPr="003A0F58">
        <w:rPr>
          <w:rFonts w:asciiTheme="minorHAnsi" w:hAnsiTheme="minorHAnsi"/>
          <w:i/>
          <w:iCs/>
          <w:sz w:val="20"/>
          <w:szCs w:val="20"/>
          <w:lang w:eastAsia="ja-JP"/>
        </w:rPr>
        <w:t>For enhanced coverage UEs, one ‘Physical downlink control channel for MTC’ containing one DCI is allowed to be mapped to fully occupy available REs in 6 PRB pairs</w:t>
      </w:r>
    </w:p>
    <w:p w:rsidR="003A0F58" w:rsidRPr="003A0F58" w:rsidRDefault="003A0F58" w:rsidP="003A0F58">
      <w:pPr>
        <w:numPr>
          <w:ilvl w:val="0"/>
          <w:numId w:val="10"/>
        </w:numPr>
        <w:rPr>
          <w:rFonts w:asciiTheme="minorHAnsi" w:hAnsiTheme="minorHAnsi"/>
          <w:i/>
          <w:iCs/>
          <w:sz w:val="20"/>
          <w:szCs w:val="20"/>
          <w:lang w:eastAsia="ja-JP"/>
        </w:rPr>
      </w:pPr>
      <w:r w:rsidRPr="003A0F58">
        <w:rPr>
          <w:rFonts w:asciiTheme="minorHAnsi" w:hAnsiTheme="minorHAnsi"/>
          <w:i/>
          <w:iCs/>
          <w:sz w:val="20"/>
          <w:szCs w:val="20"/>
          <w:lang w:eastAsia="ja-JP"/>
        </w:rPr>
        <w:t>Confirm the following Rel-12 agreements for Rel-13 MTC UEs in enhanced coverage</w:t>
      </w:r>
    </w:p>
    <w:p w:rsidR="003A0F58" w:rsidRPr="003A0F58" w:rsidRDefault="003A0F58" w:rsidP="003A0F58">
      <w:pPr>
        <w:numPr>
          <w:ilvl w:val="1"/>
          <w:numId w:val="10"/>
        </w:numPr>
        <w:rPr>
          <w:rFonts w:asciiTheme="minorHAnsi" w:hAnsiTheme="minorHAnsi"/>
          <w:i/>
          <w:iCs/>
          <w:sz w:val="20"/>
          <w:szCs w:val="20"/>
          <w:lang w:eastAsia="ja-JP"/>
        </w:rPr>
      </w:pPr>
      <w:r w:rsidRPr="003A0F58">
        <w:rPr>
          <w:rFonts w:asciiTheme="minorHAnsi" w:hAnsiTheme="minorHAnsi"/>
          <w:i/>
          <w:iCs/>
          <w:sz w:val="20"/>
          <w:szCs w:val="20"/>
          <w:lang w:eastAsia="ja-JP"/>
        </w:rPr>
        <w:t>For UE-specific search space, from the UE perspective, the possible starting sub-frames of physical downlink control channel for MTC repetitions are limited to a subset of subframes</w:t>
      </w:r>
    </w:p>
    <w:p w:rsidR="003A0F58" w:rsidRPr="003A0F58" w:rsidRDefault="003A0F58" w:rsidP="003A0F58">
      <w:pPr>
        <w:numPr>
          <w:ilvl w:val="0"/>
          <w:numId w:val="10"/>
        </w:numPr>
        <w:spacing w:after="120"/>
        <w:rPr>
          <w:rFonts w:asciiTheme="minorHAnsi" w:hAnsiTheme="minorHAnsi"/>
          <w:i/>
          <w:iCs/>
          <w:sz w:val="20"/>
          <w:szCs w:val="20"/>
          <w:lang w:eastAsia="ja-JP"/>
        </w:rPr>
      </w:pPr>
      <w:r w:rsidRPr="003A0F58">
        <w:rPr>
          <w:rFonts w:asciiTheme="minorHAnsi" w:hAnsiTheme="minorHAnsi"/>
          <w:b/>
          <w:i/>
          <w:iCs/>
          <w:sz w:val="20"/>
          <w:szCs w:val="20"/>
          <w:highlight w:val="darkYellow"/>
          <w:lang w:eastAsia="ja-JP"/>
        </w:rPr>
        <w:t>Working assumption:</w:t>
      </w:r>
      <w:r w:rsidRPr="003A0F58">
        <w:rPr>
          <w:rFonts w:asciiTheme="minorHAnsi" w:hAnsiTheme="minorHAnsi"/>
          <w:b/>
          <w:i/>
          <w:iCs/>
          <w:sz w:val="20"/>
          <w:szCs w:val="20"/>
          <w:lang w:eastAsia="ja-JP"/>
        </w:rPr>
        <w:t xml:space="preserve"> </w:t>
      </w:r>
      <w:r w:rsidRPr="003A0F58">
        <w:rPr>
          <w:rFonts w:asciiTheme="minorHAnsi" w:hAnsiTheme="minorHAnsi"/>
          <w:i/>
          <w:iCs/>
          <w:sz w:val="20"/>
          <w:szCs w:val="20"/>
          <w:lang w:eastAsia="ja-JP"/>
        </w:rPr>
        <w:t>Rel-11 EPDCCH is a starting point for design of physical downlink control channel for MTC at least for MTC UEs in coverage enhancement.</w:t>
      </w:r>
    </w:p>
    <w:p w:rsidR="003A0F58" w:rsidRDefault="003A0F58" w:rsidP="00EA31DD">
      <w:pPr>
        <w:spacing w:after="120"/>
        <w:jc w:val="both"/>
        <w:rPr>
          <w:bCs/>
          <w:sz w:val="22"/>
          <w:szCs w:val="22"/>
          <w:lang w:val="en-AU" w:eastAsia="en-AU"/>
        </w:rPr>
      </w:pPr>
      <w:r>
        <w:rPr>
          <w:bCs/>
          <w:sz w:val="22"/>
          <w:szCs w:val="22"/>
          <w:lang w:val="en-AU" w:eastAsia="en-AU"/>
        </w:rPr>
        <w:t xml:space="preserve">In this contribution, we provide </w:t>
      </w:r>
      <w:r w:rsidR="00C8768A">
        <w:rPr>
          <w:bCs/>
          <w:sz w:val="22"/>
          <w:szCs w:val="22"/>
          <w:lang w:val="en-AU" w:eastAsia="en-AU"/>
        </w:rPr>
        <w:t xml:space="preserve">discussions and views on the </w:t>
      </w:r>
      <w:r w:rsidR="00605034">
        <w:rPr>
          <w:bCs/>
          <w:sz w:val="22"/>
          <w:szCs w:val="22"/>
          <w:lang w:val="en-AU" w:eastAsia="en-AU"/>
        </w:rPr>
        <w:t xml:space="preserve">multiple </w:t>
      </w:r>
      <w:r w:rsidR="00C8768A">
        <w:rPr>
          <w:bCs/>
          <w:sz w:val="22"/>
          <w:szCs w:val="22"/>
          <w:lang w:val="en-AU" w:eastAsia="en-AU"/>
        </w:rPr>
        <w:t>repetition</w:t>
      </w:r>
      <w:r w:rsidR="00605034">
        <w:rPr>
          <w:bCs/>
          <w:sz w:val="22"/>
          <w:szCs w:val="22"/>
          <w:lang w:val="en-AU" w:eastAsia="en-AU"/>
        </w:rPr>
        <w:t>s</w:t>
      </w:r>
      <w:r w:rsidR="00C8768A">
        <w:rPr>
          <w:bCs/>
          <w:sz w:val="22"/>
          <w:szCs w:val="22"/>
          <w:lang w:val="en-AU" w:eastAsia="en-AU"/>
        </w:rPr>
        <w:t xml:space="preserve"> and </w:t>
      </w:r>
      <w:r w:rsidR="00605034">
        <w:rPr>
          <w:bCs/>
          <w:sz w:val="22"/>
          <w:szCs w:val="22"/>
          <w:lang w:val="en-AU" w:eastAsia="en-AU"/>
        </w:rPr>
        <w:t>reception of ‘Physical downlink control channel for MTC’ for Rel-13 UEs in enhanced coverage mode.</w:t>
      </w:r>
    </w:p>
    <w:p w:rsidR="005B3132" w:rsidRPr="00EA31DD" w:rsidRDefault="005B3132" w:rsidP="00EA31DD">
      <w:pPr>
        <w:spacing w:after="120"/>
        <w:jc w:val="both"/>
        <w:rPr>
          <w:bCs/>
          <w:sz w:val="22"/>
          <w:szCs w:val="22"/>
          <w:lang w:val="en-AU" w:eastAsia="en-AU"/>
        </w:rPr>
      </w:pPr>
    </w:p>
    <w:p w:rsidR="00AA4A5D" w:rsidRPr="00481BEF" w:rsidRDefault="008773C7" w:rsidP="00AA4A5D">
      <w:pPr>
        <w:pStyle w:val="Heading1"/>
        <w:spacing w:after="120"/>
        <w:rPr>
          <w:sz w:val="22"/>
          <w:szCs w:val="22"/>
          <w:lang w:val="en-AU" w:eastAsia="en-AU"/>
        </w:rPr>
      </w:pPr>
      <w:r>
        <w:rPr>
          <w:sz w:val="22"/>
          <w:szCs w:val="22"/>
          <w:lang w:val="en-AU" w:eastAsia="en-AU"/>
        </w:rPr>
        <w:t>Discussion</w:t>
      </w:r>
    </w:p>
    <w:p w:rsidR="00BC39F5" w:rsidRPr="00BC39F5" w:rsidRDefault="00BC39F5" w:rsidP="00BC39F5">
      <w:pPr>
        <w:pStyle w:val="Heading2"/>
        <w:tabs>
          <w:tab w:val="clear" w:pos="2694"/>
          <w:tab w:val="num" w:pos="567"/>
        </w:tabs>
        <w:spacing w:after="120"/>
        <w:ind w:left="567"/>
        <w:rPr>
          <w:sz w:val="22"/>
          <w:lang w:val="en-AU"/>
        </w:rPr>
      </w:pPr>
      <w:r w:rsidRPr="00BC39F5">
        <w:rPr>
          <w:sz w:val="22"/>
          <w:lang w:val="en-AU"/>
        </w:rPr>
        <w:t>Indication of repetition level for physical downlink control channel</w:t>
      </w:r>
    </w:p>
    <w:p w:rsidR="006F7924" w:rsidRPr="00BF0F7D" w:rsidRDefault="006F7924" w:rsidP="00EA31DD">
      <w:pPr>
        <w:spacing w:after="120"/>
        <w:jc w:val="both"/>
        <w:rPr>
          <w:sz w:val="22"/>
          <w:lang w:val="en-AU"/>
        </w:rPr>
      </w:pPr>
      <w:r w:rsidRPr="00BF0F7D">
        <w:rPr>
          <w:sz w:val="22"/>
          <w:lang w:val="en-AU"/>
        </w:rPr>
        <w:t>For coverage enhancement of ‘physical downlink control channel for MTC’ (hereafter called MTC-PDCCH for simplicity)</w:t>
      </w:r>
      <w:r w:rsidR="007D6F3D" w:rsidRPr="00BF0F7D">
        <w:rPr>
          <w:sz w:val="22"/>
          <w:lang w:val="en-AU"/>
        </w:rPr>
        <w:t>, repeated transmission</w:t>
      </w:r>
      <w:r w:rsidRPr="00BF0F7D">
        <w:rPr>
          <w:sz w:val="22"/>
          <w:lang w:val="en-AU"/>
        </w:rPr>
        <w:t xml:space="preserve"> of </w:t>
      </w:r>
      <w:r w:rsidR="007D6F3D" w:rsidRPr="00BF0F7D">
        <w:rPr>
          <w:sz w:val="22"/>
          <w:lang w:val="en-AU"/>
        </w:rPr>
        <w:t xml:space="preserve">same MTC-PDCCH or its DCI from the serving cell is </w:t>
      </w:r>
      <w:r w:rsidR="001F7FEF">
        <w:rPr>
          <w:sz w:val="22"/>
          <w:lang w:val="en-AU"/>
        </w:rPr>
        <w:t xml:space="preserve">currently </w:t>
      </w:r>
      <w:r w:rsidR="006E0F91">
        <w:rPr>
          <w:sz w:val="22"/>
          <w:lang w:val="en-AU"/>
        </w:rPr>
        <w:t xml:space="preserve">being </w:t>
      </w:r>
      <w:r w:rsidR="007D6F3D" w:rsidRPr="00BF0F7D">
        <w:rPr>
          <w:sz w:val="22"/>
          <w:lang w:val="en-AU"/>
        </w:rPr>
        <w:t xml:space="preserve">considered as the main mechanism for improving decoding performance of </w:t>
      </w:r>
      <w:r w:rsidR="001F7FEF">
        <w:rPr>
          <w:sz w:val="22"/>
          <w:lang w:val="en-AU"/>
        </w:rPr>
        <w:lastRenderedPageBreak/>
        <w:t xml:space="preserve">downlink control information for </w:t>
      </w:r>
      <w:r w:rsidR="007D6F3D" w:rsidRPr="00BF0F7D">
        <w:rPr>
          <w:sz w:val="22"/>
          <w:lang w:val="en-AU"/>
        </w:rPr>
        <w:t xml:space="preserve">MTC devices in poor coverage area. As MTC devices within the same serving cell are </w:t>
      </w:r>
      <w:r w:rsidR="003A193E" w:rsidRPr="00BF0F7D">
        <w:rPr>
          <w:sz w:val="22"/>
          <w:lang w:val="en-AU"/>
        </w:rPr>
        <w:t xml:space="preserve">most likely </w:t>
      </w:r>
      <w:r w:rsidR="007D6F3D" w:rsidRPr="00BF0F7D">
        <w:rPr>
          <w:sz w:val="22"/>
          <w:lang w:val="en-AU"/>
        </w:rPr>
        <w:t xml:space="preserve">subject to different </w:t>
      </w:r>
      <w:r w:rsidR="003A193E" w:rsidRPr="00BF0F7D">
        <w:rPr>
          <w:sz w:val="22"/>
          <w:lang w:val="en-AU"/>
        </w:rPr>
        <w:t>coverage condition</w:t>
      </w:r>
      <w:r w:rsidR="007D6F3D" w:rsidRPr="00BF0F7D">
        <w:rPr>
          <w:sz w:val="22"/>
          <w:lang w:val="en-AU"/>
        </w:rPr>
        <w:t xml:space="preserve"> / </w:t>
      </w:r>
      <w:r w:rsidR="003A193E" w:rsidRPr="00BF0F7D">
        <w:rPr>
          <w:sz w:val="22"/>
          <w:lang w:val="en-AU"/>
        </w:rPr>
        <w:t>operating environment</w:t>
      </w:r>
      <w:r w:rsidR="007D6F3D" w:rsidRPr="00BF0F7D">
        <w:rPr>
          <w:sz w:val="22"/>
          <w:lang w:val="en-AU"/>
        </w:rPr>
        <w:t>, different repetition level</w:t>
      </w:r>
      <w:r w:rsidR="009D0931" w:rsidRPr="00BF0F7D">
        <w:rPr>
          <w:sz w:val="22"/>
          <w:lang w:val="en-AU"/>
        </w:rPr>
        <w:t>s</w:t>
      </w:r>
      <w:r w:rsidR="007D6F3D" w:rsidRPr="00BF0F7D">
        <w:rPr>
          <w:sz w:val="22"/>
          <w:lang w:val="en-AU"/>
        </w:rPr>
        <w:t xml:space="preserve"> of MTC-PDCCH</w:t>
      </w:r>
      <w:r w:rsidR="002C767C" w:rsidRPr="00BF0F7D">
        <w:rPr>
          <w:sz w:val="22"/>
          <w:lang w:val="en-AU"/>
        </w:rPr>
        <w:t xml:space="preserve"> in the time domain</w:t>
      </w:r>
      <w:r w:rsidR="007D6F3D" w:rsidRPr="00BF0F7D">
        <w:rPr>
          <w:sz w:val="22"/>
          <w:lang w:val="en-AU"/>
        </w:rPr>
        <w:t xml:space="preserve"> </w:t>
      </w:r>
      <w:r w:rsidR="009D0931" w:rsidRPr="00BF0F7D">
        <w:rPr>
          <w:sz w:val="22"/>
          <w:lang w:val="en-AU"/>
        </w:rPr>
        <w:t xml:space="preserve">as per current agreement would </w:t>
      </w:r>
      <w:r w:rsidR="003A193E" w:rsidRPr="00BF0F7D">
        <w:rPr>
          <w:sz w:val="22"/>
          <w:lang w:val="en-AU"/>
        </w:rPr>
        <w:t xml:space="preserve">seem necessary for different level of coverage enhancement </w:t>
      </w:r>
      <w:r w:rsidR="001F7FEF">
        <w:rPr>
          <w:sz w:val="22"/>
          <w:lang w:val="en-AU"/>
        </w:rPr>
        <w:t xml:space="preserve">and based on </w:t>
      </w:r>
      <w:r w:rsidR="003A193E" w:rsidRPr="00BF0F7D">
        <w:rPr>
          <w:sz w:val="22"/>
          <w:lang w:val="en-AU"/>
        </w:rPr>
        <w:t>the needs</w:t>
      </w:r>
      <w:r w:rsidR="001F7FEF">
        <w:rPr>
          <w:sz w:val="22"/>
          <w:lang w:val="en-AU"/>
        </w:rPr>
        <w:t xml:space="preserve"> of</w:t>
      </w:r>
      <w:r w:rsidR="003A193E" w:rsidRPr="00BF0F7D">
        <w:rPr>
          <w:sz w:val="22"/>
          <w:lang w:val="en-AU"/>
        </w:rPr>
        <w:t xml:space="preserve"> </w:t>
      </w:r>
      <w:r w:rsidR="00BF0F7D">
        <w:rPr>
          <w:sz w:val="22"/>
          <w:lang w:val="en-AU"/>
        </w:rPr>
        <w:t xml:space="preserve">MTC </w:t>
      </w:r>
      <w:r w:rsidR="003A193E" w:rsidRPr="00BF0F7D">
        <w:rPr>
          <w:sz w:val="22"/>
          <w:lang w:val="en-AU"/>
        </w:rPr>
        <w:t>UE</w:t>
      </w:r>
      <w:r w:rsidR="001F7FEF">
        <w:rPr>
          <w:sz w:val="22"/>
          <w:lang w:val="en-AU"/>
        </w:rPr>
        <w:t>s</w:t>
      </w:r>
      <w:r w:rsidR="007D6F3D" w:rsidRPr="00BF0F7D">
        <w:rPr>
          <w:sz w:val="22"/>
          <w:lang w:val="en-AU"/>
        </w:rPr>
        <w:t>.</w:t>
      </w:r>
    </w:p>
    <w:p w:rsidR="006F7924" w:rsidRDefault="006F7924" w:rsidP="00BC39F5">
      <w:pPr>
        <w:spacing w:after="240"/>
        <w:jc w:val="both"/>
        <w:rPr>
          <w:bCs/>
          <w:sz w:val="22"/>
          <w:szCs w:val="22"/>
          <w:lang w:val="en-AU" w:eastAsia="en-AU"/>
        </w:rPr>
      </w:pPr>
      <w:r w:rsidRPr="001F7FEF">
        <w:rPr>
          <w:sz w:val="22"/>
          <w:lang w:val="en-AU"/>
        </w:rPr>
        <w:t xml:space="preserve">Typically, there may </w:t>
      </w:r>
      <w:r w:rsidR="00BF0F7D" w:rsidRPr="001F7FEF">
        <w:rPr>
          <w:sz w:val="22"/>
          <w:lang w:val="en-AU"/>
        </w:rPr>
        <w:t>be</w:t>
      </w:r>
      <w:r w:rsidRPr="001F7FEF">
        <w:rPr>
          <w:sz w:val="22"/>
          <w:lang w:val="en-AU"/>
        </w:rPr>
        <w:t xml:space="preserve"> </w:t>
      </w:r>
      <w:r w:rsidR="00BF0F7D" w:rsidRPr="001F7FEF">
        <w:rPr>
          <w:sz w:val="22"/>
          <w:lang w:val="en-AU"/>
        </w:rPr>
        <w:t>2,</w:t>
      </w:r>
      <w:r w:rsidRPr="001F7FEF">
        <w:rPr>
          <w:sz w:val="22"/>
          <w:lang w:val="en-AU"/>
        </w:rPr>
        <w:t xml:space="preserve"> 3 or </w:t>
      </w:r>
      <w:r w:rsidRPr="001F7FEF">
        <w:rPr>
          <w:sz w:val="22"/>
        </w:rPr>
        <w:t>4 coverage improvement levels for MTC-PDCCH at {3.4dB, 6.8dB, 10.2dB, 13.6dB}.</w:t>
      </w:r>
      <w:r w:rsidRPr="001F7FEF">
        <w:rPr>
          <w:sz w:val="22"/>
          <w:lang w:val="en-AU"/>
        </w:rPr>
        <w:t xml:space="preserve">  In order to obtain </w:t>
      </w:r>
      <w:r w:rsidR="00BF0F7D" w:rsidRPr="001F7FEF">
        <w:rPr>
          <w:sz w:val="22"/>
          <w:lang w:val="en-AU"/>
        </w:rPr>
        <w:t xml:space="preserve">the </w:t>
      </w:r>
      <w:r w:rsidRPr="001F7FEF">
        <w:rPr>
          <w:sz w:val="22"/>
          <w:lang w:val="en-AU"/>
        </w:rPr>
        <w:t xml:space="preserve">maximum 13.6dB coverage enhancement for example, a MTC-PDCCH transmission would be repeated as many as 75 times or more. If a MTC UE </w:t>
      </w:r>
      <w:r w:rsidR="001F7FEF" w:rsidRPr="001F7FEF">
        <w:rPr>
          <w:sz w:val="22"/>
          <w:lang w:val="en-AU"/>
        </w:rPr>
        <w:t>always try to store and accumulate</w:t>
      </w:r>
      <w:r w:rsidRPr="001F7FEF">
        <w:rPr>
          <w:sz w:val="22"/>
          <w:lang w:val="en-AU"/>
        </w:rPr>
        <w:t xml:space="preserve"> </w:t>
      </w:r>
      <w:r w:rsidR="001F7FEF" w:rsidRPr="001F7FEF">
        <w:rPr>
          <w:sz w:val="22"/>
          <w:lang w:val="en-AU"/>
        </w:rPr>
        <w:t>control information transmitted</w:t>
      </w:r>
      <w:r w:rsidRPr="001F7FEF">
        <w:rPr>
          <w:sz w:val="22"/>
          <w:lang w:val="en-AU"/>
        </w:rPr>
        <w:t xml:space="preserve"> in 75 </w:t>
      </w:r>
      <w:r w:rsidR="001F7FEF" w:rsidRPr="001F7FEF">
        <w:rPr>
          <w:sz w:val="22"/>
          <w:lang w:val="en-AU"/>
        </w:rPr>
        <w:t>downlink</w:t>
      </w:r>
      <w:r w:rsidRPr="001F7FEF">
        <w:rPr>
          <w:sz w:val="22"/>
          <w:lang w:val="en-AU"/>
        </w:rPr>
        <w:t xml:space="preserve"> subframes </w:t>
      </w:r>
      <w:r w:rsidR="001F7FEF" w:rsidRPr="001F7FEF">
        <w:rPr>
          <w:sz w:val="22"/>
          <w:lang w:val="en-AU"/>
        </w:rPr>
        <w:t>before attempting to decode</w:t>
      </w:r>
      <w:r w:rsidRPr="001F7FEF">
        <w:rPr>
          <w:sz w:val="22"/>
          <w:lang w:val="en-AU"/>
        </w:rPr>
        <w:t xml:space="preserve"> a MTC-PDCCH regardless of whether </w:t>
      </w:r>
      <w:r w:rsidR="001F7FEF" w:rsidRPr="001F7FEF">
        <w:rPr>
          <w:sz w:val="22"/>
          <w:lang w:val="en-AU"/>
        </w:rPr>
        <w:t xml:space="preserve">or not the </w:t>
      </w:r>
      <w:r w:rsidRPr="001F7FEF">
        <w:rPr>
          <w:sz w:val="22"/>
          <w:lang w:val="en-AU"/>
        </w:rPr>
        <w:t xml:space="preserve">MTC-PDCCH transmission is intended </w:t>
      </w:r>
      <w:r w:rsidR="001F7FEF" w:rsidRPr="001F7FEF">
        <w:rPr>
          <w:sz w:val="22"/>
          <w:lang w:val="en-AU"/>
        </w:rPr>
        <w:t>for the UE</w:t>
      </w:r>
      <w:r w:rsidRPr="001F7FEF">
        <w:rPr>
          <w:sz w:val="22"/>
          <w:lang w:val="en-AU"/>
        </w:rPr>
        <w:t xml:space="preserve">, significant amount of power consumption </w:t>
      </w:r>
      <w:r w:rsidR="001F7FEF" w:rsidRPr="001F7FEF">
        <w:rPr>
          <w:sz w:val="22"/>
          <w:lang w:val="en-AU"/>
        </w:rPr>
        <w:t xml:space="preserve">and UE buffer </w:t>
      </w:r>
      <w:r w:rsidRPr="001F7FEF">
        <w:rPr>
          <w:sz w:val="22"/>
          <w:lang w:val="en-AU"/>
        </w:rPr>
        <w:t>would be was</w:t>
      </w:r>
      <w:r w:rsidR="006E0F91">
        <w:rPr>
          <w:sz w:val="22"/>
          <w:lang w:val="en-AU"/>
        </w:rPr>
        <w:t>ted when the</w:t>
      </w:r>
      <w:r w:rsidRPr="001F7FEF">
        <w:rPr>
          <w:sz w:val="22"/>
          <w:lang w:val="en-AU"/>
        </w:rPr>
        <w:t xml:space="preserve"> MTC-PDCCH is actually transmitted for another MTC UE. In order to operate </w:t>
      </w:r>
      <w:r w:rsidR="001F7FEF" w:rsidRPr="001F7FEF">
        <w:rPr>
          <w:sz w:val="22"/>
          <w:lang w:val="en-AU"/>
        </w:rPr>
        <w:t>efficiently</w:t>
      </w:r>
      <w:r w:rsidRPr="001F7FEF">
        <w:rPr>
          <w:sz w:val="22"/>
          <w:lang w:val="en-AU"/>
        </w:rPr>
        <w:t xml:space="preserve"> and to save power consumption, </w:t>
      </w:r>
      <w:r w:rsidR="001F7FEF" w:rsidRPr="001F7FEF">
        <w:rPr>
          <w:sz w:val="22"/>
          <w:lang w:val="en-AU"/>
        </w:rPr>
        <w:t xml:space="preserve">it is beneficial for </w:t>
      </w:r>
      <w:r w:rsidRPr="001F7FEF">
        <w:rPr>
          <w:sz w:val="22"/>
          <w:lang w:val="en-AU"/>
        </w:rPr>
        <w:t xml:space="preserve">a MTC UE </w:t>
      </w:r>
      <w:r w:rsidR="001F7FEF" w:rsidRPr="001F7FEF">
        <w:rPr>
          <w:sz w:val="22"/>
          <w:lang w:val="en-AU"/>
        </w:rPr>
        <w:t>to know in advance</w:t>
      </w:r>
      <w:r w:rsidRPr="001F7FEF">
        <w:rPr>
          <w:sz w:val="22"/>
          <w:lang w:val="en-AU"/>
        </w:rPr>
        <w:t xml:space="preserve"> whether there will be a MTC-PDCCH transmitted for it or not and the </w:t>
      </w:r>
      <w:r w:rsidR="006E0F91">
        <w:rPr>
          <w:sz w:val="22"/>
          <w:lang w:val="en-AU"/>
        </w:rPr>
        <w:t>repetition level for the associated</w:t>
      </w:r>
      <w:r w:rsidRPr="001F7FEF">
        <w:rPr>
          <w:sz w:val="22"/>
          <w:lang w:val="en-AU"/>
        </w:rPr>
        <w:t xml:space="preserve"> MTC-PDCCH transmission.</w:t>
      </w:r>
      <w:r w:rsidR="001F7FEF">
        <w:rPr>
          <w:sz w:val="22"/>
          <w:lang w:val="en-AU"/>
        </w:rPr>
        <w:t xml:space="preserve"> </w:t>
      </w:r>
      <w:r w:rsidR="001F7FEF" w:rsidRPr="001F7FEF">
        <w:rPr>
          <w:bCs/>
          <w:sz w:val="22"/>
          <w:szCs w:val="22"/>
        </w:rPr>
        <w:t>That is,</w:t>
      </w:r>
      <w:r w:rsidR="001F7FEF" w:rsidRPr="001F7FEF">
        <w:rPr>
          <w:bCs/>
          <w:sz w:val="22"/>
          <w:szCs w:val="22"/>
          <w:lang w:val="en-AU" w:eastAsia="en-AU"/>
        </w:rPr>
        <w:t xml:space="preserve"> no processing power </w:t>
      </w:r>
      <w:r w:rsidR="001F7FEF" w:rsidRPr="001F7FEF">
        <w:rPr>
          <w:bCs/>
          <w:sz w:val="22"/>
          <w:szCs w:val="22"/>
        </w:rPr>
        <w:t>wasted on detecting unintended/unnecessary</w:t>
      </w:r>
      <w:r w:rsidR="001F7FEF" w:rsidRPr="001F7FEF">
        <w:rPr>
          <w:bCs/>
          <w:sz w:val="22"/>
          <w:szCs w:val="22"/>
          <w:lang w:val="en-AU" w:eastAsia="en-AU"/>
        </w:rPr>
        <w:t xml:space="preserve"> </w:t>
      </w:r>
      <w:r w:rsidR="001F7FEF" w:rsidRPr="001F7FEF">
        <w:rPr>
          <w:bCs/>
          <w:sz w:val="22"/>
          <w:szCs w:val="22"/>
        </w:rPr>
        <w:t>MTC-PDCCH and its repetitions</w:t>
      </w:r>
      <w:r w:rsidR="001F7FEF" w:rsidRPr="001F7FEF">
        <w:rPr>
          <w:bCs/>
          <w:sz w:val="22"/>
          <w:szCs w:val="22"/>
          <w:lang w:val="en-AU" w:eastAsia="en-AU"/>
        </w:rPr>
        <w:t>.</w:t>
      </w:r>
    </w:p>
    <w:p w:rsidR="006E0F91" w:rsidRPr="000434B7" w:rsidRDefault="006E0F91" w:rsidP="006E0F91">
      <w:pPr>
        <w:spacing w:after="120"/>
        <w:jc w:val="both"/>
        <w:rPr>
          <w:b/>
          <w:bCs/>
          <w:i/>
          <w:sz w:val="22"/>
          <w:szCs w:val="22"/>
          <w:lang w:val="en-AU" w:eastAsia="en-AU"/>
        </w:rPr>
      </w:pPr>
      <w:r w:rsidRPr="000434B7">
        <w:rPr>
          <w:b/>
          <w:bCs/>
          <w:i/>
          <w:sz w:val="22"/>
          <w:szCs w:val="22"/>
          <w:lang w:val="en-AU" w:eastAsia="en-AU"/>
        </w:rPr>
        <w:t xml:space="preserve">Proposal </w:t>
      </w:r>
      <w:r>
        <w:rPr>
          <w:b/>
          <w:bCs/>
          <w:i/>
          <w:sz w:val="22"/>
          <w:szCs w:val="22"/>
          <w:lang w:val="en-AU" w:eastAsia="en-AU"/>
        </w:rPr>
        <w:t>1</w:t>
      </w:r>
      <w:r w:rsidRPr="000434B7">
        <w:rPr>
          <w:b/>
          <w:bCs/>
          <w:i/>
          <w:sz w:val="22"/>
          <w:szCs w:val="22"/>
          <w:lang w:val="en-AU" w:eastAsia="en-AU"/>
        </w:rPr>
        <w:t xml:space="preserve">:  </w:t>
      </w:r>
      <w:r>
        <w:rPr>
          <w:b/>
          <w:bCs/>
          <w:i/>
          <w:sz w:val="22"/>
          <w:szCs w:val="22"/>
          <w:lang w:val="en-AU" w:eastAsia="en-AU"/>
        </w:rPr>
        <w:t xml:space="preserve">It is proposed to indicate in advance transmission of MTC-PDCCH and its associated repetition level </w:t>
      </w:r>
      <w:r w:rsidR="00E156A4">
        <w:rPr>
          <w:b/>
          <w:bCs/>
          <w:i/>
          <w:sz w:val="22"/>
          <w:szCs w:val="22"/>
          <w:lang w:val="en-AU" w:eastAsia="en-AU"/>
        </w:rPr>
        <w:t xml:space="preserve">to MTC </w:t>
      </w:r>
      <w:r>
        <w:rPr>
          <w:b/>
          <w:bCs/>
          <w:i/>
          <w:sz w:val="22"/>
          <w:szCs w:val="22"/>
          <w:lang w:val="en-AU" w:eastAsia="en-AU"/>
        </w:rPr>
        <w:t>UE to save power consumption.</w:t>
      </w:r>
    </w:p>
    <w:p w:rsidR="00BC39F5" w:rsidRDefault="00BC39F5" w:rsidP="00EA31DD">
      <w:pPr>
        <w:spacing w:after="120"/>
        <w:jc w:val="both"/>
        <w:rPr>
          <w:bCs/>
          <w:sz w:val="22"/>
          <w:szCs w:val="22"/>
          <w:lang w:val="en-AU" w:eastAsia="en-AU"/>
        </w:rPr>
      </w:pPr>
    </w:p>
    <w:p w:rsidR="000434B7" w:rsidRDefault="00535925" w:rsidP="00BC39F5">
      <w:pPr>
        <w:spacing w:after="240"/>
        <w:jc w:val="both"/>
        <w:rPr>
          <w:bCs/>
          <w:sz w:val="22"/>
          <w:szCs w:val="22"/>
          <w:lang w:val="en-AU" w:eastAsia="en-AU"/>
        </w:rPr>
      </w:pPr>
      <w:r>
        <w:rPr>
          <w:bCs/>
          <w:sz w:val="22"/>
          <w:szCs w:val="22"/>
          <w:lang w:val="en-AU" w:eastAsia="en-AU"/>
        </w:rPr>
        <w:t xml:space="preserve">To indicate the intention of transmitting and the repetition level of MTC-PDCCH, one straight forward method is to provide this indication via dynamic signalling to the intended MTC UE. Although semi-static configuration or pre-configuration of a repetition level for MTC-PDCCH is possible for certain type of MTC UEs in coverage enhanced mode, this may not be always suitable for other MTC UEs for example in mobility that also requires coverage enhancement. Moreover, even for the same type of MTC UEs that always operates in coverage enhanced mode (e.g. smart meters with basement installation), some UEs may be in closer range to the serving cell eNB </w:t>
      </w:r>
      <w:r w:rsidR="00E156A4">
        <w:rPr>
          <w:bCs/>
          <w:sz w:val="22"/>
          <w:szCs w:val="22"/>
          <w:lang w:val="en-AU" w:eastAsia="en-AU"/>
        </w:rPr>
        <w:t>that require</w:t>
      </w:r>
      <w:r>
        <w:rPr>
          <w:bCs/>
          <w:sz w:val="22"/>
          <w:szCs w:val="22"/>
          <w:lang w:val="en-AU" w:eastAsia="en-AU"/>
        </w:rPr>
        <w:t xml:space="preserve"> less coverage enhancement than those that are far away from the eNB.</w:t>
      </w:r>
      <w:r w:rsidR="008F0833">
        <w:rPr>
          <w:bCs/>
          <w:sz w:val="22"/>
          <w:szCs w:val="22"/>
          <w:lang w:val="en-AU" w:eastAsia="en-AU"/>
        </w:rPr>
        <w:t xml:space="preserve"> Hence, dynamic signalling would seem </w:t>
      </w:r>
      <w:r w:rsidR="00E156A4">
        <w:rPr>
          <w:bCs/>
          <w:sz w:val="22"/>
          <w:szCs w:val="22"/>
          <w:lang w:val="en-AU" w:eastAsia="en-AU"/>
        </w:rPr>
        <w:t xml:space="preserve">more </w:t>
      </w:r>
      <w:r w:rsidR="008F0833">
        <w:rPr>
          <w:bCs/>
          <w:sz w:val="22"/>
          <w:szCs w:val="22"/>
          <w:lang w:val="en-AU" w:eastAsia="en-AU"/>
        </w:rPr>
        <w:t>appropriate and justified for indicating the transmission and repetition level of a MTC-PDCCH to the intended UE.</w:t>
      </w:r>
    </w:p>
    <w:p w:rsidR="00535925" w:rsidRDefault="000434B7" w:rsidP="00EA31DD">
      <w:pPr>
        <w:spacing w:after="120"/>
        <w:jc w:val="both"/>
        <w:rPr>
          <w:b/>
          <w:bCs/>
          <w:i/>
          <w:sz w:val="22"/>
          <w:szCs w:val="22"/>
          <w:lang w:val="en-AU" w:eastAsia="en-AU"/>
        </w:rPr>
      </w:pPr>
      <w:r w:rsidRPr="000434B7">
        <w:rPr>
          <w:b/>
          <w:bCs/>
          <w:i/>
          <w:sz w:val="22"/>
          <w:szCs w:val="22"/>
          <w:lang w:val="en-AU" w:eastAsia="en-AU"/>
        </w:rPr>
        <w:t xml:space="preserve">Proposal </w:t>
      </w:r>
      <w:r w:rsidR="006E0F91">
        <w:rPr>
          <w:b/>
          <w:bCs/>
          <w:i/>
          <w:sz w:val="22"/>
          <w:szCs w:val="22"/>
          <w:lang w:val="en-AU" w:eastAsia="en-AU"/>
        </w:rPr>
        <w:t>2</w:t>
      </w:r>
      <w:r w:rsidRPr="000434B7">
        <w:rPr>
          <w:b/>
          <w:bCs/>
          <w:i/>
          <w:sz w:val="22"/>
          <w:szCs w:val="22"/>
          <w:lang w:val="en-AU" w:eastAsia="en-AU"/>
        </w:rPr>
        <w:t xml:space="preserve">: </w:t>
      </w:r>
      <w:r w:rsidR="008F0833" w:rsidRPr="000434B7">
        <w:rPr>
          <w:b/>
          <w:bCs/>
          <w:i/>
          <w:sz w:val="22"/>
          <w:szCs w:val="22"/>
          <w:lang w:val="en-AU" w:eastAsia="en-AU"/>
        </w:rPr>
        <w:t xml:space="preserve"> </w:t>
      </w:r>
      <w:r>
        <w:rPr>
          <w:b/>
          <w:bCs/>
          <w:i/>
          <w:sz w:val="22"/>
          <w:szCs w:val="22"/>
          <w:lang w:val="en-AU" w:eastAsia="en-AU"/>
        </w:rPr>
        <w:t xml:space="preserve">It is proposed to dynamically signal </w:t>
      </w:r>
      <w:r w:rsidR="006E0F91">
        <w:rPr>
          <w:b/>
          <w:bCs/>
          <w:i/>
          <w:sz w:val="22"/>
          <w:szCs w:val="22"/>
          <w:lang w:val="en-AU" w:eastAsia="en-AU"/>
        </w:rPr>
        <w:t>the indication in Proposal 1</w:t>
      </w:r>
      <w:r>
        <w:rPr>
          <w:b/>
          <w:bCs/>
          <w:i/>
          <w:sz w:val="22"/>
          <w:szCs w:val="22"/>
          <w:lang w:val="en-AU" w:eastAsia="en-AU"/>
        </w:rPr>
        <w:t xml:space="preserve"> to the intended UE.</w:t>
      </w:r>
    </w:p>
    <w:p w:rsidR="00BC39F5" w:rsidRPr="000434B7" w:rsidRDefault="00BC39F5" w:rsidP="00EA31DD">
      <w:pPr>
        <w:spacing w:after="120"/>
        <w:jc w:val="both"/>
        <w:rPr>
          <w:b/>
          <w:bCs/>
          <w:i/>
          <w:sz w:val="22"/>
          <w:szCs w:val="22"/>
          <w:lang w:val="en-AU" w:eastAsia="en-AU"/>
        </w:rPr>
      </w:pPr>
    </w:p>
    <w:p w:rsidR="00BC39F5" w:rsidRPr="00BC39F5" w:rsidRDefault="003C4407" w:rsidP="00BC39F5">
      <w:pPr>
        <w:pStyle w:val="Heading2"/>
        <w:tabs>
          <w:tab w:val="clear" w:pos="2694"/>
          <w:tab w:val="num" w:pos="567"/>
        </w:tabs>
        <w:spacing w:after="120"/>
        <w:ind w:left="567"/>
        <w:rPr>
          <w:sz w:val="22"/>
          <w:lang w:val="en-AU"/>
        </w:rPr>
      </w:pPr>
      <w:r>
        <w:rPr>
          <w:sz w:val="22"/>
          <w:lang w:val="en-AU"/>
        </w:rPr>
        <w:t>Dynamic signalling</w:t>
      </w:r>
    </w:p>
    <w:p w:rsidR="000A10ED" w:rsidRPr="003C4407" w:rsidRDefault="003C4407" w:rsidP="003C4407">
      <w:pPr>
        <w:spacing w:after="120"/>
        <w:jc w:val="both"/>
        <w:rPr>
          <w:bCs/>
          <w:sz w:val="22"/>
          <w:szCs w:val="22"/>
        </w:rPr>
      </w:pPr>
      <w:r w:rsidRPr="003C4407">
        <w:rPr>
          <w:sz w:val="22"/>
          <w:szCs w:val="22"/>
          <w:lang w:val="en-AU"/>
        </w:rPr>
        <w:t xml:space="preserve">Dynamic signalling of </w:t>
      </w:r>
      <w:r w:rsidR="00B10362">
        <w:rPr>
          <w:sz w:val="22"/>
          <w:szCs w:val="22"/>
          <w:lang w:val="en-AU"/>
        </w:rPr>
        <w:t>the above indication itself</w:t>
      </w:r>
      <w:r w:rsidRPr="003C4407">
        <w:rPr>
          <w:bCs/>
          <w:sz w:val="22"/>
          <w:szCs w:val="22"/>
        </w:rPr>
        <w:t xml:space="preserve"> should be repeated to account for poor-coverage MTC devices and transmitted over the common or UE-specific search space. </w:t>
      </w:r>
      <w:r w:rsidR="000A10ED" w:rsidRPr="003C4407">
        <w:rPr>
          <w:bCs/>
          <w:sz w:val="22"/>
          <w:szCs w:val="22"/>
        </w:rPr>
        <w:t>To ensure correct reception of the dynamic signalling with limited number of repetition for MTC UEs, the required content and its size should be kept minimal. One option is to in</w:t>
      </w:r>
      <w:r w:rsidRPr="003C4407">
        <w:rPr>
          <w:bCs/>
          <w:sz w:val="22"/>
          <w:szCs w:val="22"/>
        </w:rPr>
        <w:t>clude just the repetition level</w:t>
      </w:r>
      <w:r w:rsidR="000A10ED" w:rsidRPr="003C4407">
        <w:rPr>
          <w:bCs/>
          <w:sz w:val="22"/>
          <w:szCs w:val="22"/>
        </w:rPr>
        <w:t xml:space="preserve"> of subsequent MTC-PDCCH in the dynamic sign</w:t>
      </w:r>
      <w:r w:rsidR="001D7D9A">
        <w:rPr>
          <w:bCs/>
          <w:sz w:val="22"/>
          <w:szCs w:val="22"/>
        </w:rPr>
        <w:t xml:space="preserve">alling transmitted to MTC </w:t>
      </w:r>
      <w:r w:rsidR="00D4383E" w:rsidRPr="003C4407">
        <w:rPr>
          <w:bCs/>
          <w:sz w:val="22"/>
          <w:szCs w:val="22"/>
        </w:rPr>
        <w:t>UEs via</w:t>
      </w:r>
      <w:r w:rsidR="000A10ED" w:rsidRPr="003C4407">
        <w:rPr>
          <w:bCs/>
          <w:sz w:val="22"/>
          <w:szCs w:val="22"/>
        </w:rPr>
        <w:t xml:space="preserve"> DCI.</w:t>
      </w:r>
      <w:r w:rsidR="00B10362">
        <w:rPr>
          <w:bCs/>
          <w:sz w:val="22"/>
          <w:szCs w:val="22"/>
        </w:rPr>
        <w:t xml:space="preserve"> Assuming 4 repetition levels are sufficient for the </w:t>
      </w:r>
      <w:r w:rsidR="00723754">
        <w:rPr>
          <w:bCs/>
          <w:sz w:val="22"/>
          <w:szCs w:val="22"/>
        </w:rPr>
        <w:t xml:space="preserve">reception of </w:t>
      </w:r>
      <w:r w:rsidR="00B10362">
        <w:rPr>
          <w:bCs/>
          <w:sz w:val="22"/>
          <w:szCs w:val="22"/>
        </w:rPr>
        <w:t>MTC-</w:t>
      </w:r>
      <w:proofErr w:type="gramStart"/>
      <w:r w:rsidR="00B10362">
        <w:rPr>
          <w:bCs/>
          <w:sz w:val="22"/>
          <w:szCs w:val="22"/>
        </w:rPr>
        <w:t>PDCCH,</w:t>
      </w:r>
      <w:proofErr w:type="gramEnd"/>
      <w:r w:rsidR="00B10362">
        <w:rPr>
          <w:bCs/>
          <w:sz w:val="22"/>
          <w:szCs w:val="22"/>
        </w:rPr>
        <w:t xml:space="preserve"> this can be readily represented by using 2 bits in the dynamic signalling DCI.</w:t>
      </w:r>
      <w:r w:rsidR="001D7D9A">
        <w:rPr>
          <w:bCs/>
          <w:sz w:val="22"/>
          <w:szCs w:val="22"/>
        </w:rPr>
        <w:t xml:space="preserve"> Furthermore, the CRC for this dynamic DCI should be scrambled by a MTC-RNTI, which ensures the dynamic DCI is only intended for a specific UE or a group of UEs.</w:t>
      </w:r>
    </w:p>
    <w:p w:rsidR="007A7E91" w:rsidRDefault="00B10362" w:rsidP="00590CCC">
      <w:pPr>
        <w:spacing w:after="240"/>
        <w:jc w:val="both"/>
        <w:rPr>
          <w:sz w:val="22"/>
          <w:szCs w:val="22"/>
          <w:lang w:val="en-AU"/>
        </w:rPr>
      </w:pPr>
      <w:r w:rsidRPr="00B10362">
        <w:rPr>
          <w:bCs/>
          <w:sz w:val="22"/>
          <w:szCs w:val="22"/>
        </w:rPr>
        <w:t>The r</w:t>
      </w:r>
      <w:r w:rsidR="007A7E91" w:rsidRPr="00B10362">
        <w:rPr>
          <w:bCs/>
          <w:sz w:val="22"/>
          <w:szCs w:val="22"/>
        </w:rPr>
        <w:t xml:space="preserve">epetition </w:t>
      </w:r>
      <w:r w:rsidRPr="00B10362">
        <w:rPr>
          <w:bCs/>
          <w:sz w:val="22"/>
          <w:szCs w:val="22"/>
        </w:rPr>
        <w:t xml:space="preserve">of dynamic signalling </w:t>
      </w:r>
      <w:r w:rsidR="00164D6A">
        <w:rPr>
          <w:bCs/>
          <w:sz w:val="22"/>
          <w:szCs w:val="22"/>
        </w:rPr>
        <w:t>could</w:t>
      </w:r>
      <w:r>
        <w:rPr>
          <w:bCs/>
          <w:sz w:val="22"/>
          <w:szCs w:val="22"/>
        </w:rPr>
        <w:t xml:space="preserve"> be fixed to a</w:t>
      </w:r>
      <w:r w:rsidR="007A7E91" w:rsidRPr="00B10362">
        <w:rPr>
          <w:bCs/>
          <w:sz w:val="22"/>
          <w:szCs w:val="22"/>
        </w:rPr>
        <w:t xml:space="preserve"> predefined value (e.g. 5)</w:t>
      </w:r>
      <w:r w:rsidR="00F453B2" w:rsidRPr="00B10362">
        <w:rPr>
          <w:bCs/>
          <w:sz w:val="22"/>
          <w:szCs w:val="22"/>
        </w:rPr>
        <w:t xml:space="preserve"> and repeated over consecutive subframes in a radio frame before the radio frame having </w:t>
      </w:r>
      <w:r>
        <w:rPr>
          <w:bCs/>
          <w:sz w:val="22"/>
          <w:szCs w:val="22"/>
        </w:rPr>
        <w:t xml:space="preserve">the actual scheduling DCI on </w:t>
      </w:r>
      <w:r w:rsidR="00723754">
        <w:rPr>
          <w:bCs/>
          <w:sz w:val="22"/>
          <w:szCs w:val="22"/>
        </w:rPr>
        <w:t xml:space="preserve">the </w:t>
      </w:r>
      <w:r>
        <w:rPr>
          <w:bCs/>
          <w:sz w:val="22"/>
          <w:szCs w:val="22"/>
        </w:rPr>
        <w:t>E</w:t>
      </w:r>
      <w:r w:rsidR="00F453B2" w:rsidRPr="00B10362">
        <w:rPr>
          <w:bCs/>
          <w:sz w:val="22"/>
          <w:szCs w:val="22"/>
        </w:rPr>
        <w:t>PDCCH UE-specific search space.</w:t>
      </w:r>
      <w:r>
        <w:rPr>
          <w:bCs/>
          <w:sz w:val="22"/>
          <w:szCs w:val="22"/>
        </w:rPr>
        <w:t xml:space="preserve"> </w:t>
      </w:r>
      <w:r w:rsidR="001C5086">
        <w:rPr>
          <w:bCs/>
          <w:sz w:val="22"/>
          <w:szCs w:val="22"/>
        </w:rPr>
        <w:t xml:space="preserve">In Figure 1, </w:t>
      </w:r>
      <w:r w:rsidR="00164D6A">
        <w:rPr>
          <w:bCs/>
          <w:sz w:val="22"/>
          <w:szCs w:val="22"/>
        </w:rPr>
        <w:t>various performance results of UE decoding of</w:t>
      </w:r>
      <w:r w:rsidR="001C5086">
        <w:rPr>
          <w:bCs/>
          <w:sz w:val="22"/>
          <w:szCs w:val="22"/>
        </w:rPr>
        <w:t xml:space="preserve"> the proposed dynamic DCI with high CCE aggregation level of L = 8</w:t>
      </w:r>
      <w:r w:rsidR="00164D6A">
        <w:rPr>
          <w:bCs/>
          <w:sz w:val="22"/>
          <w:szCs w:val="22"/>
        </w:rPr>
        <w:t xml:space="preserve"> are provided</w:t>
      </w:r>
      <w:r w:rsidR="001C5086">
        <w:rPr>
          <w:bCs/>
          <w:sz w:val="22"/>
          <w:szCs w:val="22"/>
        </w:rPr>
        <w:t xml:space="preserve">. The results </w:t>
      </w:r>
      <w:r w:rsidR="00164D6A">
        <w:rPr>
          <w:sz w:val="22"/>
          <w:szCs w:val="22"/>
          <w:lang w:val="en-AU"/>
        </w:rPr>
        <w:t>show</w:t>
      </w:r>
      <w:r w:rsidR="001C5086" w:rsidRPr="001C5086">
        <w:rPr>
          <w:sz w:val="22"/>
          <w:szCs w:val="22"/>
          <w:lang w:val="en-AU"/>
        </w:rPr>
        <w:t xml:space="preserve"> </w:t>
      </w:r>
      <w:r w:rsidR="001C5086">
        <w:rPr>
          <w:sz w:val="22"/>
          <w:szCs w:val="22"/>
          <w:lang w:val="en-AU"/>
        </w:rPr>
        <w:t>t</w:t>
      </w:r>
      <w:r w:rsidR="001C5086" w:rsidRPr="001C5086">
        <w:rPr>
          <w:sz w:val="22"/>
          <w:szCs w:val="22"/>
          <w:lang w:val="en-AU"/>
        </w:rPr>
        <w:t>he rate of successful detection is high (</w:t>
      </w:r>
      <w:r w:rsidR="00164D6A">
        <w:rPr>
          <w:sz w:val="22"/>
          <w:szCs w:val="22"/>
          <w:lang w:val="en-AU"/>
        </w:rPr>
        <w:t xml:space="preserve">99% at </w:t>
      </w:r>
      <w:r w:rsidR="001C5086" w:rsidRPr="001C5086">
        <w:rPr>
          <w:sz w:val="22"/>
          <w:szCs w:val="22"/>
          <w:lang w:val="en-AU"/>
        </w:rPr>
        <w:t>-14dB</w:t>
      </w:r>
      <w:r w:rsidR="00164D6A">
        <w:rPr>
          <w:sz w:val="22"/>
          <w:szCs w:val="22"/>
          <w:lang w:val="en-AU"/>
        </w:rPr>
        <w:t xml:space="preserve"> SNR</w:t>
      </w:r>
      <w:r w:rsidR="001C5086" w:rsidRPr="001C5086">
        <w:rPr>
          <w:sz w:val="22"/>
          <w:szCs w:val="22"/>
          <w:lang w:val="en-AU"/>
        </w:rPr>
        <w:t>) and the rate of false detection</w:t>
      </w:r>
      <w:r w:rsidR="00164D6A">
        <w:rPr>
          <w:sz w:val="22"/>
          <w:szCs w:val="22"/>
          <w:lang w:val="en-AU"/>
        </w:rPr>
        <w:t>s</w:t>
      </w:r>
      <w:r w:rsidR="001C5086" w:rsidRPr="001C5086">
        <w:rPr>
          <w:sz w:val="22"/>
          <w:szCs w:val="22"/>
          <w:lang w:val="en-AU"/>
        </w:rPr>
        <w:t xml:space="preserve"> </w:t>
      </w:r>
      <w:r w:rsidR="00164D6A">
        <w:rPr>
          <w:sz w:val="22"/>
          <w:szCs w:val="22"/>
          <w:lang w:val="en-AU"/>
        </w:rPr>
        <w:t>are</w:t>
      </w:r>
      <w:r w:rsidR="001C5086" w:rsidRPr="001C5086">
        <w:rPr>
          <w:sz w:val="22"/>
          <w:szCs w:val="22"/>
          <w:lang w:val="en-AU"/>
        </w:rPr>
        <w:t xml:space="preserve"> </w:t>
      </w:r>
      <w:r w:rsidR="00723754">
        <w:rPr>
          <w:sz w:val="22"/>
          <w:szCs w:val="22"/>
          <w:lang w:val="en-AU"/>
        </w:rPr>
        <w:t>consistently</w:t>
      </w:r>
      <w:r w:rsidR="00164D6A">
        <w:rPr>
          <w:sz w:val="22"/>
          <w:szCs w:val="22"/>
          <w:lang w:val="en-AU"/>
        </w:rPr>
        <w:t xml:space="preserve"> </w:t>
      </w:r>
      <w:r w:rsidR="001C5086" w:rsidRPr="001C5086">
        <w:rPr>
          <w:sz w:val="22"/>
          <w:szCs w:val="22"/>
          <w:lang w:val="en-AU"/>
        </w:rPr>
        <w:t>low (less than 0.075%)</w:t>
      </w:r>
      <w:r w:rsidR="00723754">
        <w:rPr>
          <w:sz w:val="22"/>
          <w:szCs w:val="22"/>
          <w:lang w:val="en-AU"/>
        </w:rPr>
        <w:t xml:space="preserve"> at very low SNR</w:t>
      </w:r>
      <w:r w:rsidR="001C5086" w:rsidRPr="001C5086">
        <w:rPr>
          <w:sz w:val="22"/>
          <w:szCs w:val="22"/>
          <w:lang w:val="en-AU"/>
        </w:rPr>
        <w:t>.</w:t>
      </w:r>
    </w:p>
    <w:p w:rsidR="00590CCC" w:rsidRDefault="00590CCC" w:rsidP="00590CCC">
      <w:pPr>
        <w:spacing w:after="120"/>
        <w:jc w:val="both"/>
        <w:rPr>
          <w:b/>
          <w:bCs/>
          <w:i/>
          <w:sz w:val="22"/>
          <w:szCs w:val="22"/>
          <w:lang w:val="en-AU" w:eastAsia="en-AU"/>
        </w:rPr>
      </w:pPr>
      <w:r>
        <w:rPr>
          <w:b/>
          <w:bCs/>
          <w:i/>
          <w:sz w:val="22"/>
          <w:szCs w:val="22"/>
          <w:lang w:val="en-AU" w:eastAsia="en-AU"/>
        </w:rPr>
        <w:t>Observation</w:t>
      </w:r>
      <w:r w:rsidRPr="000434B7">
        <w:rPr>
          <w:b/>
          <w:bCs/>
          <w:i/>
          <w:sz w:val="22"/>
          <w:szCs w:val="22"/>
          <w:lang w:val="en-AU" w:eastAsia="en-AU"/>
        </w:rPr>
        <w:t xml:space="preserve">: </w:t>
      </w:r>
      <w:r>
        <w:rPr>
          <w:b/>
          <w:bCs/>
          <w:i/>
          <w:sz w:val="22"/>
          <w:szCs w:val="22"/>
          <w:lang w:val="en-AU" w:eastAsia="en-AU"/>
        </w:rPr>
        <w:t>When the proposed dynamic DCI indication includes only the minimum required field, 2-bit repetition level for MTC-PDCCH and it is transmitted using high aggregation level (e.g. L=8) and repeated over e.g. 5 times, acceptable performance of miss-detection and false detection can still be achieved at low SNR (e.g. -14dB).</w:t>
      </w:r>
      <w:bookmarkStart w:id="0" w:name="_GoBack"/>
      <w:bookmarkEnd w:id="0"/>
    </w:p>
    <w:p w:rsidR="00590CCC" w:rsidRDefault="00590CCC" w:rsidP="00B10362">
      <w:pPr>
        <w:spacing w:after="120"/>
        <w:jc w:val="both"/>
        <w:rPr>
          <w:sz w:val="22"/>
          <w:szCs w:val="22"/>
          <w:lang w:val="en-AU"/>
        </w:rPr>
      </w:pPr>
    </w:p>
    <w:p w:rsidR="00164D6A" w:rsidRDefault="00481D23" w:rsidP="00164D6A">
      <w:pPr>
        <w:keepNext/>
        <w:spacing w:after="120"/>
        <w:jc w:val="center"/>
      </w:pPr>
      <w:r>
        <w:rPr>
          <w:noProof/>
          <w:lang w:val="en-AU" w:eastAsia="en-AU"/>
        </w:rPr>
        <w:drawing>
          <wp:inline distT="0" distB="0" distL="0" distR="0">
            <wp:extent cx="3528083" cy="271945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28320" cy="2719633"/>
                    </a:xfrm>
                    <a:prstGeom prst="rect">
                      <a:avLst/>
                    </a:prstGeom>
                    <a:noFill/>
                    <a:ln>
                      <a:noFill/>
                    </a:ln>
                  </pic:spPr>
                </pic:pic>
              </a:graphicData>
            </a:graphic>
          </wp:inline>
        </w:drawing>
      </w:r>
    </w:p>
    <w:p w:rsidR="00164D6A" w:rsidRPr="00481D23" w:rsidRDefault="00164D6A" w:rsidP="00164D6A">
      <w:pPr>
        <w:pStyle w:val="Caption"/>
        <w:rPr>
          <w:rFonts w:ascii="Times New Roman" w:hAnsi="Times New Roman"/>
          <w:szCs w:val="22"/>
          <w:lang w:val="en-AU"/>
        </w:rPr>
      </w:pPr>
      <w:r w:rsidRPr="00481D23">
        <w:rPr>
          <w:rFonts w:ascii="Times New Roman" w:hAnsi="Times New Roman"/>
        </w:rPr>
        <w:t xml:space="preserve">Figure </w:t>
      </w:r>
      <w:r w:rsidRPr="00481D23">
        <w:rPr>
          <w:rFonts w:ascii="Times New Roman" w:hAnsi="Times New Roman"/>
        </w:rPr>
        <w:fldChar w:fldCharType="begin"/>
      </w:r>
      <w:r w:rsidRPr="00481D23">
        <w:rPr>
          <w:rFonts w:ascii="Times New Roman" w:hAnsi="Times New Roman"/>
        </w:rPr>
        <w:instrText xml:space="preserve"> SEQ Figure \* ARABIC </w:instrText>
      </w:r>
      <w:r w:rsidRPr="00481D23">
        <w:rPr>
          <w:rFonts w:ascii="Times New Roman" w:hAnsi="Times New Roman"/>
        </w:rPr>
        <w:fldChar w:fldCharType="separate"/>
      </w:r>
      <w:r w:rsidR="0027292C">
        <w:rPr>
          <w:rFonts w:ascii="Times New Roman" w:hAnsi="Times New Roman"/>
          <w:noProof/>
        </w:rPr>
        <w:t>1</w:t>
      </w:r>
      <w:r w:rsidRPr="00481D23">
        <w:rPr>
          <w:rFonts w:ascii="Times New Roman" w:hAnsi="Times New Roman"/>
        </w:rPr>
        <w:fldChar w:fldCharType="end"/>
      </w:r>
      <w:r w:rsidRPr="00481D23">
        <w:rPr>
          <w:rFonts w:ascii="Times New Roman" w:hAnsi="Times New Roman"/>
        </w:rPr>
        <w:t xml:space="preserve">: </w:t>
      </w:r>
    </w:p>
    <w:p w:rsidR="00164D6A" w:rsidRDefault="00164D6A" w:rsidP="00B10362">
      <w:pPr>
        <w:spacing w:after="120"/>
        <w:jc w:val="both"/>
        <w:rPr>
          <w:bCs/>
          <w:sz w:val="22"/>
          <w:szCs w:val="22"/>
        </w:rPr>
      </w:pPr>
      <w:r>
        <w:rPr>
          <w:bCs/>
          <w:sz w:val="22"/>
          <w:szCs w:val="22"/>
        </w:rPr>
        <w:t>Simulation setup used in generating the above performance curves and explanation of f</w:t>
      </w:r>
      <w:r w:rsidR="00590CCC">
        <w:rPr>
          <w:bCs/>
          <w:sz w:val="22"/>
          <w:szCs w:val="22"/>
        </w:rPr>
        <w:t>igure legends</w:t>
      </w:r>
      <w:r>
        <w:rPr>
          <w:bCs/>
          <w:sz w:val="22"/>
          <w:szCs w:val="22"/>
        </w:rPr>
        <w:t xml:space="preserve"> are listed in the following.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44"/>
        <w:gridCol w:w="1887"/>
      </w:tblGrid>
      <w:tr w:rsidR="00164D6A" w:rsidRPr="00164D6A" w:rsidTr="006072EF">
        <w:trPr>
          <w:trHeight w:val="297"/>
          <w:jc w:val="center"/>
        </w:trPr>
        <w:tc>
          <w:tcPr>
            <w:tcW w:w="6344" w:type="dxa"/>
            <w:shd w:val="clear" w:color="auto" w:fill="auto"/>
          </w:tcPr>
          <w:p w:rsidR="00164D6A" w:rsidRPr="00164D6A" w:rsidRDefault="00164D6A" w:rsidP="006072EF">
            <w:pPr>
              <w:pStyle w:val="Caption"/>
              <w:spacing w:after="0"/>
              <w:ind w:left="65"/>
              <w:rPr>
                <w:rFonts w:ascii="Times New Roman" w:hAnsi="Times New Roman"/>
                <w:szCs w:val="22"/>
              </w:rPr>
            </w:pPr>
            <w:r w:rsidRPr="00164D6A">
              <w:rPr>
                <w:rFonts w:ascii="Times New Roman" w:hAnsi="Times New Roman"/>
                <w:szCs w:val="22"/>
              </w:rPr>
              <w:t>Parameter</w:t>
            </w:r>
          </w:p>
        </w:tc>
        <w:tc>
          <w:tcPr>
            <w:tcW w:w="1887" w:type="dxa"/>
            <w:shd w:val="clear" w:color="auto" w:fill="auto"/>
          </w:tcPr>
          <w:p w:rsidR="00164D6A" w:rsidRPr="00164D6A" w:rsidRDefault="00164D6A" w:rsidP="006072EF">
            <w:pPr>
              <w:pStyle w:val="Caption"/>
              <w:spacing w:after="0"/>
              <w:rPr>
                <w:rFonts w:ascii="Times New Roman" w:hAnsi="Times New Roman"/>
                <w:szCs w:val="22"/>
              </w:rPr>
            </w:pPr>
            <w:r w:rsidRPr="00164D6A">
              <w:rPr>
                <w:rFonts w:ascii="Times New Roman" w:hAnsi="Times New Roman"/>
                <w:szCs w:val="22"/>
              </w:rPr>
              <w:t>Value</w:t>
            </w:r>
          </w:p>
        </w:tc>
      </w:tr>
      <w:tr w:rsidR="00164D6A" w:rsidRPr="00164D6A" w:rsidTr="006072EF">
        <w:trPr>
          <w:trHeight w:val="231"/>
          <w:jc w:val="center"/>
        </w:trPr>
        <w:tc>
          <w:tcPr>
            <w:tcW w:w="6344" w:type="dxa"/>
            <w:shd w:val="clear" w:color="auto" w:fill="auto"/>
          </w:tcPr>
          <w:p w:rsidR="00164D6A" w:rsidRPr="00164D6A" w:rsidRDefault="00164D6A" w:rsidP="006072EF">
            <w:pPr>
              <w:pStyle w:val="Caption"/>
              <w:spacing w:after="0"/>
              <w:ind w:left="65"/>
              <w:jc w:val="left"/>
              <w:rPr>
                <w:rFonts w:ascii="Times New Roman" w:hAnsi="Times New Roman"/>
                <w:b w:val="0"/>
                <w:szCs w:val="22"/>
              </w:rPr>
            </w:pPr>
            <w:r w:rsidRPr="00164D6A">
              <w:rPr>
                <w:rFonts w:ascii="Times New Roman" w:hAnsi="Times New Roman"/>
                <w:b w:val="0"/>
                <w:szCs w:val="22"/>
              </w:rPr>
              <w:t>Number of Tx antennas</w:t>
            </w:r>
          </w:p>
        </w:tc>
        <w:tc>
          <w:tcPr>
            <w:tcW w:w="1887" w:type="dxa"/>
            <w:shd w:val="clear" w:color="auto" w:fill="auto"/>
          </w:tcPr>
          <w:p w:rsidR="00164D6A" w:rsidRPr="00164D6A" w:rsidRDefault="00164D6A" w:rsidP="006072EF">
            <w:pPr>
              <w:pStyle w:val="Caption"/>
              <w:spacing w:after="0"/>
              <w:rPr>
                <w:rFonts w:ascii="Times New Roman" w:hAnsi="Times New Roman"/>
                <w:b w:val="0"/>
                <w:szCs w:val="22"/>
              </w:rPr>
            </w:pPr>
            <w:r w:rsidRPr="00164D6A">
              <w:rPr>
                <w:rFonts w:ascii="Times New Roman" w:hAnsi="Times New Roman"/>
                <w:b w:val="0"/>
                <w:szCs w:val="22"/>
              </w:rPr>
              <w:t>2</w:t>
            </w:r>
          </w:p>
        </w:tc>
      </w:tr>
      <w:tr w:rsidR="00164D6A" w:rsidRPr="00164D6A" w:rsidTr="006072EF">
        <w:trPr>
          <w:jc w:val="center"/>
        </w:trPr>
        <w:tc>
          <w:tcPr>
            <w:tcW w:w="6344" w:type="dxa"/>
            <w:shd w:val="clear" w:color="auto" w:fill="auto"/>
          </w:tcPr>
          <w:p w:rsidR="00164D6A" w:rsidRPr="00164D6A" w:rsidRDefault="00164D6A" w:rsidP="006072EF">
            <w:pPr>
              <w:pStyle w:val="Caption"/>
              <w:spacing w:after="0"/>
              <w:ind w:left="65"/>
              <w:jc w:val="left"/>
              <w:rPr>
                <w:rFonts w:ascii="Times New Roman" w:hAnsi="Times New Roman"/>
                <w:b w:val="0"/>
                <w:szCs w:val="22"/>
              </w:rPr>
            </w:pPr>
            <w:r w:rsidRPr="00164D6A">
              <w:rPr>
                <w:rFonts w:ascii="Times New Roman" w:hAnsi="Times New Roman"/>
                <w:b w:val="0"/>
                <w:szCs w:val="22"/>
              </w:rPr>
              <w:t>Number of Rx antennas</w:t>
            </w:r>
          </w:p>
        </w:tc>
        <w:tc>
          <w:tcPr>
            <w:tcW w:w="1887" w:type="dxa"/>
            <w:shd w:val="clear" w:color="auto" w:fill="auto"/>
          </w:tcPr>
          <w:p w:rsidR="00164D6A" w:rsidRPr="00164D6A" w:rsidRDefault="00164D6A" w:rsidP="006072EF">
            <w:pPr>
              <w:pStyle w:val="Caption"/>
              <w:spacing w:after="0"/>
              <w:rPr>
                <w:rFonts w:ascii="Times New Roman" w:hAnsi="Times New Roman"/>
                <w:b w:val="0"/>
                <w:szCs w:val="22"/>
              </w:rPr>
            </w:pPr>
            <w:r w:rsidRPr="00164D6A">
              <w:rPr>
                <w:rFonts w:ascii="Times New Roman" w:hAnsi="Times New Roman"/>
                <w:b w:val="0"/>
                <w:szCs w:val="22"/>
              </w:rPr>
              <w:t>1</w:t>
            </w:r>
          </w:p>
        </w:tc>
      </w:tr>
      <w:tr w:rsidR="00164D6A" w:rsidRPr="00164D6A" w:rsidTr="006072EF">
        <w:trPr>
          <w:jc w:val="center"/>
        </w:trPr>
        <w:tc>
          <w:tcPr>
            <w:tcW w:w="6344" w:type="dxa"/>
            <w:shd w:val="clear" w:color="auto" w:fill="auto"/>
          </w:tcPr>
          <w:p w:rsidR="00164D6A" w:rsidRPr="00164D6A" w:rsidRDefault="00164D6A" w:rsidP="006072EF">
            <w:pPr>
              <w:pStyle w:val="Caption"/>
              <w:spacing w:after="0"/>
              <w:ind w:left="65"/>
              <w:jc w:val="left"/>
              <w:rPr>
                <w:rFonts w:ascii="Times New Roman" w:hAnsi="Times New Roman"/>
                <w:b w:val="0"/>
                <w:szCs w:val="22"/>
              </w:rPr>
            </w:pPr>
            <w:r w:rsidRPr="00164D6A">
              <w:rPr>
                <w:rFonts w:ascii="Times New Roman" w:hAnsi="Times New Roman"/>
                <w:b w:val="0"/>
                <w:szCs w:val="22"/>
              </w:rPr>
              <w:t>Channel estimation (Real / Ideal)</w:t>
            </w:r>
          </w:p>
        </w:tc>
        <w:tc>
          <w:tcPr>
            <w:tcW w:w="1887" w:type="dxa"/>
            <w:shd w:val="clear" w:color="auto" w:fill="auto"/>
          </w:tcPr>
          <w:p w:rsidR="00164D6A" w:rsidRPr="00164D6A" w:rsidRDefault="00164D6A" w:rsidP="006072EF">
            <w:pPr>
              <w:pStyle w:val="Caption"/>
              <w:spacing w:after="0"/>
              <w:rPr>
                <w:rFonts w:ascii="Times New Roman" w:hAnsi="Times New Roman"/>
                <w:b w:val="0"/>
                <w:szCs w:val="22"/>
              </w:rPr>
            </w:pPr>
            <w:r w:rsidRPr="00164D6A">
              <w:rPr>
                <w:rFonts w:ascii="Times New Roman" w:hAnsi="Times New Roman"/>
                <w:b w:val="0"/>
                <w:szCs w:val="22"/>
              </w:rPr>
              <w:t>Ideal</w:t>
            </w:r>
          </w:p>
        </w:tc>
      </w:tr>
      <w:tr w:rsidR="00164D6A" w:rsidRPr="00164D6A" w:rsidTr="006072EF">
        <w:trPr>
          <w:jc w:val="center"/>
        </w:trPr>
        <w:tc>
          <w:tcPr>
            <w:tcW w:w="6344" w:type="dxa"/>
            <w:shd w:val="clear" w:color="auto" w:fill="auto"/>
          </w:tcPr>
          <w:p w:rsidR="00164D6A" w:rsidRPr="00164D6A" w:rsidRDefault="00164D6A" w:rsidP="006072EF">
            <w:pPr>
              <w:pStyle w:val="Caption"/>
              <w:spacing w:after="0"/>
              <w:ind w:left="65"/>
              <w:jc w:val="left"/>
              <w:rPr>
                <w:rFonts w:ascii="Times New Roman" w:hAnsi="Times New Roman"/>
                <w:b w:val="0"/>
                <w:szCs w:val="22"/>
              </w:rPr>
            </w:pPr>
            <w:r w:rsidRPr="00164D6A">
              <w:rPr>
                <w:rFonts w:ascii="Times New Roman" w:hAnsi="Times New Roman"/>
                <w:b w:val="0"/>
                <w:szCs w:val="22"/>
              </w:rPr>
              <w:t>Number of Resource Blocks</w:t>
            </w:r>
          </w:p>
        </w:tc>
        <w:tc>
          <w:tcPr>
            <w:tcW w:w="1887" w:type="dxa"/>
            <w:shd w:val="clear" w:color="auto" w:fill="auto"/>
          </w:tcPr>
          <w:p w:rsidR="00164D6A" w:rsidRPr="00164D6A" w:rsidRDefault="00164D6A" w:rsidP="006072EF">
            <w:pPr>
              <w:pStyle w:val="Caption"/>
              <w:spacing w:after="0"/>
              <w:rPr>
                <w:rFonts w:ascii="Times New Roman" w:hAnsi="Times New Roman"/>
                <w:b w:val="0"/>
                <w:szCs w:val="22"/>
              </w:rPr>
            </w:pPr>
            <w:r w:rsidRPr="00164D6A">
              <w:rPr>
                <w:rFonts w:ascii="Times New Roman" w:hAnsi="Times New Roman"/>
                <w:b w:val="0"/>
                <w:szCs w:val="22"/>
              </w:rPr>
              <w:t>50</w:t>
            </w:r>
          </w:p>
        </w:tc>
      </w:tr>
      <w:tr w:rsidR="00164D6A" w:rsidRPr="00164D6A" w:rsidTr="006072EF">
        <w:trPr>
          <w:jc w:val="center"/>
        </w:trPr>
        <w:tc>
          <w:tcPr>
            <w:tcW w:w="6344" w:type="dxa"/>
            <w:shd w:val="clear" w:color="auto" w:fill="auto"/>
          </w:tcPr>
          <w:p w:rsidR="00164D6A" w:rsidRPr="00164D6A" w:rsidRDefault="00164D6A" w:rsidP="006072EF">
            <w:pPr>
              <w:spacing w:before="120"/>
              <w:ind w:left="65"/>
              <w:rPr>
                <w:sz w:val="22"/>
                <w:szCs w:val="22"/>
              </w:rPr>
            </w:pPr>
            <w:r w:rsidRPr="00164D6A">
              <w:rPr>
                <w:sz w:val="22"/>
                <w:szCs w:val="22"/>
              </w:rPr>
              <w:t>Number of repetitions for MTC-PDCICH transmission</w:t>
            </w:r>
          </w:p>
        </w:tc>
        <w:tc>
          <w:tcPr>
            <w:tcW w:w="1887" w:type="dxa"/>
            <w:shd w:val="clear" w:color="auto" w:fill="auto"/>
          </w:tcPr>
          <w:p w:rsidR="00164D6A" w:rsidRPr="00164D6A" w:rsidRDefault="00164D6A" w:rsidP="006072EF">
            <w:pPr>
              <w:spacing w:before="120"/>
              <w:jc w:val="center"/>
              <w:rPr>
                <w:sz w:val="22"/>
                <w:szCs w:val="22"/>
              </w:rPr>
            </w:pPr>
            <w:r w:rsidRPr="00164D6A">
              <w:rPr>
                <w:sz w:val="22"/>
                <w:szCs w:val="22"/>
              </w:rPr>
              <w:t>5</w:t>
            </w:r>
          </w:p>
        </w:tc>
      </w:tr>
      <w:tr w:rsidR="00164D6A" w:rsidRPr="00164D6A" w:rsidTr="006072EF">
        <w:trPr>
          <w:jc w:val="center"/>
        </w:trPr>
        <w:tc>
          <w:tcPr>
            <w:tcW w:w="6344" w:type="dxa"/>
            <w:shd w:val="clear" w:color="auto" w:fill="auto"/>
          </w:tcPr>
          <w:p w:rsidR="00164D6A" w:rsidRPr="00164D6A" w:rsidRDefault="00164D6A" w:rsidP="006072EF">
            <w:pPr>
              <w:spacing w:before="120"/>
              <w:ind w:left="65"/>
              <w:rPr>
                <w:sz w:val="22"/>
                <w:szCs w:val="22"/>
              </w:rPr>
            </w:pPr>
            <w:r w:rsidRPr="00164D6A">
              <w:rPr>
                <w:sz w:val="22"/>
                <w:szCs w:val="22"/>
              </w:rPr>
              <w:t>Propagation channel condition</w:t>
            </w:r>
          </w:p>
        </w:tc>
        <w:tc>
          <w:tcPr>
            <w:tcW w:w="1887" w:type="dxa"/>
            <w:shd w:val="clear" w:color="auto" w:fill="auto"/>
          </w:tcPr>
          <w:p w:rsidR="00164D6A" w:rsidRPr="00164D6A" w:rsidRDefault="00164D6A" w:rsidP="006072EF">
            <w:pPr>
              <w:spacing w:before="120"/>
              <w:jc w:val="center"/>
              <w:rPr>
                <w:sz w:val="22"/>
                <w:szCs w:val="22"/>
              </w:rPr>
            </w:pPr>
            <w:r w:rsidRPr="00164D6A">
              <w:rPr>
                <w:sz w:val="22"/>
                <w:szCs w:val="22"/>
              </w:rPr>
              <w:t>EPA</w:t>
            </w:r>
          </w:p>
        </w:tc>
      </w:tr>
      <w:tr w:rsidR="00164D6A" w:rsidRPr="00164D6A" w:rsidTr="006072EF">
        <w:trPr>
          <w:jc w:val="center"/>
        </w:trPr>
        <w:tc>
          <w:tcPr>
            <w:tcW w:w="6344" w:type="dxa"/>
            <w:shd w:val="clear" w:color="auto" w:fill="auto"/>
          </w:tcPr>
          <w:p w:rsidR="00164D6A" w:rsidRPr="00164D6A" w:rsidRDefault="00164D6A" w:rsidP="006072EF">
            <w:pPr>
              <w:spacing w:before="120"/>
              <w:ind w:left="65"/>
              <w:rPr>
                <w:sz w:val="22"/>
                <w:szCs w:val="22"/>
              </w:rPr>
            </w:pPr>
            <w:r w:rsidRPr="00164D6A">
              <w:rPr>
                <w:sz w:val="22"/>
                <w:szCs w:val="22"/>
              </w:rPr>
              <w:t>Doppler frequency</w:t>
            </w:r>
          </w:p>
        </w:tc>
        <w:tc>
          <w:tcPr>
            <w:tcW w:w="1887" w:type="dxa"/>
            <w:shd w:val="clear" w:color="auto" w:fill="auto"/>
          </w:tcPr>
          <w:p w:rsidR="00164D6A" w:rsidRPr="00164D6A" w:rsidRDefault="00164D6A" w:rsidP="006072EF">
            <w:pPr>
              <w:spacing w:before="120"/>
              <w:jc w:val="center"/>
              <w:rPr>
                <w:sz w:val="22"/>
                <w:szCs w:val="22"/>
              </w:rPr>
            </w:pPr>
            <w:r w:rsidRPr="00164D6A">
              <w:rPr>
                <w:sz w:val="22"/>
                <w:szCs w:val="22"/>
              </w:rPr>
              <w:t>1Hz</w:t>
            </w:r>
          </w:p>
        </w:tc>
      </w:tr>
      <w:tr w:rsidR="00164D6A" w:rsidRPr="00164D6A" w:rsidTr="006072EF">
        <w:trPr>
          <w:jc w:val="center"/>
        </w:trPr>
        <w:tc>
          <w:tcPr>
            <w:tcW w:w="6344" w:type="dxa"/>
            <w:shd w:val="clear" w:color="auto" w:fill="auto"/>
          </w:tcPr>
          <w:p w:rsidR="00164D6A" w:rsidRPr="00164D6A" w:rsidRDefault="00164D6A" w:rsidP="006072EF">
            <w:pPr>
              <w:spacing w:before="120"/>
              <w:ind w:left="65"/>
              <w:rPr>
                <w:sz w:val="22"/>
                <w:szCs w:val="22"/>
              </w:rPr>
            </w:pPr>
            <w:r w:rsidRPr="00164D6A">
              <w:rPr>
                <w:sz w:val="22"/>
                <w:szCs w:val="22"/>
              </w:rPr>
              <w:t>Aggregation level for MTC-PDCICH</w:t>
            </w:r>
          </w:p>
        </w:tc>
        <w:tc>
          <w:tcPr>
            <w:tcW w:w="1887" w:type="dxa"/>
            <w:shd w:val="clear" w:color="auto" w:fill="auto"/>
          </w:tcPr>
          <w:p w:rsidR="00164D6A" w:rsidRPr="00164D6A" w:rsidRDefault="00164D6A" w:rsidP="006072EF">
            <w:pPr>
              <w:spacing w:before="120"/>
              <w:jc w:val="center"/>
              <w:rPr>
                <w:sz w:val="22"/>
                <w:szCs w:val="22"/>
              </w:rPr>
            </w:pPr>
            <w:r w:rsidRPr="00164D6A">
              <w:rPr>
                <w:sz w:val="22"/>
                <w:szCs w:val="22"/>
              </w:rPr>
              <w:t>8 CCEs</w:t>
            </w:r>
          </w:p>
        </w:tc>
      </w:tr>
      <w:tr w:rsidR="00164D6A" w:rsidRPr="00164D6A" w:rsidTr="006072EF">
        <w:trPr>
          <w:jc w:val="center"/>
        </w:trPr>
        <w:tc>
          <w:tcPr>
            <w:tcW w:w="6344" w:type="dxa"/>
            <w:shd w:val="clear" w:color="auto" w:fill="auto"/>
          </w:tcPr>
          <w:p w:rsidR="00164D6A" w:rsidRPr="00164D6A" w:rsidRDefault="00164D6A" w:rsidP="006072EF">
            <w:pPr>
              <w:spacing w:before="120"/>
              <w:ind w:left="65"/>
              <w:rPr>
                <w:sz w:val="22"/>
                <w:szCs w:val="22"/>
              </w:rPr>
            </w:pPr>
            <w:r w:rsidRPr="00164D6A">
              <w:rPr>
                <w:sz w:val="22"/>
                <w:szCs w:val="22"/>
              </w:rPr>
              <w:t xml:space="preserve">RNTI used at eNodeB side/ MTC UE side (for </w:t>
            </w:r>
            <w:proofErr w:type="spellStart"/>
            <w:r w:rsidRPr="00164D6A">
              <w:rPr>
                <w:sz w:val="22"/>
                <w:szCs w:val="22"/>
              </w:rPr>
              <w:t>Pmiss</w:t>
            </w:r>
            <w:proofErr w:type="spellEnd"/>
            <w:r w:rsidRPr="00164D6A">
              <w:rPr>
                <w:sz w:val="22"/>
                <w:szCs w:val="22"/>
              </w:rPr>
              <w:t xml:space="preserve"> measurement)</w:t>
            </w:r>
          </w:p>
        </w:tc>
        <w:tc>
          <w:tcPr>
            <w:tcW w:w="1887" w:type="dxa"/>
            <w:shd w:val="clear" w:color="auto" w:fill="auto"/>
          </w:tcPr>
          <w:p w:rsidR="00164D6A" w:rsidRPr="00164D6A" w:rsidRDefault="00164D6A" w:rsidP="006072EF">
            <w:pPr>
              <w:spacing w:before="120"/>
              <w:jc w:val="center"/>
              <w:rPr>
                <w:sz w:val="22"/>
                <w:szCs w:val="22"/>
              </w:rPr>
            </w:pPr>
            <w:r w:rsidRPr="00164D6A">
              <w:rPr>
                <w:sz w:val="22"/>
                <w:szCs w:val="22"/>
              </w:rPr>
              <w:t>0xAAAA</w:t>
            </w:r>
          </w:p>
        </w:tc>
      </w:tr>
      <w:tr w:rsidR="00164D6A" w:rsidRPr="00164D6A" w:rsidTr="006072EF">
        <w:trPr>
          <w:jc w:val="center"/>
        </w:trPr>
        <w:tc>
          <w:tcPr>
            <w:tcW w:w="6344" w:type="dxa"/>
            <w:shd w:val="clear" w:color="auto" w:fill="auto"/>
          </w:tcPr>
          <w:p w:rsidR="00164D6A" w:rsidRPr="00164D6A" w:rsidRDefault="00164D6A" w:rsidP="006072EF">
            <w:pPr>
              <w:spacing w:before="120"/>
              <w:ind w:left="65"/>
              <w:rPr>
                <w:sz w:val="22"/>
                <w:szCs w:val="22"/>
              </w:rPr>
            </w:pPr>
            <w:r w:rsidRPr="00164D6A">
              <w:rPr>
                <w:sz w:val="22"/>
                <w:szCs w:val="22"/>
              </w:rPr>
              <w:t>RNTI used in MTC UE side for Pfalse1 measurement</w:t>
            </w:r>
          </w:p>
        </w:tc>
        <w:tc>
          <w:tcPr>
            <w:tcW w:w="1887" w:type="dxa"/>
            <w:shd w:val="clear" w:color="auto" w:fill="auto"/>
          </w:tcPr>
          <w:p w:rsidR="00164D6A" w:rsidRPr="00164D6A" w:rsidRDefault="00164D6A" w:rsidP="006072EF">
            <w:pPr>
              <w:spacing w:before="120"/>
              <w:jc w:val="center"/>
              <w:rPr>
                <w:sz w:val="22"/>
                <w:szCs w:val="22"/>
              </w:rPr>
            </w:pPr>
            <w:r w:rsidRPr="00164D6A">
              <w:rPr>
                <w:sz w:val="22"/>
                <w:szCs w:val="22"/>
              </w:rPr>
              <w:t>0x12AA</w:t>
            </w:r>
          </w:p>
        </w:tc>
      </w:tr>
      <w:tr w:rsidR="00164D6A" w:rsidRPr="00164D6A" w:rsidTr="006072EF">
        <w:trPr>
          <w:jc w:val="center"/>
        </w:trPr>
        <w:tc>
          <w:tcPr>
            <w:tcW w:w="6344" w:type="dxa"/>
            <w:shd w:val="clear" w:color="auto" w:fill="auto"/>
          </w:tcPr>
          <w:p w:rsidR="00164D6A" w:rsidRDefault="00164D6A" w:rsidP="006072EF">
            <w:pPr>
              <w:spacing w:before="120"/>
              <w:ind w:left="65"/>
              <w:rPr>
                <w:sz w:val="22"/>
                <w:szCs w:val="22"/>
              </w:rPr>
            </w:pPr>
            <w:proofErr w:type="spellStart"/>
            <w:r w:rsidRPr="00164D6A">
              <w:rPr>
                <w:sz w:val="22"/>
                <w:szCs w:val="22"/>
              </w:rPr>
              <w:t>Pmiss</w:t>
            </w:r>
            <w:proofErr w:type="spellEnd"/>
            <w:r w:rsidRPr="00164D6A">
              <w:rPr>
                <w:sz w:val="22"/>
                <w:szCs w:val="22"/>
              </w:rPr>
              <w:t xml:space="preserve">: </w:t>
            </w:r>
            <w:r w:rsidR="00590CCC">
              <w:rPr>
                <w:sz w:val="22"/>
                <w:szCs w:val="22"/>
              </w:rPr>
              <w:t>Probability of miss-</w:t>
            </w:r>
            <w:r w:rsidRPr="00164D6A">
              <w:rPr>
                <w:sz w:val="22"/>
                <w:szCs w:val="22"/>
              </w:rPr>
              <w:t>detection</w:t>
            </w:r>
            <w:r>
              <w:rPr>
                <w:sz w:val="22"/>
                <w:szCs w:val="22"/>
              </w:rPr>
              <w:t>.</w:t>
            </w:r>
          </w:p>
          <w:p w:rsidR="00164D6A" w:rsidRDefault="00164D6A" w:rsidP="006072EF">
            <w:pPr>
              <w:spacing w:before="120"/>
              <w:ind w:left="65"/>
              <w:rPr>
                <w:sz w:val="22"/>
                <w:szCs w:val="22"/>
              </w:rPr>
            </w:pPr>
            <w:r w:rsidRPr="00164D6A">
              <w:rPr>
                <w:sz w:val="22"/>
                <w:szCs w:val="22"/>
              </w:rPr>
              <w:t xml:space="preserve">Pfalse1: Probability of false detection type 1 </w:t>
            </w:r>
            <w:r>
              <w:rPr>
                <w:sz w:val="22"/>
                <w:szCs w:val="22"/>
              </w:rPr>
              <w:t>is the</w:t>
            </w:r>
            <w:r w:rsidRPr="00164D6A">
              <w:rPr>
                <w:sz w:val="22"/>
                <w:szCs w:val="22"/>
              </w:rPr>
              <w:t xml:space="preserve"> case when </w:t>
            </w:r>
            <w:r>
              <w:rPr>
                <w:sz w:val="22"/>
                <w:szCs w:val="22"/>
              </w:rPr>
              <w:t xml:space="preserve">a dynamic </w:t>
            </w:r>
            <w:r w:rsidRPr="00164D6A">
              <w:rPr>
                <w:sz w:val="22"/>
                <w:szCs w:val="22"/>
              </w:rPr>
              <w:t>DCI is transmitted for another MTC UE but the MTC UE wrongly detects it.</w:t>
            </w:r>
          </w:p>
          <w:p w:rsidR="00164D6A" w:rsidRPr="00164D6A" w:rsidRDefault="00164D6A" w:rsidP="006072EF">
            <w:pPr>
              <w:spacing w:before="120"/>
              <w:ind w:left="65"/>
              <w:rPr>
                <w:sz w:val="22"/>
                <w:szCs w:val="22"/>
              </w:rPr>
            </w:pPr>
            <w:r w:rsidRPr="00164D6A">
              <w:rPr>
                <w:sz w:val="22"/>
                <w:szCs w:val="22"/>
              </w:rPr>
              <w:t xml:space="preserve">Pfalse2: Probability of false detection type 2 </w:t>
            </w:r>
            <w:r>
              <w:rPr>
                <w:sz w:val="22"/>
                <w:szCs w:val="22"/>
              </w:rPr>
              <w:t>is the</w:t>
            </w:r>
            <w:r w:rsidRPr="00164D6A">
              <w:rPr>
                <w:sz w:val="22"/>
                <w:szCs w:val="22"/>
              </w:rPr>
              <w:t xml:space="preserve"> case when no </w:t>
            </w:r>
            <w:r>
              <w:rPr>
                <w:sz w:val="22"/>
                <w:szCs w:val="22"/>
              </w:rPr>
              <w:t>dynamic DCI</w:t>
            </w:r>
            <w:r w:rsidRPr="00164D6A">
              <w:rPr>
                <w:sz w:val="22"/>
                <w:szCs w:val="22"/>
              </w:rPr>
              <w:t xml:space="preserve"> is transmitted but the MTC UE wrongly detects a MTC-DCI.</w:t>
            </w:r>
          </w:p>
        </w:tc>
        <w:tc>
          <w:tcPr>
            <w:tcW w:w="1887" w:type="dxa"/>
            <w:shd w:val="clear" w:color="auto" w:fill="auto"/>
          </w:tcPr>
          <w:p w:rsidR="00164D6A" w:rsidRPr="00164D6A" w:rsidRDefault="00164D6A" w:rsidP="006072EF">
            <w:pPr>
              <w:spacing w:before="120"/>
              <w:jc w:val="center"/>
              <w:rPr>
                <w:sz w:val="22"/>
                <w:szCs w:val="22"/>
              </w:rPr>
            </w:pPr>
          </w:p>
        </w:tc>
      </w:tr>
    </w:tbl>
    <w:p w:rsidR="00590CCC" w:rsidRDefault="00590CCC" w:rsidP="00590CCC">
      <w:pPr>
        <w:pStyle w:val="Heading1"/>
        <w:numPr>
          <w:ilvl w:val="0"/>
          <w:numId w:val="0"/>
        </w:numPr>
        <w:spacing w:after="120"/>
        <w:ind w:left="425" w:hanging="425"/>
        <w:rPr>
          <w:sz w:val="22"/>
          <w:szCs w:val="22"/>
          <w:lang w:val="en-AU" w:eastAsia="en-AU"/>
        </w:rPr>
      </w:pPr>
    </w:p>
    <w:p w:rsidR="008773C7" w:rsidRPr="00481BEF" w:rsidRDefault="008773C7" w:rsidP="008773C7">
      <w:pPr>
        <w:pStyle w:val="Heading1"/>
        <w:spacing w:after="120"/>
        <w:rPr>
          <w:sz w:val="22"/>
          <w:szCs w:val="22"/>
          <w:lang w:val="en-AU" w:eastAsia="en-AU"/>
        </w:rPr>
      </w:pPr>
      <w:r>
        <w:rPr>
          <w:sz w:val="22"/>
          <w:szCs w:val="22"/>
          <w:lang w:val="en-AU" w:eastAsia="en-AU"/>
        </w:rPr>
        <w:t>Conclusion</w:t>
      </w:r>
    </w:p>
    <w:p w:rsidR="008773C7" w:rsidRDefault="00590CCC" w:rsidP="008773C7">
      <w:pPr>
        <w:spacing w:after="120"/>
        <w:jc w:val="both"/>
        <w:rPr>
          <w:bCs/>
          <w:sz w:val="22"/>
          <w:szCs w:val="22"/>
          <w:lang w:val="en-AU" w:eastAsia="en-AU"/>
        </w:rPr>
      </w:pPr>
      <w:r>
        <w:rPr>
          <w:bCs/>
          <w:sz w:val="22"/>
          <w:szCs w:val="22"/>
          <w:lang w:val="en-AU" w:eastAsia="en-AU"/>
        </w:rPr>
        <w:t>In this contribution, discussions and views on the multiple repetitions and reception of ‘Physical downlink control channel for MTC’ for Rel-13 UEs in enhanced coverage mode are provided. In summary, we have the following proposals and observation.</w:t>
      </w:r>
    </w:p>
    <w:p w:rsidR="00590CCC" w:rsidRPr="000434B7" w:rsidRDefault="00590CCC" w:rsidP="00590CCC">
      <w:pPr>
        <w:spacing w:after="120"/>
        <w:jc w:val="both"/>
        <w:rPr>
          <w:b/>
          <w:bCs/>
          <w:i/>
          <w:sz w:val="22"/>
          <w:szCs w:val="22"/>
          <w:lang w:val="en-AU" w:eastAsia="en-AU"/>
        </w:rPr>
      </w:pPr>
      <w:r w:rsidRPr="000434B7">
        <w:rPr>
          <w:b/>
          <w:bCs/>
          <w:i/>
          <w:sz w:val="22"/>
          <w:szCs w:val="22"/>
          <w:lang w:val="en-AU" w:eastAsia="en-AU"/>
        </w:rPr>
        <w:t xml:space="preserve">Proposal </w:t>
      </w:r>
      <w:r>
        <w:rPr>
          <w:b/>
          <w:bCs/>
          <w:i/>
          <w:sz w:val="22"/>
          <w:szCs w:val="22"/>
          <w:lang w:val="en-AU" w:eastAsia="en-AU"/>
        </w:rPr>
        <w:t>1</w:t>
      </w:r>
      <w:r w:rsidRPr="000434B7">
        <w:rPr>
          <w:b/>
          <w:bCs/>
          <w:i/>
          <w:sz w:val="22"/>
          <w:szCs w:val="22"/>
          <w:lang w:val="en-AU" w:eastAsia="en-AU"/>
        </w:rPr>
        <w:t xml:space="preserve">:  </w:t>
      </w:r>
      <w:r>
        <w:rPr>
          <w:b/>
          <w:bCs/>
          <w:i/>
          <w:sz w:val="22"/>
          <w:szCs w:val="22"/>
          <w:lang w:val="en-AU" w:eastAsia="en-AU"/>
        </w:rPr>
        <w:t>It is proposed to indicate in advance transmission of MTC-PDCCH and its associated repetition level to MTC UE to save power consumption.</w:t>
      </w:r>
    </w:p>
    <w:p w:rsidR="00590CCC" w:rsidRDefault="00590CCC" w:rsidP="00590CCC">
      <w:pPr>
        <w:spacing w:after="120"/>
        <w:jc w:val="both"/>
        <w:rPr>
          <w:b/>
          <w:bCs/>
          <w:i/>
          <w:sz w:val="22"/>
          <w:szCs w:val="22"/>
          <w:lang w:val="en-AU" w:eastAsia="en-AU"/>
        </w:rPr>
      </w:pPr>
      <w:r w:rsidRPr="000434B7">
        <w:rPr>
          <w:b/>
          <w:bCs/>
          <w:i/>
          <w:sz w:val="22"/>
          <w:szCs w:val="22"/>
          <w:lang w:val="en-AU" w:eastAsia="en-AU"/>
        </w:rPr>
        <w:t xml:space="preserve">Proposal </w:t>
      </w:r>
      <w:r>
        <w:rPr>
          <w:b/>
          <w:bCs/>
          <w:i/>
          <w:sz w:val="22"/>
          <w:szCs w:val="22"/>
          <w:lang w:val="en-AU" w:eastAsia="en-AU"/>
        </w:rPr>
        <w:t>2</w:t>
      </w:r>
      <w:r w:rsidRPr="000434B7">
        <w:rPr>
          <w:b/>
          <w:bCs/>
          <w:i/>
          <w:sz w:val="22"/>
          <w:szCs w:val="22"/>
          <w:lang w:val="en-AU" w:eastAsia="en-AU"/>
        </w:rPr>
        <w:t xml:space="preserve">:  </w:t>
      </w:r>
      <w:r>
        <w:rPr>
          <w:b/>
          <w:bCs/>
          <w:i/>
          <w:sz w:val="22"/>
          <w:szCs w:val="22"/>
          <w:lang w:val="en-AU" w:eastAsia="en-AU"/>
        </w:rPr>
        <w:t>It is proposed to dynamically signal the indication in Proposal 1 to the intended UE.</w:t>
      </w:r>
    </w:p>
    <w:p w:rsidR="00590CCC" w:rsidRPr="00590CCC" w:rsidRDefault="00590CCC" w:rsidP="008773C7">
      <w:pPr>
        <w:spacing w:after="120"/>
        <w:jc w:val="both"/>
        <w:rPr>
          <w:b/>
          <w:bCs/>
          <w:i/>
          <w:sz w:val="22"/>
          <w:szCs w:val="22"/>
          <w:lang w:val="en-AU" w:eastAsia="en-AU"/>
        </w:rPr>
      </w:pPr>
      <w:r>
        <w:rPr>
          <w:b/>
          <w:bCs/>
          <w:i/>
          <w:sz w:val="22"/>
          <w:szCs w:val="22"/>
          <w:lang w:val="en-AU" w:eastAsia="en-AU"/>
        </w:rPr>
        <w:t>Observation</w:t>
      </w:r>
      <w:r w:rsidRPr="000434B7">
        <w:rPr>
          <w:b/>
          <w:bCs/>
          <w:i/>
          <w:sz w:val="22"/>
          <w:szCs w:val="22"/>
          <w:lang w:val="en-AU" w:eastAsia="en-AU"/>
        </w:rPr>
        <w:t xml:space="preserve">: </w:t>
      </w:r>
      <w:r>
        <w:rPr>
          <w:b/>
          <w:bCs/>
          <w:i/>
          <w:sz w:val="22"/>
          <w:szCs w:val="22"/>
          <w:lang w:val="en-AU" w:eastAsia="en-AU"/>
        </w:rPr>
        <w:t>When the proposed dynamic DCI indication includes only the minimum required field, 2-bit repetition level for MTC-PDCCH and it is transmitted using high aggregation level (e.g. L=8) and repeated over e.g. 5 times, acceptable performance of miss-detection and false detection can still be achieved at low SNR (e.g. -14dB).</w:t>
      </w:r>
    </w:p>
    <w:p w:rsidR="008773C7" w:rsidRPr="00481BEF" w:rsidRDefault="008773C7" w:rsidP="008773C7">
      <w:pPr>
        <w:pStyle w:val="Heading1"/>
        <w:numPr>
          <w:ilvl w:val="0"/>
          <w:numId w:val="0"/>
        </w:numPr>
        <w:spacing w:after="120"/>
        <w:ind w:left="425" w:hanging="425"/>
        <w:rPr>
          <w:sz w:val="22"/>
          <w:szCs w:val="22"/>
          <w:lang w:val="en-AU" w:eastAsia="en-AU"/>
        </w:rPr>
      </w:pPr>
      <w:r>
        <w:rPr>
          <w:sz w:val="22"/>
          <w:szCs w:val="22"/>
          <w:lang w:val="en-AU" w:eastAsia="en-AU"/>
        </w:rPr>
        <w:t>References</w:t>
      </w:r>
    </w:p>
    <w:p w:rsidR="00794CA8" w:rsidRDefault="00794CA8" w:rsidP="00794CA8">
      <w:pPr>
        <w:tabs>
          <w:tab w:val="left" w:pos="567"/>
        </w:tabs>
        <w:jc w:val="both"/>
        <w:rPr>
          <w:sz w:val="22"/>
          <w:lang w:val="en-AU"/>
        </w:rPr>
      </w:pPr>
      <w:r>
        <w:rPr>
          <w:sz w:val="22"/>
          <w:lang w:val="en-AU"/>
        </w:rPr>
        <w:t>[1]</w:t>
      </w:r>
      <w:r>
        <w:rPr>
          <w:sz w:val="22"/>
          <w:lang w:val="en-AU"/>
        </w:rPr>
        <w:tab/>
      </w:r>
      <w:r w:rsidRPr="00B31292">
        <w:rPr>
          <w:sz w:val="22"/>
          <w:lang w:val="en-AU"/>
        </w:rPr>
        <w:t>Chairman’s</w:t>
      </w:r>
      <w:r>
        <w:rPr>
          <w:sz w:val="22"/>
          <w:lang w:val="en-AU"/>
        </w:rPr>
        <w:t xml:space="preserve"> notes (final version), RAN1#79</w:t>
      </w:r>
    </w:p>
    <w:p w:rsidR="00040C03" w:rsidRPr="00B4784D" w:rsidRDefault="00794CA8" w:rsidP="00B4784D">
      <w:pPr>
        <w:tabs>
          <w:tab w:val="left" w:pos="567"/>
        </w:tabs>
        <w:jc w:val="both"/>
        <w:rPr>
          <w:sz w:val="22"/>
          <w:lang w:val="en-AU"/>
        </w:rPr>
      </w:pPr>
      <w:r>
        <w:rPr>
          <w:sz w:val="22"/>
          <w:lang w:val="en-AU"/>
        </w:rPr>
        <w:t>[2]</w:t>
      </w:r>
      <w:r>
        <w:rPr>
          <w:sz w:val="22"/>
          <w:lang w:val="en-AU"/>
        </w:rPr>
        <w:tab/>
      </w:r>
      <w:r w:rsidRPr="00B31292">
        <w:rPr>
          <w:sz w:val="22"/>
          <w:lang w:val="en-AU"/>
        </w:rPr>
        <w:t>Chairman’s</w:t>
      </w:r>
      <w:r>
        <w:rPr>
          <w:sz w:val="22"/>
          <w:lang w:val="en-AU"/>
        </w:rPr>
        <w:t xml:space="preserve"> notes (final version), RAN1#80</w:t>
      </w:r>
    </w:p>
    <w:sectPr w:rsidR="00040C03" w:rsidRPr="00B478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F1458"/>
    <w:multiLevelType w:val="hybridMultilevel"/>
    <w:tmpl w:val="62168162"/>
    <w:lvl w:ilvl="0" w:tplc="08090005">
      <w:start w:val="1"/>
      <w:numFmt w:val="bullet"/>
      <w:lvlText w:val=""/>
      <w:lvlJc w:val="left"/>
      <w:pPr>
        <w:tabs>
          <w:tab w:val="num" w:pos="720"/>
        </w:tabs>
        <w:ind w:left="720" w:hanging="360"/>
      </w:pPr>
      <w:rPr>
        <w:rFonts w:ascii="Wingdings" w:hAnsi="Wingdings" w:hint="default"/>
      </w:rPr>
    </w:lvl>
    <w:lvl w:ilvl="1" w:tplc="244CBB0C">
      <w:start w:val="1"/>
      <w:numFmt w:val="bullet"/>
      <w:lvlText w:val="•"/>
      <w:lvlJc w:val="left"/>
      <w:pPr>
        <w:tabs>
          <w:tab w:val="num" w:pos="1440"/>
        </w:tabs>
        <w:ind w:left="1440" w:hanging="360"/>
      </w:pPr>
      <w:rPr>
        <w:rFonts w:ascii="Arial" w:hAnsi="Arial" w:hint="default"/>
      </w:rPr>
    </w:lvl>
    <w:lvl w:ilvl="2" w:tplc="5AF4C2D2">
      <w:start w:val="1"/>
      <w:numFmt w:val="bullet"/>
      <w:lvlText w:val="•"/>
      <w:lvlJc w:val="left"/>
      <w:pPr>
        <w:tabs>
          <w:tab w:val="num" w:pos="2160"/>
        </w:tabs>
        <w:ind w:left="2160" w:hanging="360"/>
      </w:pPr>
      <w:rPr>
        <w:rFonts w:ascii="Arial" w:hAnsi="Arial" w:hint="default"/>
      </w:rPr>
    </w:lvl>
    <w:lvl w:ilvl="3" w:tplc="9822D036">
      <w:start w:val="1"/>
      <w:numFmt w:val="bullet"/>
      <w:lvlText w:val="•"/>
      <w:lvlJc w:val="left"/>
      <w:pPr>
        <w:tabs>
          <w:tab w:val="num" w:pos="2880"/>
        </w:tabs>
        <w:ind w:left="2880" w:hanging="360"/>
      </w:pPr>
      <w:rPr>
        <w:rFonts w:ascii="Arial" w:hAnsi="Arial" w:hint="default"/>
      </w:rPr>
    </w:lvl>
    <w:lvl w:ilvl="4" w:tplc="4A783D7A" w:tentative="1">
      <w:start w:val="1"/>
      <w:numFmt w:val="bullet"/>
      <w:lvlText w:val="•"/>
      <w:lvlJc w:val="left"/>
      <w:pPr>
        <w:tabs>
          <w:tab w:val="num" w:pos="3600"/>
        </w:tabs>
        <w:ind w:left="3600" w:hanging="360"/>
      </w:pPr>
      <w:rPr>
        <w:rFonts w:ascii="Arial" w:hAnsi="Arial" w:hint="default"/>
      </w:rPr>
    </w:lvl>
    <w:lvl w:ilvl="5" w:tplc="EFC4E400" w:tentative="1">
      <w:start w:val="1"/>
      <w:numFmt w:val="bullet"/>
      <w:lvlText w:val="•"/>
      <w:lvlJc w:val="left"/>
      <w:pPr>
        <w:tabs>
          <w:tab w:val="num" w:pos="4320"/>
        </w:tabs>
        <w:ind w:left="4320" w:hanging="360"/>
      </w:pPr>
      <w:rPr>
        <w:rFonts w:ascii="Arial" w:hAnsi="Arial" w:hint="default"/>
      </w:rPr>
    </w:lvl>
    <w:lvl w:ilvl="6" w:tplc="55F06C22" w:tentative="1">
      <w:start w:val="1"/>
      <w:numFmt w:val="bullet"/>
      <w:lvlText w:val="•"/>
      <w:lvlJc w:val="left"/>
      <w:pPr>
        <w:tabs>
          <w:tab w:val="num" w:pos="5040"/>
        </w:tabs>
        <w:ind w:left="5040" w:hanging="360"/>
      </w:pPr>
      <w:rPr>
        <w:rFonts w:ascii="Arial" w:hAnsi="Arial" w:hint="default"/>
      </w:rPr>
    </w:lvl>
    <w:lvl w:ilvl="7" w:tplc="C52CDC98" w:tentative="1">
      <w:start w:val="1"/>
      <w:numFmt w:val="bullet"/>
      <w:lvlText w:val="•"/>
      <w:lvlJc w:val="left"/>
      <w:pPr>
        <w:tabs>
          <w:tab w:val="num" w:pos="5760"/>
        </w:tabs>
        <w:ind w:left="5760" w:hanging="360"/>
      </w:pPr>
      <w:rPr>
        <w:rFonts w:ascii="Arial" w:hAnsi="Arial" w:hint="default"/>
      </w:rPr>
    </w:lvl>
    <w:lvl w:ilvl="8" w:tplc="75FCCDC8" w:tentative="1">
      <w:start w:val="1"/>
      <w:numFmt w:val="bullet"/>
      <w:lvlText w:val="•"/>
      <w:lvlJc w:val="left"/>
      <w:pPr>
        <w:tabs>
          <w:tab w:val="num" w:pos="6480"/>
        </w:tabs>
        <w:ind w:left="6480" w:hanging="360"/>
      </w:pPr>
      <w:rPr>
        <w:rFonts w:ascii="Arial" w:hAnsi="Arial" w:hint="default"/>
      </w:rPr>
    </w:lvl>
  </w:abstractNum>
  <w:abstractNum w:abstractNumId="1">
    <w:nsid w:val="0F027B00"/>
    <w:multiLevelType w:val="hybridMultilevel"/>
    <w:tmpl w:val="0D48FE68"/>
    <w:lvl w:ilvl="0" w:tplc="08090005">
      <w:start w:val="1"/>
      <w:numFmt w:val="bullet"/>
      <w:lvlText w:val=""/>
      <w:lvlJc w:val="left"/>
      <w:pPr>
        <w:ind w:left="780" w:hanging="360"/>
      </w:pPr>
      <w:rPr>
        <w:rFonts w:ascii="Wingdings" w:hAnsi="Wingdings"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2EBE611C"/>
    <w:multiLevelType w:val="hybridMultilevel"/>
    <w:tmpl w:val="6AA47076"/>
    <w:lvl w:ilvl="0" w:tplc="08090001">
      <w:start w:val="1"/>
      <w:numFmt w:val="bullet"/>
      <w:lvlText w:val=""/>
      <w:lvlJc w:val="left"/>
      <w:pPr>
        <w:ind w:left="780" w:hanging="360"/>
      </w:pPr>
      <w:rPr>
        <w:rFonts w:ascii="Symbol" w:hAnsi="Symbol" w:hint="default"/>
      </w:rPr>
    </w:lvl>
    <w:lvl w:ilvl="1" w:tplc="08090001">
      <w:start w:val="1"/>
      <w:numFmt w:val="bullet"/>
      <w:lvlText w:val=""/>
      <w:lvlJc w:val="left"/>
      <w:pPr>
        <w:ind w:left="1500" w:hanging="360"/>
      </w:pPr>
      <w:rPr>
        <w:rFonts w:ascii="Symbol" w:hAnsi="Symbol"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nsid w:val="2FE35EFA"/>
    <w:multiLevelType w:val="hybridMultilevel"/>
    <w:tmpl w:val="C2B8C6B2"/>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nsid w:val="3A6331B7"/>
    <w:multiLevelType w:val="hybridMultilevel"/>
    <w:tmpl w:val="DD8019B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nsid w:val="44496E9E"/>
    <w:multiLevelType w:val="hybridMultilevel"/>
    <w:tmpl w:val="19D0ADF0"/>
    <w:lvl w:ilvl="0" w:tplc="3E9659D0">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0593557"/>
    <w:multiLevelType w:val="hybridMultilevel"/>
    <w:tmpl w:val="1BBC71D6"/>
    <w:lvl w:ilvl="0" w:tplc="08090005">
      <w:start w:val="1"/>
      <w:numFmt w:val="bullet"/>
      <w:lvlText w:val=""/>
      <w:lvlJc w:val="left"/>
      <w:pPr>
        <w:tabs>
          <w:tab w:val="num" w:pos="720"/>
        </w:tabs>
        <w:ind w:left="720" w:hanging="360"/>
      </w:pPr>
      <w:rPr>
        <w:rFonts w:ascii="Wingdings" w:hAnsi="Wingdings" w:hint="default"/>
      </w:rPr>
    </w:lvl>
    <w:lvl w:ilvl="1" w:tplc="244CBB0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9822D036">
      <w:start w:val="1"/>
      <w:numFmt w:val="bullet"/>
      <w:lvlText w:val="•"/>
      <w:lvlJc w:val="left"/>
      <w:pPr>
        <w:tabs>
          <w:tab w:val="num" w:pos="2880"/>
        </w:tabs>
        <w:ind w:left="2880" w:hanging="360"/>
      </w:pPr>
      <w:rPr>
        <w:rFonts w:ascii="Arial" w:hAnsi="Arial" w:hint="default"/>
      </w:rPr>
    </w:lvl>
    <w:lvl w:ilvl="4" w:tplc="4A783D7A" w:tentative="1">
      <w:start w:val="1"/>
      <w:numFmt w:val="bullet"/>
      <w:lvlText w:val="•"/>
      <w:lvlJc w:val="left"/>
      <w:pPr>
        <w:tabs>
          <w:tab w:val="num" w:pos="3600"/>
        </w:tabs>
        <w:ind w:left="3600" w:hanging="360"/>
      </w:pPr>
      <w:rPr>
        <w:rFonts w:ascii="Arial" w:hAnsi="Arial" w:hint="default"/>
      </w:rPr>
    </w:lvl>
    <w:lvl w:ilvl="5" w:tplc="EFC4E400" w:tentative="1">
      <w:start w:val="1"/>
      <w:numFmt w:val="bullet"/>
      <w:lvlText w:val="•"/>
      <w:lvlJc w:val="left"/>
      <w:pPr>
        <w:tabs>
          <w:tab w:val="num" w:pos="4320"/>
        </w:tabs>
        <w:ind w:left="4320" w:hanging="360"/>
      </w:pPr>
      <w:rPr>
        <w:rFonts w:ascii="Arial" w:hAnsi="Arial" w:hint="default"/>
      </w:rPr>
    </w:lvl>
    <w:lvl w:ilvl="6" w:tplc="55F06C22" w:tentative="1">
      <w:start w:val="1"/>
      <w:numFmt w:val="bullet"/>
      <w:lvlText w:val="•"/>
      <w:lvlJc w:val="left"/>
      <w:pPr>
        <w:tabs>
          <w:tab w:val="num" w:pos="5040"/>
        </w:tabs>
        <w:ind w:left="5040" w:hanging="360"/>
      </w:pPr>
      <w:rPr>
        <w:rFonts w:ascii="Arial" w:hAnsi="Arial" w:hint="default"/>
      </w:rPr>
    </w:lvl>
    <w:lvl w:ilvl="7" w:tplc="C52CDC98" w:tentative="1">
      <w:start w:val="1"/>
      <w:numFmt w:val="bullet"/>
      <w:lvlText w:val="•"/>
      <w:lvlJc w:val="left"/>
      <w:pPr>
        <w:tabs>
          <w:tab w:val="num" w:pos="5760"/>
        </w:tabs>
        <w:ind w:left="5760" w:hanging="360"/>
      </w:pPr>
      <w:rPr>
        <w:rFonts w:ascii="Arial" w:hAnsi="Arial" w:hint="default"/>
      </w:rPr>
    </w:lvl>
    <w:lvl w:ilvl="8" w:tplc="75FCCDC8" w:tentative="1">
      <w:start w:val="1"/>
      <w:numFmt w:val="bullet"/>
      <w:lvlText w:val="•"/>
      <w:lvlJc w:val="left"/>
      <w:pPr>
        <w:tabs>
          <w:tab w:val="num" w:pos="6480"/>
        </w:tabs>
        <w:ind w:left="6480" w:hanging="360"/>
      </w:pPr>
      <w:rPr>
        <w:rFonts w:ascii="Arial" w:hAnsi="Arial" w:hint="default"/>
      </w:rPr>
    </w:lvl>
  </w:abstractNum>
  <w:abstractNum w:abstractNumId="9">
    <w:nsid w:val="56AA02D9"/>
    <w:multiLevelType w:val="hybridMultilevel"/>
    <w:tmpl w:val="EB88486E"/>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635A51E3"/>
    <w:multiLevelType w:val="hybridMultilevel"/>
    <w:tmpl w:val="6D7C985A"/>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A4F1648"/>
    <w:multiLevelType w:val="hybridMultilevel"/>
    <w:tmpl w:val="F91AFDC8"/>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75DE129E"/>
    <w:multiLevelType w:val="hybridMultilevel"/>
    <w:tmpl w:val="17E2A3A8"/>
    <w:lvl w:ilvl="0" w:tplc="0C090001">
      <w:start w:val="1"/>
      <w:numFmt w:val="bullet"/>
      <w:lvlText w:val=""/>
      <w:lvlJc w:val="left"/>
      <w:pPr>
        <w:ind w:left="202" w:hanging="360"/>
      </w:pPr>
      <w:rPr>
        <w:rFonts w:ascii="Symbol" w:hAnsi="Symbol" w:hint="default"/>
      </w:rPr>
    </w:lvl>
    <w:lvl w:ilvl="1" w:tplc="0C090003" w:tentative="1">
      <w:start w:val="1"/>
      <w:numFmt w:val="bullet"/>
      <w:lvlText w:val="o"/>
      <w:lvlJc w:val="left"/>
      <w:pPr>
        <w:ind w:left="922" w:hanging="360"/>
      </w:pPr>
      <w:rPr>
        <w:rFonts w:ascii="Courier New" w:hAnsi="Courier New" w:cs="Courier New" w:hint="default"/>
      </w:rPr>
    </w:lvl>
    <w:lvl w:ilvl="2" w:tplc="0C090005" w:tentative="1">
      <w:start w:val="1"/>
      <w:numFmt w:val="bullet"/>
      <w:lvlText w:val=""/>
      <w:lvlJc w:val="left"/>
      <w:pPr>
        <w:ind w:left="1642" w:hanging="360"/>
      </w:pPr>
      <w:rPr>
        <w:rFonts w:ascii="Wingdings" w:hAnsi="Wingdings" w:hint="default"/>
      </w:rPr>
    </w:lvl>
    <w:lvl w:ilvl="3" w:tplc="0C090001" w:tentative="1">
      <w:start w:val="1"/>
      <w:numFmt w:val="bullet"/>
      <w:lvlText w:val=""/>
      <w:lvlJc w:val="left"/>
      <w:pPr>
        <w:ind w:left="2362" w:hanging="360"/>
      </w:pPr>
      <w:rPr>
        <w:rFonts w:ascii="Symbol" w:hAnsi="Symbol" w:hint="default"/>
      </w:rPr>
    </w:lvl>
    <w:lvl w:ilvl="4" w:tplc="0C090003" w:tentative="1">
      <w:start w:val="1"/>
      <w:numFmt w:val="bullet"/>
      <w:lvlText w:val="o"/>
      <w:lvlJc w:val="left"/>
      <w:pPr>
        <w:ind w:left="3082" w:hanging="360"/>
      </w:pPr>
      <w:rPr>
        <w:rFonts w:ascii="Courier New" w:hAnsi="Courier New" w:cs="Courier New" w:hint="default"/>
      </w:rPr>
    </w:lvl>
    <w:lvl w:ilvl="5" w:tplc="0C090005" w:tentative="1">
      <w:start w:val="1"/>
      <w:numFmt w:val="bullet"/>
      <w:lvlText w:val=""/>
      <w:lvlJc w:val="left"/>
      <w:pPr>
        <w:ind w:left="3802" w:hanging="360"/>
      </w:pPr>
      <w:rPr>
        <w:rFonts w:ascii="Wingdings" w:hAnsi="Wingdings" w:hint="default"/>
      </w:rPr>
    </w:lvl>
    <w:lvl w:ilvl="6" w:tplc="0C090001" w:tentative="1">
      <w:start w:val="1"/>
      <w:numFmt w:val="bullet"/>
      <w:lvlText w:val=""/>
      <w:lvlJc w:val="left"/>
      <w:pPr>
        <w:ind w:left="4522" w:hanging="360"/>
      </w:pPr>
      <w:rPr>
        <w:rFonts w:ascii="Symbol" w:hAnsi="Symbol" w:hint="default"/>
      </w:rPr>
    </w:lvl>
    <w:lvl w:ilvl="7" w:tplc="0C090003" w:tentative="1">
      <w:start w:val="1"/>
      <w:numFmt w:val="bullet"/>
      <w:lvlText w:val="o"/>
      <w:lvlJc w:val="left"/>
      <w:pPr>
        <w:ind w:left="5242" w:hanging="360"/>
      </w:pPr>
      <w:rPr>
        <w:rFonts w:ascii="Courier New" w:hAnsi="Courier New" w:cs="Courier New" w:hint="default"/>
      </w:rPr>
    </w:lvl>
    <w:lvl w:ilvl="8" w:tplc="0C090005" w:tentative="1">
      <w:start w:val="1"/>
      <w:numFmt w:val="bullet"/>
      <w:lvlText w:val=""/>
      <w:lvlJc w:val="left"/>
      <w:pPr>
        <w:ind w:left="5962" w:hanging="360"/>
      </w:pPr>
      <w:rPr>
        <w:rFonts w:ascii="Wingdings" w:hAnsi="Wingdings" w:hint="default"/>
      </w:rPr>
    </w:lvl>
  </w:abstractNum>
  <w:num w:numId="1">
    <w:abstractNumId w:val="2"/>
  </w:num>
  <w:num w:numId="2">
    <w:abstractNumId w:val="5"/>
  </w:num>
  <w:num w:numId="3">
    <w:abstractNumId w:val="7"/>
  </w:num>
  <w:num w:numId="4">
    <w:abstractNumId w:val="0"/>
  </w:num>
  <w:num w:numId="5">
    <w:abstractNumId w:val="8"/>
  </w:num>
  <w:num w:numId="6">
    <w:abstractNumId w:val="1"/>
  </w:num>
  <w:num w:numId="7">
    <w:abstractNumId w:val="3"/>
  </w:num>
  <w:num w:numId="8">
    <w:abstractNumId w:val="6"/>
  </w:num>
  <w:num w:numId="9">
    <w:abstractNumId w:val="4"/>
  </w:num>
  <w:num w:numId="10">
    <w:abstractNumId w:val="10"/>
  </w:num>
  <w:num w:numId="11">
    <w:abstractNumId w:val="9"/>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40C03"/>
    <w:rsid w:val="000434B7"/>
    <w:rsid w:val="000559AF"/>
    <w:rsid w:val="0008123E"/>
    <w:rsid w:val="000A10ED"/>
    <w:rsid w:val="00164D6A"/>
    <w:rsid w:val="001C5086"/>
    <w:rsid w:val="001D7D9A"/>
    <w:rsid w:val="001E0797"/>
    <w:rsid w:val="001F7FEF"/>
    <w:rsid w:val="00211EDD"/>
    <w:rsid w:val="00254EFA"/>
    <w:rsid w:val="00255203"/>
    <w:rsid w:val="0027292C"/>
    <w:rsid w:val="00297991"/>
    <w:rsid w:val="002C767C"/>
    <w:rsid w:val="00335778"/>
    <w:rsid w:val="003A0F58"/>
    <w:rsid w:val="003A193E"/>
    <w:rsid w:val="003C18BB"/>
    <w:rsid w:val="003C4407"/>
    <w:rsid w:val="00444308"/>
    <w:rsid w:val="00481D23"/>
    <w:rsid w:val="00515512"/>
    <w:rsid w:val="00535925"/>
    <w:rsid w:val="00536CEE"/>
    <w:rsid w:val="00590CCC"/>
    <w:rsid w:val="005B3132"/>
    <w:rsid w:val="005C62C8"/>
    <w:rsid w:val="00605034"/>
    <w:rsid w:val="006A0CC1"/>
    <w:rsid w:val="006E0F91"/>
    <w:rsid w:val="006F7924"/>
    <w:rsid w:val="00723484"/>
    <w:rsid w:val="00723754"/>
    <w:rsid w:val="00794CA8"/>
    <w:rsid w:val="007A7E91"/>
    <w:rsid w:val="007B0AE3"/>
    <w:rsid w:val="007D6F3D"/>
    <w:rsid w:val="007E4668"/>
    <w:rsid w:val="008773C7"/>
    <w:rsid w:val="008A4F89"/>
    <w:rsid w:val="008C6BB3"/>
    <w:rsid w:val="008D5104"/>
    <w:rsid w:val="008F0833"/>
    <w:rsid w:val="00907F18"/>
    <w:rsid w:val="00952304"/>
    <w:rsid w:val="0097360E"/>
    <w:rsid w:val="009D0931"/>
    <w:rsid w:val="00AA2044"/>
    <w:rsid w:val="00AA4A5D"/>
    <w:rsid w:val="00B00695"/>
    <w:rsid w:val="00B10362"/>
    <w:rsid w:val="00B4784D"/>
    <w:rsid w:val="00BC39F5"/>
    <w:rsid w:val="00BF0F7D"/>
    <w:rsid w:val="00C4377D"/>
    <w:rsid w:val="00C76451"/>
    <w:rsid w:val="00C8768A"/>
    <w:rsid w:val="00D02624"/>
    <w:rsid w:val="00D4383E"/>
    <w:rsid w:val="00DB1E64"/>
    <w:rsid w:val="00E10ADC"/>
    <w:rsid w:val="00E156A4"/>
    <w:rsid w:val="00EA31DD"/>
    <w:rsid w:val="00F423EB"/>
    <w:rsid w:val="00F453B2"/>
    <w:rsid w:val="00F548F9"/>
    <w:rsid w:val="00F75A4A"/>
    <w:rsid w:val="00F83165"/>
    <w:rsid w:val="00FF15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character" w:styleId="Hyperlink">
    <w:name w:val="Hyperlink"/>
    <w:basedOn w:val="DefaultParagraphFont"/>
    <w:uiPriority w:val="99"/>
    <w:unhideWhenUsed/>
    <w:rsid w:val="00794CA8"/>
    <w:rPr>
      <w:color w:val="0000FF" w:themeColor="hyperlink"/>
      <w:u w:val="single"/>
    </w:rPr>
  </w:style>
  <w:style w:type="paragraph" w:styleId="Caption">
    <w:name w:val="caption"/>
    <w:aliases w:val="cap,図表番号 Char,cap1,cap2,cap3,cap11,図表番号 Char1,cap Char1,cap21,cap4,cap12,図表番号 Char2,cap Char2,cap22,cap5,cap13,図表番号 Char3,cap Char3,cap23,cap6,cap14,図表番号 Char4,cap Char4,cap24,cap7,cap15,図表番号 Char5,cap Char5,cap25,cap8,cap16,図表番号 Char6"/>
    <w:basedOn w:val="Normal"/>
    <w:next w:val="Normal"/>
    <w:link w:val="CaptionChar"/>
    <w:qFormat/>
    <w:rsid w:val="00164D6A"/>
    <w:pPr>
      <w:keepNext/>
      <w:keepLines/>
      <w:spacing w:before="120" w:after="120"/>
      <w:jc w:val="center"/>
    </w:pPr>
    <w:rPr>
      <w:rFonts w:ascii="Arial" w:eastAsia="Times New Roman" w:hAnsi="Arial"/>
      <w:b/>
      <w:sz w:val="22"/>
      <w:szCs w:val="20"/>
      <w:lang w:val="en-GB" w:eastAsia="ja-JP"/>
    </w:rPr>
  </w:style>
  <w:style w:type="character" w:customStyle="1" w:styleId="CaptionChar">
    <w:name w:val="Caption Char"/>
    <w:aliases w:val="cap Char,図表番号 Char Char,cap1 Char,cap2 Char,cap3 Char,cap11 Char,図表番号 Char1 Char,cap Char1 Char,cap21 Char,cap4 Char,cap12 Char,図表番号 Char2 Char,cap Char2 Char,cap22 Char,cap5 Char,cap13 Char,図表番号 Char3 Char,cap Char3 Char,cap23 Char"/>
    <w:link w:val="Caption"/>
    <w:rsid w:val="00164D6A"/>
    <w:rPr>
      <w:rFonts w:ascii="Arial" w:eastAsia="Times New Roman" w:hAnsi="Arial" w:cs="Times New Roman"/>
      <w:b/>
      <w:szCs w:val="20"/>
      <w:lang w:val="en-GB" w:eastAsia="ja-JP"/>
    </w:rPr>
  </w:style>
  <w:style w:type="paragraph" w:styleId="BalloonText">
    <w:name w:val="Balloon Text"/>
    <w:basedOn w:val="Normal"/>
    <w:link w:val="BalloonTextChar"/>
    <w:uiPriority w:val="99"/>
    <w:semiHidden/>
    <w:unhideWhenUsed/>
    <w:rsid w:val="00164D6A"/>
    <w:rPr>
      <w:rFonts w:ascii="Tahoma" w:hAnsi="Tahoma" w:cs="Tahoma"/>
      <w:sz w:val="16"/>
      <w:szCs w:val="16"/>
    </w:rPr>
  </w:style>
  <w:style w:type="character" w:customStyle="1" w:styleId="BalloonTextChar">
    <w:name w:val="Balloon Text Char"/>
    <w:basedOn w:val="DefaultParagraphFont"/>
    <w:link w:val="BalloonText"/>
    <w:uiPriority w:val="99"/>
    <w:semiHidden/>
    <w:rsid w:val="00164D6A"/>
    <w:rPr>
      <w:rFonts w:ascii="Tahoma" w:eastAsia="SimSun"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character" w:styleId="Hyperlink">
    <w:name w:val="Hyperlink"/>
    <w:basedOn w:val="DefaultParagraphFont"/>
    <w:uiPriority w:val="99"/>
    <w:unhideWhenUsed/>
    <w:rsid w:val="00794CA8"/>
    <w:rPr>
      <w:color w:val="0000FF" w:themeColor="hyperlink"/>
      <w:u w:val="single"/>
    </w:rPr>
  </w:style>
  <w:style w:type="paragraph" w:styleId="Caption">
    <w:name w:val="caption"/>
    <w:aliases w:val="cap,図表番号 Char,cap1,cap2,cap3,cap11,図表番号 Char1,cap Char1,cap21,cap4,cap12,図表番号 Char2,cap Char2,cap22,cap5,cap13,図表番号 Char3,cap Char3,cap23,cap6,cap14,図表番号 Char4,cap Char4,cap24,cap7,cap15,図表番号 Char5,cap Char5,cap25,cap8,cap16,図表番号 Char6"/>
    <w:basedOn w:val="Normal"/>
    <w:next w:val="Normal"/>
    <w:link w:val="CaptionChar"/>
    <w:qFormat/>
    <w:rsid w:val="00164D6A"/>
    <w:pPr>
      <w:keepNext/>
      <w:keepLines/>
      <w:spacing w:before="120" w:after="120"/>
      <w:jc w:val="center"/>
    </w:pPr>
    <w:rPr>
      <w:rFonts w:ascii="Arial" w:eastAsia="Times New Roman" w:hAnsi="Arial"/>
      <w:b/>
      <w:sz w:val="22"/>
      <w:szCs w:val="20"/>
      <w:lang w:val="en-GB" w:eastAsia="ja-JP"/>
    </w:rPr>
  </w:style>
  <w:style w:type="character" w:customStyle="1" w:styleId="CaptionChar">
    <w:name w:val="Caption Char"/>
    <w:aliases w:val="cap Char,図表番号 Char Char,cap1 Char,cap2 Char,cap3 Char,cap11 Char,図表番号 Char1 Char,cap Char1 Char,cap21 Char,cap4 Char,cap12 Char,図表番号 Char2 Char,cap Char2 Char,cap22 Char,cap5 Char,cap13 Char,図表番号 Char3 Char,cap Char3 Char,cap23 Char"/>
    <w:link w:val="Caption"/>
    <w:rsid w:val="00164D6A"/>
    <w:rPr>
      <w:rFonts w:ascii="Arial" w:eastAsia="Times New Roman" w:hAnsi="Arial" w:cs="Times New Roman"/>
      <w:b/>
      <w:szCs w:val="20"/>
      <w:lang w:val="en-GB" w:eastAsia="ja-JP"/>
    </w:rPr>
  </w:style>
  <w:style w:type="paragraph" w:styleId="BalloonText">
    <w:name w:val="Balloon Text"/>
    <w:basedOn w:val="Normal"/>
    <w:link w:val="BalloonTextChar"/>
    <w:uiPriority w:val="99"/>
    <w:semiHidden/>
    <w:unhideWhenUsed/>
    <w:rsid w:val="00164D6A"/>
    <w:rPr>
      <w:rFonts w:ascii="Tahoma" w:hAnsi="Tahoma" w:cs="Tahoma"/>
      <w:sz w:val="16"/>
      <w:szCs w:val="16"/>
    </w:rPr>
  </w:style>
  <w:style w:type="character" w:customStyle="1" w:styleId="BalloonTextChar">
    <w:name w:val="Balloon Text Char"/>
    <w:basedOn w:val="DefaultParagraphFont"/>
    <w:link w:val="BalloonText"/>
    <w:uiPriority w:val="99"/>
    <w:semiHidden/>
    <w:rsid w:val="00164D6A"/>
    <w:rPr>
      <w:rFonts w:ascii="Tahoma" w:eastAsia="SimSun" w:hAnsi="Tahoma" w:cs="Tahoma"/>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734</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55</cp:revision>
  <dcterms:created xsi:type="dcterms:W3CDTF">2015-03-19T06:22:00Z</dcterms:created>
  <dcterms:modified xsi:type="dcterms:W3CDTF">2015-04-10T04:04:00Z</dcterms:modified>
</cp:coreProperties>
</file>